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Material - Regulatório: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958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01-entrada-de-material-regulatorio.fluxo.json,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Lote aprovado pelo CQ e fora da quarentena: o CQ gera a pendência e o lote é movimentado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pendência: pelo ícone Movimentar da lista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Escolher origem, destino e quantidade: CONFIRMAR ENDEREÇO, quantas vezes for preciso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Endereçamento aceito? (decisão): Sim: linha na grade. Não: mensagem em vermelho e nada é gravado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Estabilidade: marcar o tipo de estudo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Finalizar: confere o total, grava a movimentação e, na estabilidade, abre o acompanhamento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Conferir o saldo: Consulta Disponibilidade, Histórico do Lote e Saída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cancelar um endereçamento antes de finalizar; entrada sem ícone enquanto o lote não sair da quarentena.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entrada tem duas situações na lista: </w:t>
      </w:r>
      <w:r>
        <w:rPr>
          <w:b/>
          <w:bCs/>
          <w:szCs w:val="20"/>
        </w:rPr>
        <w:t xml:space="preserve">PENDENTE</w:t>
      </w:r>
      <w:r>
        <w:rPr>
          <w:szCs w:val="20"/>
        </w:rPr>
        <w:t xml:space="preserve"> (ainda sem movimentação) e </w:t>
      </w:r>
      <w:r>
        <w:rPr>
          <w:b/>
          <w:bCs/>
          <w:szCs w:val="20"/>
        </w:rPr>
        <w:t xml:space="preserve">FINALIZADO</w:t>
      </w:r>
      <w:r>
        <w:rPr>
          <w:szCs w:val="20"/>
        </w:rPr>
        <w:t xml:space="preserve"> (com movimentação) (RegulatorioReservaServico.cs:90; RegulatorioReservaRepositorio.cs:15-21). A pendência nasce no CQ, com a quantidade reservada e o tipo, e só a Entrada de Material a finaliza.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pendência guarda quem a criou e quando (só a data, sem hora), e quem a alterou e quando (TBL_REGULATORIO_RESERVA.sql:5-9).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movimentação gravada tem código, data e hora, usuário e as linhas de item (RegulatorioReservaServico.cs:232-284). O Histórico do Lote mostra o tipo, o endereço, a quantidade e a data, mas </w:t>
      </w:r>
      <w:r>
        <w:rPr>
          <w:b/>
          <w:bCs/>
          <w:szCs w:val="20"/>
        </w:rPr>
        <w:t xml:space="preserve">não o usuário nem a hora</w:t>
      </w:r>
      <w:r>
        <w:rPr>
          <w:szCs w:val="20"/>
        </w:rPr>
        <w:t xml:space="preserve"> (DV-EST-034; CT-EST-177).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log de campo desta tela (RN-EST-REG01-011).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de um endereçamento e a justificativa de qualquer 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decisão de quem finalizou além do usuário da movimentação.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prazo de guarda da amostra: o registro não tem data de descarte nem de fim de retenção (TBL_REGULATORIO_RESERVA.sql).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80"/>
        <w:gridCol w:w="1729"/>
        <w:gridCol w:w="1614"/>
        <w:gridCol w:w="3208"/>
      </w:tblGrid>
      <w:tr>
        <w:trPr>
          <w:tblHeader/>
          <w:cantSplit/>
        </w:trPr>
        <w:tc>
          <w:tcPr>
            <w:tcW w:w="30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6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TBL_REGULATORIO_RESERVA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Análise, lote, tipo, quantidade reservada, usuário e data de criação (só a data) e de alteração, movimentação, e as opções de estabilidade físico-química e microbiológica</w:t>
            </w:r>
          </w:p>
        </w:tc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Ligada à análise do CQ e ao lote; a movimentação é preenchida ao finalizar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TBL_REGULATORIO_RESERVA.sql</w:t>
            </w:r>
          </w:p>
        </w:tc>
      </w:tr>
      <w:tr>
        <w:trPr>
          <w:cantSplit/>
        </w:trPr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TBL_RESERVA_ENDERECO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Pendência, endereço de origem, endereço de destino, quantidade movimentada</w:t>
            </w:r>
          </w:p>
        </w:tc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endereçamento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TBL_RESERVA_ENDERECO.sql</w:t>
            </w:r>
          </w:p>
        </w:tc>
      </w:tr>
      <w:tr>
        <w:trPr>
          <w:cantSplit/>
        </w:trPr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 / TBL_MOVIMENTACAO_ITEM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data, tipo, usuário; item, lote, endereço, quantidade e sentido (saída ou entrada)</w:t>
            </w:r>
          </w:p>
        </w:tc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reserva é ligada pela coluna ID_RESERVA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TBL_MOVIMENTACAO.sql; RegulatorioReservaServico.cs:232-281</w:t>
            </w:r>
          </w:p>
        </w:tc>
      </w:tr>
      <w:tr>
        <w:trPr>
          <w:cantSplit/>
        </w:trPr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TBL_ALMOXARIFADO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Marcas de retenção, referência e estabilidade</w:t>
            </w:r>
          </w:p>
        </w:tc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Define o destino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TBL_ALMOXARIFADO.sql:17-19</w:t>
            </w:r>
          </w:p>
        </w:tc>
      </w:tr>
      <w:tr>
        <w:trPr>
          <w:cantSplit/>
        </w:trPr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de retenção, referência e estabilidade por lote e endereço</w:t>
            </w:r>
          </w:p>
        </w:tc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Calculada pela marca do almoxarifado do endereço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VW_SALDO_ITEM_LOTE_ENDERECO.sql:53-55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35"/>
        <w:gridCol w:w="2624"/>
        <w:gridCol w:w="1248"/>
        <w:gridCol w:w="3724"/>
      </w:tblGrid>
      <w:tr>
        <w:trPr>
          <w:tblHeader/>
          <w:cantSplit/>
        </w:trPr>
        <w:tc>
          <w:tcPr>
            <w:tcW w:w="20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6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2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análise, o laudo e o resultado; cria o acompanhamento de estabilidade (quando a entrada é de estabilidade); a pendência nasce da aprovação do lote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direta e classe do CQ</w:t>
            </w:r>
          </w:p>
        </w:tc>
        <w:tc>
          <w:tcPr>
            <w:tcW w:w="3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movimentacao_almox_cq_ed.aspx.cs:84-103 e 212-237; analise_controle_ed.aspx.cs:300-313</w:t>
            </w:r>
          </w:p>
        </w:tc>
      </w:tr>
      <w:tr>
        <w:trPr>
          <w:cantSplit/>
        </w:trPr>
        <w:tc>
          <w:tcPr>
            <w:tcW w:w="2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que cria e altera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movimentacao_almox_cq_ed.aspx.cs:210</w:t>
            </w:r>
          </w:p>
        </w:tc>
      </w:tr>
      <w:tr>
        <w:trPr>
          <w:cantSplit/>
        </w:trPr>
        <w:tc>
          <w:tcPr>
            <w:tcW w:w="2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Comercial, Rastreabilidade</w:t>
            </w:r>
          </w:p>
        </w:tc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de Produção - Serviços pode criar a pendência de estabilidade; nada mais é lido ou gravado</w:t>
            </w:r>
          </w:p>
        </w:tc>
        <w:tc>
          <w:tcPr>
            <w:tcW w:w="12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direta</w:t>
            </w:r>
          </w:p>
        </w:tc>
        <w:tc>
          <w:tcPr>
            <w:tcW w:w="3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entrada_producao_servicos_ed.aspx.cs:226-249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Material - Regulatório: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Material - Regulatório: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