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NMM (RC03):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RN-EST-REL07-nnn são novos, desta página. Não há regra do RC03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Nenhum teste exercitou a tela: todas as regras estão como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1"/>
        <w:gridCol w:w="2194"/>
        <w:gridCol w:w="3391"/>
        <w:gridCol w:w="2045"/>
      </w:tblGrid>
      <w:tr>
        <w:trPr>
          <w:tblHeader/>
          <w:cantSplit/>
        </w:trPr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RN-EST-REL07-001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movimentação é obrigatório e o ano precisa ter 4 dígitos e não ser maior que o ano de hoje; o mês é o da lista.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rc03_Nmm.aspx.cs:57-61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RN-EST-REL07-002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numa janela nova, no visualizador, com tipo, mês e ano no endereço; quem tem sessão aberta e souber o endereço o abre sem passar pela tela.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rc03_Nmm.aspx.cs:64; VisualizaRelatorio.aspx.cs:31-45 e 146-157 e 209-228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RN-EST-REL07-003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lista as linhas de movimento (itens) do tipo escolhido, cuja movimentação tem data no mês e no ano escolhidos.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dalRelatorio.cs:636-666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CT-EST-REL07-01)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RN-EST-REL07-004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itens não excluídos; movimentação e linha de movimento excluídas não são conferidas.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dalRelatorio.cs:661-662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CT-EST-REL07-04)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RN-EST-REL07-005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NMM mostra o número da linha de movimento, e não o código da movimentação nem o número da nota impressa na tela Movimentação de Material.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RC03Report.cs:19; dalRelatorio.cs:641; movimentacao_lst.aspx.cs:398-409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validar com a área)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RN-EST-REL07-006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preço unitário é o custo gravado na linha; o preço total é quantidade × custo; o total geral soma os preços totais.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dalRelatorio.cs:647-650; RC03.rdlc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CT-EST-REL07-03)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RN-EST-REL07-007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movimentação de transferência tem duas linhas (saída e entrada); o relatório lista as duas, sem dizer qual é qual, e soma ambas no total.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dalRelatorio.cs:636-650; movimentacao_ed.aspx.cs:706-724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CT-EST-REL07-05)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RN-EST-REL07-008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TPD, AD, DocOri e OMDoc existem no modelo e nunca são preenchidas.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RC03Report.cs:15-34 e 39-42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RN-EST-REL07-009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o cliente, o título, o usuário (login), a data e hora do momento e a página "x de y".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RC03.rdlc; VisualizaRelatorio.aspx.cs:35 e 217-219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RN-EST-REL07-010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um "Termo de despesa" com texto de outro tipo de organização (SISTOQUE, NORMAS SGM-303, gestor de material, agenda fiscal, ordenador de despesa).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RC03.rdlc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validar com a área)</w:t>
            </w:r>
          </w:p>
        </w:tc>
      </w:tr>
      <w:tr>
        <w:trPr>
          <w:cantSplit/>
        </w:trPr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RN-EST-REL07-011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nada.</w:t>
            </w:r>
          </w:p>
        </w:tc>
        <w:tc>
          <w:tcPr>
            <w:tcW w:w="3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dalRelatorio.cs:636-684</w:t>
            </w:r>
          </w:p>
        </w:tc>
        <w:tc>
          <w:tcPr>
            <w:tcW w:w="2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de testes (07/10 a 22/10/2026)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nenhum caso CT-EST dele pertence ao RC03.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movimentações </w:t>
      </w:r>
      <w:r>
        <w:rPr>
          <w:szCs w:val="20"/>
        </w:rPr>
        <w:t xml:space="preserve">TESTE</w:t>
      </w:r>
      <w:r>
        <w:rPr>
          <w:szCs w:val="20"/>
        </w:rPr>
        <w:t xml:space="preserve"> no mês de teste: uma entrada por nota fiscal, uma transferência (Movimentação de Material) e uma excluída, se houver; anotar custo e quantidade de cada.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6"/>
        <w:gridCol w:w="1398"/>
        <w:gridCol w:w="3585"/>
        <w:gridCol w:w="2532"/>
      </w:tblGrid>
      <w:tr>
        <w:trPr>
          <w:tblHeader/>
          <w:cantSplit/>
        </w:trPr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relatório do tipo "Entrada por nota fiscal" no mês de teste e conferir as linhas contra a lista de Recebimento e a Disponibilidade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e lote recebidos, com quantidade e custo certos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CT-EST-REL07-02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número da coluna NMM com o número da nota impressa na lista da Movimentação de Material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número; se diferir, confirma que NMM é número de linha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CT-EST-REL07-03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PR_UNIT, PR_TOTAL e o total geral com calculadora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= soma de quantidade × custo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CT-EST-REL07-04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movimentação (se a tela permitir) e emitir o relatório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excluída não aparece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CT-EST-REL07-05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relatório do tipo "Transferência" depois de uma transferência de 10 unidades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unidades; se aparecerem 20 no total, confirma a dupla contagem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CT-EST-REL07-06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Olhar o formato de data e de número do relatório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em dd/mm/aaaa; registrar o formato visto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CT-EST-REL07-07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escolher o tipo; com ano de 3 dígitos; com ano maior que o de hoje; colar letras no ano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claras; registrar erros técnicos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CT-EST-REL07-08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pela primeira vez e anotar o mês e o ano que aparecem; clicar em LIMPAR FILTRO e comparar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Janeiro e ano vazio na abertura; mês e ano de hoje depois do limpar (confirma a diferença)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CT-EST-REL07-09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texto do relatório (termo de despesa, SISTOQUE, NORMAS SGM-303, assinaturas) e as colunas TPD, AD, DocOri, OMDoc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para a área decidir o que fica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CT-EST-REL07-10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do relatório com outro mês e tipo, copiando da barra de endereços, com e sem acesso ao menu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abre sem a função (ver segurança)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CT-EST-REL07-11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opções de exportação do visualizador (PDF, Excel, Word)</w:t>
            </w:r>
          </w:p>
        </w:tc>
        <w:tc>
          <w:tcPr>
            <w:tcW w:w="2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está disponível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NMM (RC03):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NMM (RC03):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