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Reposição de Itens a Vencer (Kit):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231692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31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19-reposicao-de-itens-a-vencer-kit.fluxo.json,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Kits remetidos: a remessa do kit grava os lotes dos componentes no cliente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Escolher os filtros: cliente, item, guia, tipo de kit e faixa de validade; todos opcionais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Gerar o relatório: abre a janela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Há lote que atende aos filtros? (decisão): sim, lista os lotes por prazo; não, o relatório abre só com o cabeçalho (Ao gerar).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Mostrar no leitor de relatórios (Ao gerar).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Decidir a reposição: a reposição em si é feita no Controle de Kits (Depois).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Relatório de consulta: </w:t>
      </w:r>
      <w:r>
        <w:rPr>
          <w:b/>
          <w:bCs/>
          <w:szCs w:val="20"/>
        </w:rPr>
        <w:t xml:space="preserve">não tem situações próprias</w:t>
      </w:r>
      <w:r>
        <w:rPr>
          <w:szCs w:val="20"/>
        </w:rPr>
        <w:t xml:space="preserve">. A coluna "A VENCER" classifica cada lote por prazo (RN-EST-REL19-003); essa faixa é calculada na hora da consulta e não é gravada.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no histórico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Nada. O relatório não grava log nem guarda uma cópia.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 ou não mostra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emitiu o relatório e quando (só o "Emitido em" do pé, sem nome de pessoa).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Em que cliente e em que kit está cada lote (não há coluna para isso).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estado da reposição: se o lote já foi reposto ou se há reposição pedida (isso fica no Controle de Kits).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115"/>
        <w:gridCol w:w="1778"/>
        <w:gridCol w:w="1517"/>
        <w:gridCol w:w="3221"/>
      </w:tblGrid>
      <w:tr>
        <w:trPr>
          <w:tblHeader/>
          <w:cantSplit/>
        </w:trPr>
        <w:tc>
          <w:tcPr>
            <w:tcW w:w="31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 ou visão</w:t>
            </w:r>
          </w:p>
        </w:tc>
        <w:tc>
          <w:tcPr>
            <w:tcW w:w="17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lidas</w:t>
            </w:r>
          </w:p>
        </w:tc>
        <w:tc>
          <w:tcPr>
            <w:tcW w:w="15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32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31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TBL_REMESSA</w:t>
            </w:r>
          </w:p>
        </w:tc>
        <w:tc>
          <w:tcPr>
            <w:tcW w:w="1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da remessa (GMM), cliente, empresa, lixeira</w:t>
            </w:r>
          </w:p>
        </w:tc>
        <w:tc>
          <w:tcPr>
            <w:tcW w:w="15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ao cliente (Principal)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TBL_REMESSA.sql:5-6; dalRelatorio.cs:2296 e 2305</w:t>
            </w:r>
          </w:p>
        </w:tc>
      </w:tr>
      <w:tr>
        <w:trPr>
          <w:cantSplit/>
        </w:trPr>
        <w:tc>
          <w:tcPr>
            <w:tcW w:w="31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TBL_REMESSA_LOTE</w:t>
            </w:r>
          </w:p>
        </w:tc>
        <w:tc>
          <w:tcPr>
            <w:tcW w:w="1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 do lote na remessa, ligação ao item de solicitação de kit</w:t>
            </w:r>
          </w:p>
        </w:tc>
        <w:tc>
          <w:tcPr>
            <w:tcW w:w="15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remessa, lote e item de solicitação de kit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dalRelatorio.cs:2295 e 2306-2313</w:t>
            </w:r>
          </w:p>
        </w:tc>
      </w:tr>
      <w:tr>
        <w:trPr>
          <w:cantSplit/>
        </w:trPr>
        <w:tc>
          <w:tcPr>
            <w:tcW w:w="31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TBL_SOLICITACAO_KIT_ITEM</w:t>
            </w:r>
          </w:p>
        </w:tc>
        <w:tc>
          <w:tcPr>
            <w:tcW w:w="1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Kit do item solicitado</w:t>
            </w:r>
          </w:p>
        </w:tc>
        <w:tc>
          <w:tcPr>
            <w:tcW w:w="15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ao kit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dalRelatorio.cs:2312-2315</w:t>
            </w:r>
          </w:p>
        </w:tc>
      </w:tr>
      <w:tr>
        <w:trPr>
          <w:cantSplit/>
        </w:trPr>
        <w:tc>
          <w:tcPr>
            <w:tcW w:w="31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TBL_KIT, TBL_TIPO_KIT</w:t>
            </w:r>
          </w:p>
        </w:tc>
        <w:tc>
          <w:tcPr>
            <w:tcW w:w="1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e tipo do kit</w:t>
            </w:r>
          </w:p>
        </w:tc>
        <w:tc>
          <w:tcPr>
            <w:tcW w:w="15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Kit e tipo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dalRelatorio.cs:2287-2288 e 2314-2317</w:t>
            </w:r>
          </w:p>
        </w:tc>
      </w:tr>
      <w:tr>
        <w:trPr>
          <w:cantSplit/>
        </w:trPr>
        <w:tc>
          <w:tcPr>
            <w:tcW w:w="31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TBL_ITEM_LOTE</w:t>
            </w:r>
          </w:p>
        </w:tc>
        <w:tc>
          <w:tcPr>
            <w:tcW w:w="1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Lote, item de entrada</w:t>
            </w:r>
          </w:p>
        </w:tc>
        <w:tc>
          <w:tcPr>
            <w:tcW w:w="15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ao item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dalRelatorio.cs:2291-2292 e 2308-2309</w:t>
            </w:r>
          </w:p>
        </w:tc>
      </w:tr>
      <w:tr>
        <w:trPr>
          <w:cantSplit/>
        </w:trPr>
        <w:tc>
          <w:tcPr>
            <w:tcW w:w="31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VW_ITEM_LOTE_VALIDADE</w:t>
            </w:r>
          </w:p>
        </w:tc>
        <w:tc>
          <w:tcPr>
            <w:tcW w:w="1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Validade vigente do lote (nova validade se houver revalidação)</w:t>
            </w:r>
          </w:p>
        </w:tc>
        <w:tc>
          <w:tcPr>
            <w:tcW w:w="15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VW_ITEM_LOTE_VALIDADE.sql; dalRelatorio.cs:2310-2311</w:t>
            </w:r>
          </w:p>
        </w:tc>
      </w:tr>
      <w:tr>
        <w:trPr>
          <w:cantSplit/>
        </w:trPr>
        <w:tc>
          <w:tcPr>
            <w:tcW w:w="31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TBL_ITEM, TBL_UNIDADE_MEDIDA_ESTOQUE</w:t>
            </w:r>
          </w:p>
        </w:tc>
        <w:tc>
          <w:tcPr>
            <w:tcW w:w="1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Código, nome, controle de validade, unidade</w:t>
            </w:r>
          </w:p>
        </w:tc>
        <w:tc>
          <w:tcPr>
            <w:tcW w:w="15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dalRelatorio.cs:2289 e 2318-2321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Nota: o código consulta </w:t>
      </w:r>
      <w:r>
        <w:rPr>
          <w:szCs w:val="20"/>
        </w:rPr>
        <w:t xml:space="preserve">TBL_UNIDADE_MEDIDA_ESTOQUE</w:t>
      </w:r>
      <w:r>
        <w:rPr>
          <w:szCs w:val="20"/>
        </w:rPr>
        <w:t xml:space="preserve">; no projeto de banco o arquivo se chama </w:t>
      </w:r>
      <w:r>
        <w:rPr>
          <w:szCs w:val="20"/>
        </w:rPr>
        <w:t xml:space="preserve">TBL_UNIDADE_MEDIDA.sql</w:t>
      </w:r>
      <w:r>
        <w:rPr>
          <w:szCs w:val="20"/>
        </w:rPr>
        <w:t xml:space="preserve">. A diferença de nome não foi investigada (ponto para validar com o DBA).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46"/>
        <w:gridCol w:w="2194"/>
        <w:gridCol w:w="1483"/>
        <w:gridCol w:w="4508"/>
      </w:tblGrid>
      <w:tr>
        <w:trPr>
          <w:tblHeader/>
          <w:cantSplit/>
        </w:trPr>
        <w:tc>
          <w:tcPr>
            <w:tcW w:w="14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1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14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45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2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Razão social do cliente (lista do filtro e cabeçalho)</w:t>
            </w:r>
          </w:p>
        </w:tc>
        <w:tc>
          <w:tcPr>
            <w:tcW w:w="14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Sinônimo de banco </w:t>
            </w:r>
            <w:r>
              <w:rPr>
                <w:sz w:val="18"/>
                <w:szCs w:val="20"/>
              </w:rPr>
              <w:t xml:space="preserve">GBL_PJ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bllPJ</w:t>
            </w:r>
          </w:p>
        </w:tc>
        <w:tc>
          <w:tcPr>
            <w:tcW w:w="45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rel_kit_lote_vencer_lst.aspx.cs:26; dalRelatorio.cs:2322-2323; VisualizaRelatorio.aspx.cs:1025</w:t>
            </w:r>
          </w:p>
        </w:tc>
      </w:tr>
      <w:tr>
        <w:trPr>
          <w:cantSplit/>
        </w:trPr>
        <w:tc>
          <w:tcPr>
            <w:tcW w:w="1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Gravações</w:t>
            </w:r>
          </w:p>
        </w:tc>
        <w:tc>
          <w:tcPr>
            <w:tcW w:w="2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Nenhuma</w:t>
            </w:r>
          </w:p>
        </w:tc>
        <w:tc>
          <w:tcPr>
            <w:tcW w:w="14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45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de consulta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Reposição de Itens a Vencer (Kit):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Reposição de Itens a Vencer (Kit):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