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Componentes (Kit):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9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21-analise-de-componentes-kit.fluxo.json,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Kits, planejamento e envios: os dados que o relatório soma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tipo de kit, kit e componente, ou nada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Gerar o relatório: abre a janela, sem validação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Calcular por componente: planejado, enviado, vencido, pendente e a vencer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Mostrar no leitor de relatórios, agrupado por tipo e kit (Ao gerar).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 e decidir o que enviar ou repor; imprimir ou exportar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Relatório de consulta: </w:t>
      </w:r>
      <w:r>
        <w:rPr>
          <w:b/>
          <w:bCs/>
          <w:szCs w:val="20"/>
        </w:rPr>
        <w:t xml:space="preserve">não tem situações próprias</w:t>
      </w:r>
      <w:r>
        <w:rPr>
          <w:szCs w:val="20"/>
        </w:rPr>
        <w:t xml:space="preserve">. As colunas VENCIDO e A VENCER classificam a validade de cada lote na hora da consulta; a classificação não é gravada.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O relatório não grava log nem guarda uma cópia.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o relatório e quando (só o "Emitido em" do pé).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cliente de cada quantidade planejada ou enviada.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usados.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03"/>
        <w:gridCol w:w="1636"/>
        <w:gridCol w:w="1642"/>
        <w:gridCol w:w="3050"/>
      </w:tblGrid>
      <w:tr>
        <w:trPr>
          <w:tblHeader/>
          <w:cantSplit/>
        </w:trPr>
        <w:tc>
          <w:tcPr>
            <w:tcW w:w="3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 ou visão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lidas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TBL_KIT, TBL_KIT_ITEM, TBL_TIPO_KIT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tipo e quantidade do componente no kit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Kit, componente e tipo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dalRelatorio.cs:2786-2794</w:t>
            </w:r>
          </w:p>
        </w:tc>
      </w:tr>
      <w:tr>
        <w:trPr>
          <w:cantSplit/>
        </w:trPr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TBL_PLANEJAMENTO, TBL_PLANEJAMENTO_KIT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planejada de cada kit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e kit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dalRelatorio.cs:2795-2812</w:t>
            </w:r>
          </w:p>
        </w:tc>
      </w:tr>
      <w:tr>
        <w:trPr>
          <w:cantSplit/>
        </w:trPr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TBL_SOLICITACAO_KIT, TBL_SOLICITACAO_KIT_ITEM, TBL_REMESSA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solicitada do item, data de embarque da remessa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item e remessa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dalRelatorio.cs:2813-2829</w:t>
            </w:r>
          </w:p>
        </w:tc>
      </w:tr>
      <w:tr>
        <w:trPr>
          <w:cantSplit/>
        </w:trPr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TBL_REMESSA_LOTE, TBL_ITEM_LOTE, VW_ITEM_LOTE_VALIDADE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lote na remessa, validade vigente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Remessa, lote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dalRelatorio.cs:2830-2865</w:t>
            </w:r>
          </w:p>
        </w:tc>
      </w:tr>
      <w:tr>
        <w:trPr>
          <w:cantSplit/>
        </w:trPr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TBL_UNIDADE_MEDIDA_ESTOQUE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controle de validade, unidade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</w:t>
            </w:r>
          </w:p>
        </w:tc>
        <w:tc>
          <w:tcPr>
            <w:tcW w:w="3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dalRelatorio.cs:2773-2774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Nota: o código consulta </w:t>
      </w:r>
      <w:r>
        <w:rPr>
          <w:szCs w:val="20"/>
        </w:rPr>
        <w:t xml:space="preserve">TBL_UNIDADE_MEDIDA_ESTOQUE</w:t>
      </w:r>
      <w:r>
        <w:rPr>
          <w:szCs w:val="20"/>
        </w:rPr>
        <w:t xml:space="preserve">; no projeto de banco o arquivo se chama </w:t>
      </w:r>
      <w:r>
        <w:rPr>
          <w:szCs w:val="20"/>
        </w:rPr>
        <w:t xml:space="preserve">TBL_UNIDADE_MEDIDA.sql</w:t>
      </w:r>
      <w:r>
        <w:rPr>
          <w:szCs w:val="20"/>
        </w:rPr>
        <w:t xml:space="preserve">. A diferença de nome não foi investigada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9"/>
        <w:gridCol w:w="3189"/>
        <w:gridCol w:w="845"/>
        <w:gridCol w:w="3918"/>
      </w:tblGrid>
      <w:tr>
        <w:trPr>
          <w:tblHeader/>
          <w:cantSplit/>
        </w:trPr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diretamente: os números não separam por cliente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dalRelatorio.cs:2765-2884</w:t>
            </w:r>
          </w:p>
        </w:tc>
      </w:tr>
      <w:tr>
        <w:trPr>
          <w:cantSplit/>
        </w:trPr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Gravações</w:t>
            </w:r>
          </w:p>
        </w:tc>
        <w:tc>
          <w:tcPr>
            <w:tcW w:w="31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</w:t>
            </w:r>
          </w:p>
        </w:tc>
        <w:tc>
          <w:tcPr>
            <w:tcW w:w="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consulta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Componentes (Kit):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Componentes (Kit):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