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Principal, Estoque e GQ</w:t>
      </w:r>
    </w:p>
    <w:p w14:paraId="3610B2C9" w14:textId="6ECC54FD">
      <w:pPr>
        <w:pStyle w:val="sistema"/>
        <w:spacing w:after="0" w:line="360" w:lineRule="auto"/>
      </w:pPr>
      <w:r>
        <w:rPr>
          <w:i w:val="0"/>
          <w:szCs w:val="36"/>
        </w:rPr>
        <w:t>Diagnóstico de Conformidade com a ANVISA</w:t>
      </w:r>
    </w:p>
    <w:p w14:paraId="39A786D6" w14:textId="77777777">
      <w:pPr>
        <w:pStyle w:val="versao"/>
        <w:spacing w:line="360" w:lineRule="auto"/>
      </w:pPr>
      <w:r>
        <w:rPr>
          <w:sz w:val="36"/>
          <w:szCs w:val="36"/>
        </w:rPr>
        <w:t xml:space="preserve">Versão </w:t>
      </w:r>
      <w:r>
        <w:rPr>
          <w:iCs/>
          <w:sz w:val="36"/>
          <w:szCs w:val="36"/>
        </w:rPr>
        <w:t>1.2</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09/10/2026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Principal, Estoque e Garantia da Qualidade</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09/10/2026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1.1</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Texto da norma em cada tema; referências corrigidas</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09/10/2026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1.2</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Tema 14 (liberação do lote) fechado com a análise do Controle da Qualidade</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spacing w:after="0" w:line="360" w:lineRule="auto"/>
        <w:rPr>
          <w:szCs w:val="20"/>
        </w:rPr>
      </w:pPr>
      <w:r>
        <w:rPr>
          <w:b/>
          <w:bCs/>
          <w:szCs w:val="20"/>
        </w:rPr>
        <w:t xml:space="preserve">Uso interno.</w:t>
      </w:r>
      <w:r>
        <w:rPr>
          <w:szCs w:val="20"/>
        </w:rPr>
        <w:t xml:space="preserve"> Diagnóstico de conformidade do LabMedSys (legado, versão entregue pelo fornecedor) com as normas da ANVISA, reunindo os três módulos analisados até 09/10/2026: </w:t>
      </w:r>
      <w:r>
        <w:rPr>
          <w:b/>
          <w:bCs/>
          <w:szCs w:val="20"/>
        </w:rPr>
        <w:t xml:space="preserve">Principal</w:t>
      </w:r>
      <w:r>
        <w:rPr>
          <w:szCs w:val="20"/>
        </w:rPr>
        <w:t xml:space="preserve">, </w:t>
      </w:r>
      <w:r>
        <w:rPr>
          <w:b/>
          <w:bCs/>
          <w:szCs w:val="20"/>
        </w:rPr>
        <w:t xml:space="preserve">Estoque</w:t>
      </w:r>
      <w:r>
        <w:rPr>
          <w:szCs w:val="20"/>
        </w:rPr>
        <w:t xml:space="preserve"> e </w:t>
      </w:r>
      <w:r>
        <w:rPr>
          <w:b/>
          <w:bCs/>
          <w:szCs w:val="20"/>
        </w:rPr>
        <w:t xml:space="preserve">Garantia da Qualidade (GQ)</w:t>
      </w:r>
      <w:r>
        <w:rPr>
          <w:szCs w:val="20"/>
        </w:rPr>
        <w:t xml:space="preserve">. Normas: RDC nº 658/2022 (Boas Práticas de Fabricação) e Guia nº 33/2020 (validação de sistemas computadorizados).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CONCLUSÃO</w:t>
      </w:r>
    </w:p>
    <w:p>
      <w:pPr>
        <w:keepNext/>
        <w:spacing w:after="0" w:line="360" w:lineRule="auto"/>
      </w:pPr>
    </w:p>
    <w:p>
      <w:pPr>
        <w:spacing w:after="0" w:line="360" w:lineRule="auto"/>
        <w:rPr>
          <w:szCs w:val="20"/>
        </w:rPr>
      </w:pPr>
      <w:r>
        <w:rPr>
          <w:b/>
          <w:bCs/>
          <w:szCs w:val="20"/>
        </w:rPr>
        <w:t xml:space="preserve">Nenhum dos três módulos está em conformidade com a ANVISA na forma em que foi entregue.</w:t>
      </w:r>
      <w:r>
        <w:rPr>
          <w:szCs w:val="20"/>
        </w:rPr>
        <w:t xml:space="preserve"> Dos 22 temas da norma avaliados abaixo, </w:t>
      </w:r>
      <w:r>
        <w:rPr>
          <w:b/>
          <w:bCs/>
          <w:szCs w:val="20"/>
        </w:rPr>
        <w:t xml:space="preserve">nenhum atende por completo</w:t>
      </w:r>
      <w:r>
        <w:rPr>
          <w:szCs w:val="20"/>
        </w:rPr>
        <w:t xml:space="preserve">: 8 atendem em parte, 13 não atendem e 1 depende de módulo ainda não analisado (atualizado em 09/10/2026 com o Controle da Qualidade).</w:t>
      </w:r>
    </w:p>
    <w:p>
      <w:pPr>
        <w:spacing w:after="0" w:line="360" w:lineRule="auto"/>
        <w:rPr>
          <w:szCs w:val="20"/>
        </w:rPr>
      </w:pPr>
      <w:r>
        <w:rPr>
          <w:szCs w:val="20"/>
        </w:rPr>
        <w:t xml:space="preserve">O sistema </w:t>
      </w:r>
      <w:r>
        <w:rPr>
          <w:b/>
          <w:bCs/>
          <w:szCs w:val="20"/>
        </w:rPr>
        <w:t xml:space="preserve">registra</w:t>
      </w:r>
      <w:r>
        <w:rPr>
          <w:szCs w:val="20"/>
        </w:rPr>
        <w:t xml:space="preserve"> a maior parte do que a norma pede (entradas, lotes, desvios, mudanças, treinamentos), mas </w:t>
      </w:r>
      <w:r>
        <w:rPr>
          <w:b/>
          <w:bCs/>
          <w:szCs w:val="20"/>
        </w:rPr>
        <w:t xml:space="preserve">não controla</w:t>
      </w:r>
      <w:r>
        <w:rPr>
          <w:szCs w:val="20"/>
        </w:rPr>
        <w:t xml:space="preserve">: deixa passar o que deveria barrar e nem sempre guarda a prova do que foi feito. As falhas têm </w:t>
      </w:r>
      <w:r>
        <w:rPr>
          <w:b/>
          <w:bCs/>
          <w:szCs w:val="20"/>
        </w:rPr>
        <w:t xml:space="preserve">três causas de fundo</w:t>
      </w:r>
      <w:r>
        <w:rPr>
          <w:szCs w:val="20"/>
        </w:rPr>
        <w:t xml:space="preserve">, que se repetem nos três módulos:</w:t>
      </w:r>
    </w:p>
    <w:p>
      <w:pPr>
        <w:spacing w:after="0" w:line="360" w:lineRule="auto"/>
        <w:rPr>
          <w:szCs w:val="20"/>
        </w:rPr>
      </w:pPr>
      <w:r>
        <w:rPr>
          <w:szCs w:val="20"/>
        </w:rPr>
        <w:t xml:space="preserve">1. </w:t>
      </w:r>
      <w:r>
        <w:rPr>
          <w:b/>
          <w:bCs/>
          <w:szCs w:val="20"/>
        </w:rPr>
        <w:t xml:space="preserve">O acesso é controlado só na tela, e não no servidor.</w:t>
      </w:r>
      <w:r>
        <w:rPr>
          <w:szCs w:val="20"/>
        </w:rPr>
        <w:t xml:space="preserve"> Quem não tem permissão consegue abrir telas e executar ações (confirmado nos testes do Principal e do Estoque; previsto pelo código na GQ). 2. </w:t>
      </w:r>
      <w:r>
        <w:rPr>
          <w:b/>
          <w:bCs/>
          <w:szCs w:val="20"/>
        </w:rPr>
        <w:t xml:space="preserve">A trilha de auditoria e os registros são incompletos ou não confiáveis.</w:t>
      </w:r>
      <w:r>
        <w:rPr>
          <w:szCs w:val="20"/>
        </w:rPr>
        <w:t xml:space="preserve"> Há alterações sem histórico nos três módulos, datas que vêm da tela na GQ e, no Estoque, telas que mostram "sucesso" sem ter gravado nada (confirmado no teste). 3. </w:t>
      </w:r>
      <w:r>
        <w:rPr>
          <w:b/>
          <w:bCs/>
          <w:szCs w:val="20"/>
        </w:rPr>
        <w:t xml:space="preserve">Os módulos não conversam entre si.</w:t>
      </w:r>
      <w:r>
        <w:rPr>
          <w:szCs w:val="20"/>
        </w:rPr>
        <w:t xml:space="preserve"> As decisões da qualidade não viram travas: um lote com desvio, um fornecedor não aprovado, um registro de produto indeferido ou um operador sem treinamento válido não bloqueiam nada no Estoque nem na Produção. Várias travas que existiam no Estoque foram </w:t>
      </w:r>
      <w:r>
        <w:rPr>
          <w:b/>
          <w:bCs/>
          <w:szCs w:val="20"/>
        </w:rPr>
        <w:t xml:space="preserve">desligadas no código</w:t>
      </w:r>
      <w:r>
        <w:rPr>
          <w:szCs w:val="20"/>
        </w:rPr>
        <w:t xml:space="preserve"> (quarentena, reanálise vencida, conferência do lote do produto acabado).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ATÉ ONDE VAI ESTE DIAGNÓSTICO</w:t>
      </w:r>
    </w:p>
    <w:p>
      <w:pPr>
        <w:keepNext/>
        <w:spacing w:after="0" w:line="360" w:lineRule="auto"/>
      </w:pPr>
    </w:p>
    <w:tbl>
      <w:tblPr>
        <w:tblStyle w:val="Tabelacomgrade"/>
        <w:tblW w:w="9631" w:type="dxa"/>
        <w:tblLayout w:type="fixed"/>
        <w:tblLook w:val="04A0" w:firstRow="1" w:lastRow="0" w:firstColumn="1" w:lastColumn="0" w:noHBand="0" w:noVBand="1"/>
      </w:tblPr>
      <w:tblGrid>
        <w:gridCol w:w="1485"/>
        <w:gridCol w:w="2296"/>
        <w:gridCol w:w="3567"/>
        <w:gridCol w:w="2283"/>
      </w:tblGrid>
      <w:tr>
        <w:trPr>
          <w:tblHeader/>
          <w:cantSplit/>
        </w:trPr>
        <w:tc>
          <w:tcPr>
            <w:tcW w:w="14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Módulo</w:t>
            </w:r>
          </w:p>
        </w:tc>
        <w:tc>
          <w:tcPr>
            <w:tcW w:w="22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Base da análise</w:t>
            </w:r>
          </w:p>
        </w:tc>
        <w:tc>
          <w:tcPr>
            <w:tcW w:w="35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Testes nas telas</w:t>
            </w:r>
          </w:p>
        </w:tc>
        <w:tc>
          <w:tcPr>
            <w:tcW w:w="22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Grau de certeza</w:t>
            </w:r>
          </w:p>
        </w:tc>
      </w:tr>
      <w:tr>
        <w:trPr>
          <w:cantSplit/>
        </w:trPr>
        <w:tc>
          <w:tcPr>
            <w:tcW w:w="1485" w:type="dxa"/>
          </w:tcPr>
          <w:p>
            <w:pPr>
              <w:widowControl/>
              <w:spacing w:after="0" w:line="276" w:lineRule="auto"/>
              <w:jc w:val="left"/>
              <w:rPr>
                <w:sz w:val="18"/>
                <w:szCs w:val="18"/>
              </w:rPr>
            </w:pPr>
            <w:r>
              <w:rPr>
                <w:sz w:val="18"/>
                <w:szCs w:val="20"/>
              </w:rPr>
              <w:t xml:space="preserve">Principal</w:t>
            </w:r>
          </w:p>
        </w:tc>
        <w:tc>
          <w:tcPr>
            <w:tcW w:w="2296" w:type="dxa"/>
          </w:tcPr>
          <w:p>
            <w:pPr>
              <w:widowControl/>
              <w:spacing w:after="0" w:line="276" w:lineRule="auto"/>
              <w:jc w:val="left"/>
              <w:rPr>
                <w:sz w:val="18"/>
                <w:szCs w:val="18"/>
              </w:rPr>
            </w:pPr>
            <w:r>
              <w:rPr>
                <w:sz w:val="18"/>
                <w:szCs w:val="20"/>
              </w:rPr>
              <w:t xml:space="preserve">Código, pacote completo de documentos</w:t>
            </w:r>
          </w:p>
        </w:tc>
        <w:tc>
          <w:tcPr>
            <w:tcW w:w="3567" w:type="dxa"/>
          </w:tcPr>
          <w:p>
            <w:pPr>
              <w:widowControl/>
              <w:spacing w:after="0" w:line="276" w:lineRule="auto"/>
              <w:jc w:val="left"/>
              <w:rPr>
                <w:sz w:val="18"/>
                <w:szCs w:val="18"/>
              </w:rPr>
            </w:pPr>
            <w:r>
              <w:rPr>
                <w:sz w:val="18"/>
                <w:szCs w:val="20"/>
              </w:rPr>
              <w:t xml:space="preserve">78 testes (05 e 06/10): 48 aprovados, 25 reprovados, 5 bloqueados</w:t>
            </w:r>
          </w:p>
        </w:tc>
        <w:tc>
          <w:tcPr>
            <w:tcW w:w="2283" w:type="dxa"/>
          </w:tcPr>
          <w:p>
            <w:pPr>
              <w:widowControl/>
              <w:spacing w:after="0" w:line="276" w:lineRule="auto"/>
              <w:jc w:val="left"/>
              <w:rPr>
                <w:sz w:val="18"/>
                <w:szCs w:val="18"/>
              </w:rPr>
            </w:pPr>
            <w:r>
              <w:rPr>
                <w:sz w:val="18"/>
                <w:b/>
                <w:bCs/>
                <w:szCs w:val="20"/>
              </w:rPr>
              <w:t xml:space="preserve">Alto</w:t>
            </w:r>
          </w:p>
        </w:tc>
      </w:tr>
      <w:tr>
        <w:trPr>
          <w:cantSplit/>
        </w:trPr>
        <w:tc>
          <w:tcPr>
            <w:tcW w:w="1485" w:type="dxa"/>
          </w:tcPr>
          <w:p>
            <w:pPr>
              <w:widowControl/>
              <w:spacing w:after="0" w:line="276" w:lineRule="auto"/>
              <w:jc w:val="left"/>
              <w:rPr>
                <w:sz w:val="18"/>
                <w:szCs w:val="18"/>
              </w:rPr>
            </w:pPr>
            <w:r>
              <w:rPr>
                <w:sz w:val="18"/>
                <w:szCs w:val="20"/>
              </w:rPr>
              <w:t xml:space="preserve">Estoque</w:t>
            </w:r>
          </w:p>
        </w:tc>
        <w:tc>
          <w:tcPr>
            <w:tcW w:w="2296" w:type="dxa"/>
          </w:tcPr>
          <w:p>
            <w:pPr>
              <w:widowControl/>
              <w:spacing w:after="0" w:line="276" w:lineRule="auto"/>
              <w:jc w:val="left"/>
              <w:rPr>
                <w:sz w:val="18"/>
                <w:szCs w:val="18"/>
              </w:rPr>
            </w:pPr>
            <w:r>
              <w:rPr>
                <w:sz w:val="18"/>
                <w:szCs w:val="20"/>
              </w:rPr>
              <w:t xml:space="preserve">Código, 10 fluxos documentados</w:t>
            </w:r>
          </w:p>
        </w:tc>
        <w:tc>
          <w:tcPr>
            <w:tcW w:w="3567" w:type="dxa"/>
          </w:tcPr>
          <w:p>
            <w:pPr>
              <w:widowControl/>
              <w:spacing w:after="0" w:line="276" w:lineRule="auto"/>
              <w:jc w:val="left"/>
              <w:rPr>
                <w:sz w:val="18"/>
                <w:szCs w:val="18"/>
              </w:rPr>
            </w:pPr>
            <w:r>
              <w:rPr>
                <w:sz w:val="18"/>
                <w:szCs w:val="20"/>
              </w:rPr>
              <w:t xml:space="preserve">22 testes (07 e 08/10), concentrados no recebimento; </w:t>
            </w:r>
            <w:r>
              <w:rPr>
                <w:sz w:val="18"/>
                <w:b/>
                <w:bCs/>
                <w:szCs w:val="20"/>
              </w:rPr>
              <w:t xml:space="preserve">parados no endereçamento</w:t>
            </w:r>
            <w:r>
              <w:rPr>
                <w:sz w:val="18"/>
                <w:szCs w:val="20"/>
              </w:rPr>
              <w:t xml:space="preserve">, à espera do DBA. Quarentena e liberação pelo CQ não puderam ser testadas</w:t>
            </w:r>
          </w:p>
        </w:tc>
        <w:tc>
          <w:tcPr>
            <w:tcW w:w="2283" w:type="dxa"/>
          </w:tcPr>
          <w:p>
            <w:pPr>
              <w:widowControl/>
              <w:spacing w:after="0" w:line="276" w:lineRule="auto"/>
              <w:jc w:val="left"/>
              <w:rPr>
                <w:sz w:val="18"/>
                <w:szCs w:val="18"/>
              </w:rPr>
            </w:pPr>
            <w:r>
              <w:rPr>
                <w:sz w:val="18"/>
                <w:b/>
                <w:bCs/>
                <w:szCs w:val="20"/>
              </w:rPr>
              <w:t xml:space="preserve">Médio:</w:t>
            </w:r>
            <w:r>
              <w:rPr>
                <w:sz w:val="18"/>
                <w:szCs w:val="20"/>
              </w:rPr>
              <w:t xml:space="preserve"> recebimento confirmado; o resto, pelo código</w:t>
            </w:r>
          </w:p>
        </w:tc>
      </w:tr>
      <w:tr>
        <w:trPr>
          <w:cantSplit/>
        </w:trPr>
        <w:tc>
          <w:tcPr>
            <w:tcW w:w="1485" w:type="dxa"/>
          </w:tcPr>
          <w:p>
            <w:pPr>
              <w:widowControl/>
              <w:spacing w:after="0" w:line="276" w:lineRule="auto"/>
              <w:jc w:val="left"/>
              <w:rPr>
                <w:sz w:val="18"/>
                <w:szCs w:val="18"/>
              </w:rPr>
            </w:pPr>
            <w:r>
              <w:rPr>
                <w:sz w:val="18"/>
                <w:szCs w:val="20"/>
              </w:rPr>
              <w:t xml:space="preserve">Garantia da Qualidade</w:t>
            </w:r>
          </w:p>
        </w:tc>
        <w:tc>
          <w:tcPr>
            <w:tcW w:w="2296" w:type="dxa"/>
          </w:tcPr>
          <w:p>
            <w:pPr>
              <w:widowControl/>
              <w:spacing w:after="0" w:line="276" w:lineRule="auto"/>
              <w:jc w:val="left"/>
              <w:rPr>
                <w:sz w:val="18"/>
                <w:szCs w:val="18"/>
              </w:rPr>
            </w:pPr>
            <w:r>
              <w:rPr>
                <w:sz w:val="18"/>
                <w:szCs w:val="20"/>
              </w:rPr>
              <w:t xml:space="preserve">Código, 5 fluxos, regras, riscos</w:t>
            </w:r>
          </w:p>
        </w:tc>
        <w:tc>
          <w:tcPr>
            <w:tcW w:w="3567" w:type="dxa"/>
          </w:tcPr>
          <w:p>
            <w:pPr>
              <w:widowControl/>
              <w:spacing w:after="0" w:line="276" w:lineRule="auto"/>
              <w:jc w:val="left"/>
              <w:rPr>
                <w:sz w:val="18"/>
                <w:szCs w:val="18"/>
              </w:rPr>
            </w:pPr>
            <w:r>
              <w:rPr>
                <w:sz w:val="18"/>
                <w:b/>
                <w:bCs/>
                <w:szCs w:val="20"/>
              </w:rPr>
              <w:t xml:space="preserve">Em andamento</w:t>
            </w:r>
            <w:r>
              <w:rPr>
                <w:sz w:val="18"/>
                <w:szCs w:val="20"/>
              </w:rPr>
              <w:t xml:space="preserve"> (93 casos planejados)</w:t>
            </w:r>
          </w:p>
        </w:tc>
        <w:tc>
          <w:tcPr>
            <w:tcW w:w="2283" w:type="dxa"/>
          </w:tcPr>
          <w:p>
            <w:pPr>
              <w:widowControl/>
              <w:spacing w:after="0" w:line="276" w:lineRule="auto"/>
              <w:jc w:val="left"/>
              <w:rPr>
                <w:sz w:val="18"/>
                <w:szCs w:val="18"/>
              </w:rPr>
            </w:pPr>
            <w:r>
              <w:rPr>
                <w:sz w:val="18"/>
                <w:b/>
                <w:bCs/>
                <w:szCs w:val="20"/>
              </w:rPr>
              <w:t xml:space="preserve">Médio:</w:t>
            </w:r>
            <w:r>
              <w:rPr>
                <w:sz w:val="18"/>
                <w:szCs w:val="20"/>
              </w:rPr>
              <w:t xml:space="preserve"> pelo código; os testes podem confirmar ou corrigir</w:t>
            </w:r>
          </w:p>
        </w:tc>
      </w:tr>
    </w:tbl>
    <w:p>
      <w:pPr>
        <w:spacing w:after="0" w:line="360" w:lineRule="auto"/>
      </w:pPr>
    </w:p>
    <w:p>
      <w:pPr>
        <w:spacing w:after="0" w:line="360" w:lineRule="auto"/>
        <w:rPr>
          <w:szCs w:val="20"/>
        </w:rPr>
      </w:pPr>
      <w:r>
        <w:rPr>
          <w:b/>
          <w:bCs/>
          <w:szCs w:val="20"/>
        </w:rPr>
        <w:t xml:space="preserve">Controle da Qualidade:</w:t>
      </w:r>
      <w:r>
        <w:rPr>
          <w:szCs w:val="20"/>
        </w:rPr>
        <w:t xml:space="preserve"> analisado pelo código em 09/10/2026 só para o tema 14 (liberação do lote); a conformidade completa dele está em </w:t>
      </w:r>
      <w:r>
        <w:rPr>
          <w:szCs w:val="20"/>
        </w:rPr>
        <w:t xml:space="preserve">4.controle_qualidade/04-conformidade-regulatoria.md</w:t>
      </w:r>
      <w:r>
        <w:rPr>
          <w:szCs w:val="20"/>
        </w:rPr>
        <w:t xml:space="preserve">.</w:t>
      </w:r>
    </w:p>
    <w:p>
      <w:pPr>
        <w:spacing w:after="0" w:line="360" w:lineRule="auto"/>
        <w:rPr>
          <w:szCs w:val="20"/>
        </w:rPr>
      </w:pPr>
      <w:r>
        <w:rPr>
          <w:b/>
          <w:bCs/>
          <w:szCs w:val="20"/>
        </w:rPr>
        <w:t xml:space="preserve">Fora deste diagnóstico:</w:t>
      </w:r>
      <w:r>
        <w:rPr>
          <w:szCs w:val="20"/>
        </w:rPr>
        <w:t xml:space="preserve"> Produção (ordem, fabricação, calibração), Controle de Documentos, Comercial e Rastreabilidade. Alguns temas centrais da norma, como a </w:t>
      </w:r>
      <w:r>
        <w:rPr>
          <w:b/>
          <w:bCs/>
          <w:szCs w:val="20"/>
        </w:rPr>
        <w:t xml:space="preserve">liberação do lote pela pessoa designada</w:t>
      </w:r>
      <w:r>
        <w:rPr>
          <w:szCs w:val="20"/>
        </w:rPr>
        <w:t xml:space="preserve">, dependem deles.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QUADRO POR TEMA DA NORMA</w:t>
      </w:r>
    </w:p>
    <w:p>
      <w:pPr>
        <w:keepNext/>
        <w:spacing w:after="0" w:line="360" w:lineRule="auto"/>
      </w:pPr>
    </w:p>
    <w:p>
      <w:pPr>
        <w:spacing w:after="0" w:line="360" w:lineRule="auto"/>
        <w:rPr>
          <w:szCs w:val="20"/>
        </w:rPr>
      </w:pPr>
      <w:r>
        <w:rPr>
          <w:szCs w:val="20"/>
        </w:rPr>
        <w:t xml:space="preserve">Legenda: </w:t>
      </w:r>
      <w:r>
        <w:rPr>
          <w:b/>
          <w:bCs/>
          <w:szCs w:val="20"/>
        </w:rPr>
        <w:t xml:space="preserve">Atende</w:t>
      </w:r>
      <w:r>
        <w:rPr>
          <w:szCs w:val="20"/>
        </w:rPr>
        <w:t xml:space="preserve">; </w:t>
      </w:r>
      <w:r>
        <w:rPr>
          <w:b/>
          <w:bCs/>
          <w:szCs w:val="20"/>
        </w:rPr>
        <w:t xml:space="preserve">Parcial</w:t>
      </w:r>
      <w:r>
        <w:rPr>
          <w:szCs w:val="20"/>
        </w:rPr>
        <w:t xml:space="preserve"> (a função existe, mas falta parte do que a norma pede); </w:t>
      </w:r>
      <w:r>
        <w:rPr>
          <w:b/>
          <w:bCs/>
          <w:szCs w:val="20"/>
        </w:rPr>
        <w:t xml:space="preserve">Não atende</w:t>
      </w:r>
      <w:r>
        <w:rPr>
          <w:szCs w:val="20"/>
        </w:rPr>
        <w:t xml:space="preserve">; </w:t>
      </w:r>
      <w:r>
        <w:rPr>
          <w:b/>
          <w:bCs/>
          <w:szCs w:val="20"/>
        </w:rPr>
        <w:t xml:space="preserve">Protótipo</w:t>
      </w:r>
      <w:r>
        <w:rPr>
          <w:szCs w:val="20"/>
        </w:rPr>
        <w:t xml:space="preserve"> (tela sem gravação, na prática não atende); </w:t>
      </w:r>
      <w:r>
        <w:rPr>
          <w:b/>
          <w:bCs/>
          <w:szCs w:val="20"/>
        </w:rPr>
        <w:t xml:space="preserve">—</w:t>
      </w:r>
      <w:r>
        <w:rPr>
          <w:szCs w:val="20"/>
        </w:rPr>
        <w:t xml:space="preserve"> (o tema não cabe ao módulo). Marcação da evidência: </w:t>
      </w:r>
      <w:r>
        <w:rPr>
          <w:b/>
          <w:bCs/>
          <w:szCs w:val="20"/>
        </w:rPr>
        <w:t xml:space="preserve">(T)</w:t>
      </w:r>
      <w:r>
        <w:rPr>
          <w:szCs w:val="20"/>
        </w:rPr>
        <w:t xml:space="preserve"> confirmado em teste de tela; </w:t>
      </w:r>
      <w:r>
        <w:rPr>
          <w:b/>
          <w:bCs/>
          <w:szCs w:val="20"/>
        </w:rPr>
        <w:t xml:space="preserve">(C)</w:t>
      </w:r>
      <w:r>
        <w:rPr>
          <w:szCs w:val="20"/>
        </w:rPr>
        <w:t xml:space="preserve"> pelo código, a confirmar.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Sistema computadorizado (valem para todos os módulos)</w:t>
      </w:r>
    </w:p>
    <w:tbl>
      <w:tblPr>
        <w:tblStyle w:val="Tabelacomgrade"/>
        <w:tblW w:w="9631" w:type="dxa"/>
        <w:tblLayout w:type="fixed"/>
        <w:tblLook w:val="04A0" w:firstRow="1" w:lastRow="0" w:firstColumn="1" w:lastColumn="0" w:noHBand="0" w:noVBand="1"/>
      </w:tblPr>
      <w:tblGrid>
        <w:gridCol w:w="292"/>
        <w:gridCol w:w="1627"/>
        <w:gridCol w:w="2712"/>
        <w:gridCol w:w="1360"/>
        <w:gridCol w:w="1360"/>
        <w:gridCol w:w="1093"/>
        <w:gridCol w:w="1187"/>
      </w:tblGrid>
      <w:tr>
        <w:trPr>
          <w:tblHeader/>
          <w:cantSplit/>
        </w:trPr>
        <w:tc>
          <w:tcPr>
            <w:tcW w:w="2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16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Tema</w:t>
            </w:r>
          </w:p>
        </w:tc>
        <w:tc>
          <w:tcPr>
            <w:tcW w:w="27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Referência</w:t>
            </w:r>
          </w:p>
        </w:tc>
        <w:tc>
          <w:tcPr>
            <w:tcW w:w="13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Principal</w:t>
            </w:r>
          </w:p>
        </w:tc>
        <w:tc>
          <w:tcPr>
            <w:tcW w:w="13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Estoque</w:t>
            </w:r>
          </w:p>
        </w:tc>
        <w:tc>
          <w:tcPr>
            <w:tcW w:w="10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GQ</w:t>
            </w:r>
          </w:p>
        </w:tc>
        <w:tc>
          <w:tcPr>
            <w:tcW w:w="11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geral</w:t>
            </w:r>
          </w:p>
        </w:tc>
      </w:tr>
      <w:tr>
        <w:trPr>
          <w:cantSplit/>
        </w:trPr>
        <w:tc>
          <w:tcPr>
            <w:tcW w:w="292" w:type="dxa"/>
          </w:tcPr>
          <w:p>
            <w:pPr>
              <w:widowControl/>
              <w:spacing w:after="0" w:line="276" w:lineRule="auto"/>
              <w:jc w:val="left"/>
              <w:rPr>
                <w:sz w:val="18"/>
                <w:szCs w:val="18"/>
              </w:rPr>
            </w:pPr>
            <w:r>
              <w:rPr>
                <w:sz w:val="18"/>
                <w:szCs w:val="20"/>
              </w:rPr>
              <w:t xml:space="preserve">1</w:t>
            </w:r>
          </w:p>
        </w:tc>
        <w:tc>
          <w:tcPr>
            <w:tcW w:w="1627" w:type="dxa"/>
          </w:tcPr>
          <w:p>
            <w:pPr>
              <w:widowControl/>
              <w:spacing w:after="0" w:line="276" w:lineRule="auto"/>
              <w:jc w:val="left"/>
              <w:rPr>
                <w:sz w:val="18"/>
                <w:szCs w:val="18"/>
              </w:rPr>
            </w:pPr>
            <w:r>
              <w:rPr>
                <w:sz w:val="18"/>
                <w:szCs w:val="20"/>
              </w:rPr>
              <w:t xml:space="preserve">Controle de acesso por função</w:t>
            </w:r>
          </w:p>
        </w:tc>
        <w:tc>
          <w:tcPr>
            <w:tcW w:w="2712" w:type="dxa"/>
          </w:tcPr>
          <w:p>
            <w:pPr>
              <w:widowControl/>
              <w:spacing w:after="0" w:line="276" w:lineRule="auto"/>
              <w:jc w:val="left"/>
              <w:rPr>
                <w:sz w:val="18"/>
                <w:szCs w:val="18"/>
              </w:rPr>
            </w:pPr>
            <w:r>
              <w:rPr>
                <w:sz w:val="18"/>
                <w:szCs w:val="20"/>
              </w:rPr>
              <w:t xml:space="preserve">Guia 33, 9.3.2.3 e 9.7.7.1.2</w:t>
            </w:r>
          </w:p>
        </w:tc>
        <w:tc>
          <w:tcPr>
            <w:tcW w:w="1360" w:type="dxa"/>
          </w:tcPr>
          <w:p>
            <w:pPr>
              <w:widowControl/>
              <w:spacing w:after="0" w:line="276" w:lineRule="auto"/>
              <w:jc w:val="left"/>
              <w:rPr>
                <w:sz w:val="18"/>
                <w:szCs w:val="18"/>
              </w:rPr>
            </w:pPr>
            <w:r>
              <w:rPr>
                <w:sz w:val="18"/>
                <w:szCs w:val="20"/>
              </w:rPr>
              <w:t xml:space="preserve">Não atende (T)</w:t>
            </w:r>
          </w:p>
        </w:tc>
        <w:tc>
          <w:tcPr>
            <w:tcW w:w="1360" w:type="dxa"/>
          </w:tcPr>
          <w:p>
            <w:pPr>
              <w:widowControl/>
              <w:spacing w:after="0" w:line="276" w:lineRule="auto"/>
              <w:jc w:val="left"/>
              <w:rPr>
                <w:sz w:val="18"/>
                <w:szCs w:val="18"/>
              </w:rPr>
            </w:pPr>
            <w:r>
              <w:rPr>
                <w:sz w:val="18"/>
                <w:szCs w:val="20"/>
              </w:rPr>
              <w:t xml:space="preserve">Não atende (T): telas abrem sem permissão; qualquer usuário autoriza a entrada de material</w:t>
            </w:r>
          </w:p>
        </w:tc>
        <w:tc>
          <w:tcPr>
            <w:tcW w:w="1093" w:type="dxa"/>
          </w:tcPr>
          <w:p>
            <w:pPr>
              <w:widowControl/>
              <w:spacing w:after="0" w:line="276" w:lineRule="auto"/>
              <w:jc w:val="left"/>
              <w:rPr>
                <w:sz w:val="18"/>
                <w:szCs w:val="18"/>
              </w:rPr>
            </w:pPr>
            <w:r>
              <w:rPr>
                <w:sz w:val="18"/>
                <w:szCs w:val="20"/>
              </w:rPr>
              <w:t xml:space="preserve">Não atende (C): as ações do perfil não limitam as telas da GQ</w:t>
            </w:r>
          </w:p>
        </w:tc>
        <w:tc>
          <w:tcPr>
            <w:tcW w:w="1187" w:type="dxa"/>
          </w:tcPr>
          <w:p>
            <w:pPr>
              <w:widowControl/>
              <w:spacing w:after="0" w:line="276" w:lineRule="auto"/>
              <w:jc w:val="left"/>
              <w:rPr>
                <w:sz w:val="18"/>
                <w:szCs w:val="18"/>
              </w:rPr>
            </w:pPr>
            <w:r>
              <w:rPr>
                <w:sz w:val="18"/>
                <w:b/>
                <w:bCs/>
                <w:szCs w:val="20"/>
              </w:rPr>
              <w:t xml:space="preserve">Não atende</w:t>
            </w:r>
          </w:p>
        </w:tc>
      </w:tr>
      <w:tr>
        <w:trPr>
          <w:cantSplit/>
        </w:trPr>
        <w:tc>
          <w:tcPr>
            <w:tcW w:w="292" w:type="dxa"/>
          </w:tcPr>
          <w:p>
            <w:pPr>
              <w:widowControl/>
              <w:spacing w:after="0" w:line="276" w:lineRule="auto"/>
              <w:jc w:val="left"/>
              <w:rPr>
                <w:sz w:val="18"/>
                <w:szCs w:val="18"/>
              </w:rPr>
            </w:pPr>
            <w:r>
              <w:rPr>
                <w:sz w:val="18"/>
                <w:szCs w:val="20"/>
              </w:rPr>
              <w:t xml:space="preserve">2</w:t>
            </w:r>
          </w:p>
        </w:tc>
        <w:tc>
          <w:tcPr>
            <w:tcW w:w="1627" w:type="dxa"/>
          </w:tcPr>
          <w:p>
            <w:pPr>
              <w:widowControl/>
              <w:spacing w:after="0" w:line="276" w:lineRule="auto"/>
              <w:jc w:val="left"/>
              <w:rPr>
                <w:sz w:val="18"/>
                <w:szCs w:val="18"/>
              </w:rPr>
            </w:pPr>
            <w:r>
              <w:rPr>
                <w:sz w:val="18"/>
                <w:szCs w:val="20"/>
              </w:rPr>
              <w:t xml:space="preserve">Identificação e senha do usuário</w:t>
            </w:r>
          </w:p>
        </w:tc>
        <w:tc>
          <w:tcPr>
            <w:tcW w:w="2712" w:type="dxa"/>
          </w:tcPr>
          <w:p>
            <w:pPr>
              <w:widowControl/>
              <w:spacing w:after="0" w:line="276" w:lineRule="auto"/>
              <w:jc w:val="left"/>
              <w:rPr>
                <w:sz w:val="18"/>
                <w:szCs w:val="18"/>
              </w:rPr>
            </w:pPr>
            <w:r>
              <w:rPr>
                <w:sz w:val="18"/>
                <w:szCs w:val="20"/>
              </w:rPr>
              <w:t xml:space="preserve">Guia 33, 7.3.1 e 9.3.2.3</w:t>
            </w:r>
          </w:p>
        </w:tc>
        <w:tc>
          <w:tcPr>
            <w:tcW w:w="1360" w:type="dxa"/>
          </w:tcPr>
          <w:p>
            <w:pPr>
              <w:widowControl/>
              <w:spacing w:after="0" w:line="276" w:lineRule="auto"/>
              <w:jc w:val="left"/>
              <w:rPr>
                <w:sz w:val="18"/>
                <w:szCs w:val="18"/>
              </w:rPr>
            </w:pPr>
            <w:r>
              <w:rPr>
                <w:sz w:val="18"/>
                <w:szCs w:val="20"/>
              </w:rPr>
              <w:t xml:space="preserve">Não atende (T): guarda de senhas fora do padrão; troca obrigatória pode ser pulada</w:t>
            </w:r>
          </w:p>
        </w:tc>
        <w:tc>
          <w:tcPr>
            <w:tcW w:w="1360" w:type="dxa"/>
          </w:tcPr>
          <w:p>
            <w:pPr>
              <w:widowControl/>
              <w:spacing w:after="0" w:line="276" w:lineRule="auto"/>
              <w:jc w:val="left"/>
              <w:rPr>
                <w:sz w:val="18"/>
                <w:szCs w:val="18"/>
              </w:rPr>
            </w:pPr>
            <w:r>
              <w:rPr>
                <w:sz w:val="18"/>
                <w:szCs w:val="20"/>
              </w:rPr>
              <w:t xml:space="preserve">Usa o Principal</w:t>
            </w:r>
          </w:p>
        </w:tc>
        <w:tc>
          <w:tcPr>
            <w:tcW w:w="1093" w:type="dxa"/>
          </w:tcPr>
          <w:p>
            <w:pPr>
              <w:widowControl/>
              <w:spacing w:after="0" w:line="276" w:lineRule="auto"/>
              <w:jc w:val="left"/>
              <w:rPr>
                <w:sz w:val="18"/>
                <w:szCs w:val="18"/>
              </w:rPr>
            </w:pPr>
            <w:r>
              <w:rPr>
                <w:sz w:val="18"/>
                <w:szCs w:val="20"/>
              </w:rPr>
              <w:t xml:space="preserve">Usa o Principal</w:t>
            </w:r>
          </w:p>
        </w:tc>
        <w:tc>
          <w:tcPr>
            <w:tcW w:w="1187" w:type="dxa"/>
          </w:tcPr>
          <w:p>
            <w:pPr>
              <w:widowControl/>
              <w:spacing w:after="0" w:line="276" w:lineRule="auto"/>
              <w:jc w:val="left"/>
              <w:rPr>
                <w:sz w:val="18"/>
                <w:szCs w:val="18"/>
              </w:rPr>
            </w:pPr>
            <w:r>
              <w:rPr>
                <w:sz w:val="18"/>
                <w:b/>
                <w:bCs/>
                <w:szCs w:val="20"/>
              </w:rPr>
              <w:t xml:space="preserve">Não atende</w:t>
            </w:r>
          </w:p>
        </w:tc>
      </w:tr>
      <w:tr>
        <w:trPr>
          <w:cantSplit/>
        </w:trPr>
        <w:tc>
          <w:tcPr>
            <w:tcW w:w="292" w:type="dxa"/>
          </w:tcPr>
          <w:p>
            <w:pPr>
              <w:widowControl/>
              <w:spacing w:after="0" w:line="276" w:lineRule="auto"/>
              <w:jc w:val="left"/>
              <w:rPr>
                <w:sz w:val="18"/>
                <w:szCs w:val="18"/>
              </w:rPr>
            </w:pPr>
            <w:r>
              <w:rPr>
                <w:sz w:val="18"/>
                <w:szCs w:val="20"/>
              </w:rPr>
              <w:t xml:space="preserve">3</w:t>
            </w:r>
          </w:p>
        </w:tc>
        <w:tc>
          <w:tcPr>
            <w:tcW w:w="1627" w:type="dxa"/>
          </w:tcPr>
          <w:p>
            <w:pPr>
              <w:widowControl/>
              <w:spacing w:after="0" w:line="276" w:lineRule="auto"/>
              <w:jc w:val="left"/>
              <w:rPr>
                <w:sz w:val="18"/>
                <w:szCs w:val="18"/>
              </w:rPr>
            </w:pPr>
            <w:r>
              <w:rPr>
                <w:sz w:val="18"/>
                <w:szCs w:val="20"/>
              </w:rPr>
              <w:t xml:space="preserve">Trilha de auditoria: toda alteração registrada, com quem, quando, valor anterior e motivo</w:t>
            </w:r>
          </w:p>
        </w:tc>
        <w:tc>
          <w:tcPr>
            <w:tcW w:w="2712" w:type="dxa"/>
          </w:tcPr>
          <w:p>
            <w:pPr>
              <w:widowControl/>
              <w:spacing w:after="0" w:line="276" w:lineRule="auto"/>
              <w:jc w:val="left"/>
              <w:rPr>
                <w:sz w:val="18"/>
                <w:szCs w:val="18"/>
              </w:rPr>
            </w:pPr>
            <w:r>
              <w:rPr>
                <w:sz w:val="18"/>
                <w:szCs w:val="20"/>
              </w:rPr>
              <w:t xml:space="preserve">RDC 658, art. 125</w:t>
            </w:r>
          </w:p>
        </w:tc>
        <w:tc>
          <w:tcPr>
            <w:tcW w:w="1360" w:type="dxa"/>
          </w:tcPr>
          <w:p>
            <w:pPr>
              <w:widowControl/>
              <w:spacing w:after="0" w:line="276" w:lineRule="auto"/>
              <w:jc w:val="left"/>
              <w:rPr>
                <w:sz w:val="18"/>
                <w:szCs w:val="18"/>
              </w:rPr>
            </w:pPr>
            <w:r>
              <w:rPr>
                <w:sz w:val="18"/>
                <w:szCs w:val="20"/>
              </w:rPr>
              <w:t xml:space="preserve">Parcial (T): histórico campo a campo, mas exclusão sem justificativa e histórico do excluído não consultável</w:t>
            </w:r>
          </w:p>
        </w:tc>
        <w:tc>
          <w:tcPr>
            <w:tcW w:w="1360" w:type="dxa"/>
          </w:tcPr>
          <w:p>
            <w:pPr>
              <w:widowControl/>
              <w:spacing w:after="0" w:line="276" w:lineRule="auto"/>
              <w:jc w:val="left"/>
              <w:rPr>
                <w:sz w:val="18"/>
                <w:szCs w:val="18"/>
              </w:rPr>
            </w:pPr>
            <w:r>
              <w:rPr>
                <w:sz w:val="18"/>
                <w:szCs w:val="20"/>
              </w:rPr>
              <w:t xml:space="preserve">Não atende (C): cópia da tela de Perfil grava sem histórico; saldos alterados pelo banco sem autor</w:t>
            </w:r>
          </w:p>
        </w:tc>
        <w:tc>
          <w:tcPr>
            <w:tcW w:w="1093" w:type="dxa"/>
          </w:tcPr>
          <w:p>
            <w:pPr>
              <w:widowControl/>
              <w:spacing w:after="0" w:line="276" w:lineRule="auto"/>
              <w:jc w:val="left"/>
              <w:rPr>
                <w:sz w:val="18"/>
                <w:szCs w:val="18"/>
              </w:rPr>
            </w:pPr>
            <w:r>
              <w:rPr>
                <w:sz w:val="18"/>
                <w:szCs w:val="20"/>
              </w:rPr>
              <w:t xml:space="preserve">Parcial (C): histórico só em parte das gravações; a tabela do histórico não está no projeto de banco</w:t>
            </w:r>
          </w:p>
        </w:tc>
        <w:tc>
          <w:tcPr>
            <w:tcW w:w="1187" w:type="dxa"/>
          </w:tcPr>
          <w:p>
            <w:pPr>
              <w:widowControl/>
              <w:spacing w:after="0" w:line="276" w:lineRule="auto"/>
              <w:jc w:val="left"/>
              <w:rPr>
                <w:sz w:val="18"/>
                <w:szCs w:val="18"/>
              </w:rPr>
            </w:pPr>
            <w:r>
              <w:rPr>
                <w:sz w:val="18"/>
                <w:b/>
                <w:bCs/>
                <w:szCs w:val="20"/>
              </w:rPr>
              <w:t xml:space="preserve">Parcial</w:t>
            </w:r>
          </w:p>
        </w:tc>
      </w:tr>
      <w:tr>
        <w:trPr>
          <w:cantSplit/>
        </w:trPr>
        <w:tc>
          <w:tcPr>
            <w:tcW w:w="292" w:type="dxa"/>
          </w:tcPr>
          <w:p>
            <w:pPr>
              <w:widowControl/>
              <w:spacing w:after="0" w:line="276" w:lineRule="auto"/>
              <w:jc w:val="left"/>
              <w:rPr>
                <w:sz w:val="18"/>
                <w:szCs w:val="18"/>
              </w:rPr>
            </w:pPr>
            <w:r>
              <w:rPr>
                <w:sz w:val="18"/>
                <w:szCs w:val="20"/>
              </w:rPr>
              <w:t xml:space="preserve">4</w:t>
            </w:r>
          </w:p>
        </w:tc>
        <w:tc>
          <w:tcPr>
            <w:tcW w:w="1627" w:type="dxa"/>
          </w:tcPr>
          <w:p>
            <w:pPr>
              <w:widowControl/>
              <w:spacing w:after="0" w:line="276" w:lineRule="auto"/>
              <w:jc w:val="left"/>
              <w:rPr>
                <w:sz w:val="18"/>
                <w:szCs w:val="18"/>
              </w:rPr>
            </w:pPr>
            <w:r>
              <w:rPr>
                <w:sz w:val="18"/>
                <w:szCs w:val="20"/>
              </w:rPr>
              <w:t xml:space="preserve">Registro feito no momento da ação, e que corresponde ao que aconteceu</w:t>
            </w:r>
          </w:p>
        </w:tc>
        <w:tc>
          <w:tcPr>
            <w:tcW w:w="2712" w:type="dxa"/>
          </w:tcPr>
          <w:p>
            <w:pPr>
              <w:widowControl/>
              <w:spacing w:after="0" w:line="276" w:lineRule="auto"/>
              <w:jc w:val="left"/>
              <w:rPr>
                <w:sz w:val="18"/>
                <w:szCs w:val="18"/>
              </w:rPr>
            </w:pPr>
            <w:r>
              <w:rPr>
                <w:sz w:val="18"/>
                <w:szCs w:val="20"/>
              </w:rPr>
              <w:t xml:space="preserve">RDC 658, art. 124; Guia 33, 9.3.2.3</w:t>
            </w:r>
          </w:p>
        </w:tc>
        <w:tc>
          <w:tcPr>
            <w:tcW w:w="1360" w:type="dxa"/>
          </w:tcPr>
          <w:p>
            <w:pPr>
              <w:widowControl/>
              <w:spacing w:after="0" w:line="276" w:lineRule="auto"/>
              <w:jc w:val="left"/>
              <w:rPr>
                <w:sz w:val="18"/>
                <w:szCs w:val="18"/>
              </w:rPr>
            </w:pPr>
            <w:r>
              <w:rPr>
                <w:sz w:val="18"/>
                <w:szCs w:val="20"/>
              </w:rPr>
              <w:t xml:space="preserve">Atende em parte</w:t>
            </w:r>
          </w:p>
        </w:tc>
        <w:tc>
          <w:tcPr>
            <w:tcW w:w="1360" w:type="dxa"/>
          </w:tcPr>
          <w:p>
            <w:pPr>
              <w:widowControl/>
              <w:spacing w:after="0" w:line="276" w:lineRule="auto"/>
              <w:jc w:val="left"/>
              <w:rPr>
                <w:sz w:val="18"/>
                <w:szCs w:val="18"/>
              </w:rPr>
            </w:pPr>
            <w:r>
              <w:rPr>
                <w:sz w:val="18"/>
                <w:szCs w:val="20"/>
              </w:rPr>
              <w:t xml:space="preserve">Não atende (T): o endereçamento mostra sucesso sem gravar; a conferência fica "conferida" mesmo com erro</w:t>
            </w:r>
          </w:p>
        </w:tc>
        <w:tc>
          <w:tcPr>
            <w:tcW w:w="1093" w:type="dxa"/>
          </w:tcPr>
          <w:p>
            <w:pPr>
              <w:widowControl/>
              <w:spacing w:after="0" w:line="276" w:lineRule="auto"/>
              <w:jc w:val="left"/>
              <w:rPr>
                <w:sz w:val="18"/>
                <w:szCs w:val="18"/>
              </w:rPr>
            </w:pPr>
            <w:r>
              <w:rPr>
                <w:sz w:val="18"/>
                <w:szCs w:val="20"/>
              </w:rPr>
              <w:t xml:space="preserve">Não atende (C): datas das etapas vêm da tela</w:t>
            </w:r>
          </w:p>
        </w:tc>
        <w:tc>
          <w:tcPr>
            <w:tcW w:w="1187" w:type="dxa"/>
          </w:tcPr>
          <w:p>
            <w:pPr>
              <w:widowControl/>
              <w:spacing w:after="0" w:line="276" w:lineRule="auto"/>
              <w:jc w:val="left"/>
              <w:rPr>
                <w:sz w:val="18"/>
                <w:szCs w:val="18"/>
              </w:rPr>
            </w:pPr>
            <w:r>
              <w:rPr>
                <w:sz w:val="18"/>
                <w:b/>
                <w:bCs/>
                <w:szCs w:val="20"/>
              </w:rPr>
              <w:t xml:space="preserve">Não atende</w:t>
            </w:r>
          </w:p>
        </w:tc>
      </w:tr>
      <w:tr>
        <w:trPr>
          <w:cantSplit/>
        </w:trPr>
        <w:tc>
          <w:tcPr>
            <w:tcW w:w="292" w:type="dxa"/>
          </w:tcPr>
          <w:p>
            <w:pPr>
              <w:widowControl/>
              <w:spacing w:after="0" w:line="276" w:lineRule="auto"/>
              <w:jc w:val="left"/>
              <w:rPr>
                <w:sz w:val="18"/>
                <w:szCs w:val="18"/>
              </w:rPr>
            </w:pPr>
            <w:r>
              <w:rPr>
                <w:sz w:val="18"/>
                <w:szCs w:val="20"/>
              </w:rPr>
              <w:t xml:space="preserve">5</w:t>
            </w:r>
          </w:p>
        </w:tc>
        <w:tc>
          <w:tcPr>
            <w:tcW w:w="1627" w:type="dxa"/>
          </w:tcPr>
          <w:p>
            <w:pPr>
              <w:widowControl/>
              <w:spacing w:after="0" w:line="276" w:lineRule="auto"/>
              <w:jc w:val="left"/>
              <w:rPr>
                <w:sz w:val="18"/>
                <w:szCs w:val="18"/>
              </w:rPr>
            </w:pPr>
            <w:r>
              <w:rPr>
                <w:sz w:val="18"/>
                <w:szCs w:val="20"/>
              </w:rPr>
              <w:t xml:space="preserve">Assinatura eletrônica nas aprovações</w:t>
            </w:r>
          </w:p>
        </w:tc>
        <w:tc>
          <w:tcPr>
            <w:tcW w:w="2712" w:type="dxa"/>
          </w:tcPr>
          <w:p>
            <w:pPr>
              <w:widowControl/>
              <w:spacing w:after="0" w:line="276" w:lineRule="auto"/>
              <w:jc w:val="left"/>
              <w:rPr>
                <w:sz w:val="18"/>
                <w:szCs w:val="18"/>
              </w:rPr>
            </w:pPr>
            <w:r>
              <w:rPr>
                <w:sz w:val="18"/>
                <w:szCs w:val="20"/>
              </w:rPr>
              <w:t xml:space="preserve">Guia 33, 9.3.2.3; IN 134/2022 (a confirmar a vigente)</w:t>
            </w:r>
          </w:p>
        </w:tc>
        <w:tc>
          <w:tcPr>
            <w:tcW w:w="1360" w:type="dxa"/>
          </w:tcPr>
          <w:p>
            <w:pPr>
              <w:widowControl/>
              <w:spacing w:after="0" w:line="276" w:lineRule="auto"/>
              <w:jc w:val="left"/>
              <w:rPr>
                <w:sz w:val="18"/>
                <w:szCs w:val="18"/>
              </w:rPr>
            </w:pPr>
            <w:r>
              <w:rPr>
                <w:sz w:val="18"/>
                <w:szCs w:val="20"/>
              </w:rPr>
              <w:t xml:space="preserve">—</w:t>
            </w:r>
          </w:p>
        </w:tc>
        <w:tc>
          <w:tcPr>
            <w:tcW w:w="1360" w:type="dxa"/>
          </w:tcPr>
          <w:p>
            <w:pPr>
              <w:widowControl/>
              <w:spacing w:after="0" w:line="276" w:lineRule="auto"/>
              <w:jc w:val="left"/>
              <w:rPr>
                <w:sz w:val="18"/>
                <w:szCs w:val="18"/>
              </w:rPr>
            </w:pPr>
            <w:r>
              <w:rPr>
                <w:sz w:val="18"/>
                <w:szCs w:val="20"/>
              </w:rPr>
              <w:t xml:space="preserve">Parcial (T): separa quem cadastra de quem autoriza, mas sem senha e sem conferir a função</w:t>
            </w:r>
          </w:p>
        </w:tc>
        <w:tc>
          <w:tcPr>
            <w:tcW w:w="1093" w:type="dxa"/>
          </w:tcPr>
          <w:p>
            <w:pPr>
              <w:widowControl/>
              <w:spacing w:after="0" w:line="276" w:lineRule="auto"/>
              <w:jc w:val="left"/>
              <w:rPr>
                <w:sz w:val="18"/>
                <w:szCs w:val="18"/>
              </w:rPr>
            </w:pPr>
            <w:r>
              <w:rPr>
                <w:sz w:val="18"/>
                <w:szCs w:val="20"/>
              </w:rPr>
              <w:t xml:space="preserve">Não atende (C): nenhuma aprovação pede senha; quem escreve o plano o aprova</w:t>
            </w:r>
          </w:p>
        </w:tc>
        <w:tc>
          <w:tcPr>
            <w:tcW w:w="1187" w:type="dxa"/>
          </w:tcPr>
          <w:p>
            <w:pPr>
              <w:widowControl/>
              <w:spacing w:after="0" w:line="276" w:lineRule="auto"/>
              <w:jc w:val="left"/>
              <w:rPr>
                <w:sz w:val="18"/>
                <w:szCs w:val="18"/>
              </w:rPr>
            </w:pPr>
            <w:r>
              <w:rPr>
                <w:sz w:val="18"/>
                <w:b/>
                <w:bCs/>
                <w:szCs w:val="20"/>
              </w:rPr>
              <w:t xml:space="preserve">Não atende</w:t>
            </w:r>
          </w:p>
        </w:tc>
      </w:tr>
      <w:tr>
        <w:trPr>
          <w:cantSplit/>
        </w:trPr>
        <w:tc>
          <w:tcPr>
            <w:tcW w:w="292" w:type="dxa"/>
          </w:tcPr>
          <w:p>
            <w:pPr>
              <w:widowControl/>
              <w:spacing w:after="0" w:line="276" w:lineRule="auto"/>
              <w:jc w:val="left"/>
              <w:rPr>
                <w:sz w:val="18"/>
                <w:szCs w:val="18"/>
              </w:rPr>
            </w:pPr>
            <w:r>
              <w:rPr>
                <w:sz w:val="18"/>
                <w:szCs w:val="20"/>
              </w:rPr>
              <w:t xml:space="preserve">6</w:t>
            </w:r>
          </w:p>
        </w:tc>
        <w:tc>
          <w:tcPr>
            <w:tcW w:w="1627" w:type="dxa"/>
          </w:tcPr>
          <w:p>
            <w:pPr>
              <w:widowControl/>
              <w:spacing w:after="0" w:line="276" w:lineRule="auto"/>
              <w:jc w:val="left"/>
              <w:rPr>
                <w:sz w:val="18"/>
                <w:szCs w:val="18"/>
              </w:rPr>
            </w:pPr>
            <w:r>
              <w:rPr>
                <w:sz w:val="18"/>
                <w:szCs w:val="20"/>
              </w:rPr>
              <w:t xml:space="preserve">Validação do sistema (requisitos, testes, rastreabilidade)</w:t>
            </w:r>
          </w:p>
        </w:tc>
        <w:tc>
          <w:tcPr>
            <w:tcW w:w="2712" w:type="dxa"/>
          </w:tcPr>
          <w:p>
            <w:pPr>
              <w:widowControl/>
              <w:spacing w:after="0" w:line="276" w:lineRule="auto"/>
              <w:jc w:val="left"/>
              <w:rPr>
                <w:sz w:val="18"/>
                <w:szCs w:val="18"/>
              </w:rPr>
            </w:pPr>
            <w:r>
              <w:rPr>
                <w:sz w:val="18"/>
                <w:szCs w:val="20"/>
              </w:rPr>
              <w:t xml:space="preserve">Guia 33, item 9 (GAMP 5, categoria 5)</w:t>
            </w:r>
          </w:p>
        </w:tc>
        <w:tc>
          <w:tcPr>
            <w:tcW w:w="1360" w:type="dxa"/>
          </w:tcPr>
          <w:p>
            <w:pPr>
              <w:widowControl/>
              <w:spacing w:after="0" w:line="276" w:lineRule="auto"/>
              <w:jc w:val="left"/>
              <w:rPr>
                <w:sz w:val="18"/>
                <w:szCs w:val="18"/>
              </w:rPr>
            </w:pPr>
            <w:r>
              <w:rPr>
                <w:sz w:val="18"/>
                <w:szCs w:val="20"/>
              </w:rPr>
              <w:t xml:space="preserve">Sem documentação do fornecedor; o pacote desta homologação a supre</w:t>
            </w:r>
          </w:p>
        </w:tc>
        <w:tc>
          <w:tcPr>
            <w:tcW w:w="1360" w:type="dxa"/>
          </w:tcPr>
          <w:p>
            <w:pPr>
              <w:widowControl/>
              <w:spacing w:after="0" w:line="276" w:lineRule="auto"/>
              <w:jc w:val="left"/>
              <w:rPr>
                <w:sz w:val="18"/>
                <w:szCs w:val="18"/>
              </w:rPr>
            </w:pPr>
            <w:r>
              <w:rPr>
                <w:sz w:val="18"/>
                <w:szCs w:val="20"/>
              </w:rPr>
              <w:t xml:space="preserve">Idem</w:t>
            </w:r>
          </w:p>
        </w:tc>
        <w:tc>
          <w:tcPr>
            <w:tcW w:w="1093" w:type="dxa"/>
          </w:tcPr>
          <w:p>
            <w:pPr>
              <w:widowControl/>
              <w:spacing w:after="0" w:line="276" w:lineRule="auto"/>
              <w:jc w:val="left"/>
              <w:rPr>
                <w:sz w:val="18"/>
                <w:szCs w:val="18"/>
              </w:rPr>
            </w:pPr>
            <w:r>
              <w:rPr>
                <w:sz w:val="18"/>
                <w:szCs w:val="20"/>
              </w:rPr>
              <w:t xml:space="preserve">Idem</w:t>
            </w:r>
          </w:p>
        </w:tc>
        <w:tc>
          <w:tcPr>
            <w:tcW w:w="1187" w:type="dxa"/>
          </w:tcPr>
          <w:p>
            <w:pPr>
              <w:widowControl/>
              <w:spacing w:after="0" w:line="276" w:lineRule="auto"/>
              <w:jc w:val="left"/>
              <w:rPr>
                <w:sz w:val="18"/>
                <w:szCs w:val="18"/>
              </w:rPr>
            </w:pPr>
            <w:r>
              <w:rPr>
                <w:sz w:val="18"/>
                <w:b/>
                <w:bCs/>
                <w:szCs w:val="20"/>
              </w:rPr>
              <w:t xml:space="preserve">Parcial</w:t>
            </w:r>
            <w:r>
              <w:rPr>
                <w:sz w:val="18"/>
                <w:szCs w:val="20"/>
              </w:rPr>
              <w:t xml:space="preserve"> (em construção)</w:t>
            </w:r>
          </w:p>
        </w:tc>
      </w:tr>
      <w:tr>
        <w:trPr>
          <w:cantSplit/>
        </w:trPr>
        <w:tc>
          <w:tcPr>
            <w:tcW w:w="292" w:type="dxa"/>
          </w:tcPr>
          <w:p>
            <w:pPr>
              <w:widowControl/>
              <w:spacing w:after="0" w:line="276" w:lineRule="auto"/>
              <w:jc w:val="left"/>
              <w:rPr>
                <w:sz w:val="18"/>
                <w:szCs w:val="18"/>
              </w:rPr>
            </w:pPr>
            <w:r>
              <w:rPr>
                <w:sz w:val="18"/>
                <w:szCs w:val="20"/>
              </w:rPr>
              <w:t xml:space="preserve">7</w:t>
            </w:r>
          </w:p>
        </w:tc>
        <w:tc>
          <w:tcPr>
            <w:tcW w:w="1627" w:type="dxa"/>
          </w:tcPr>
          <w:p>
            <w:pPr>
              <w:widowControl/>
              <w:spacing w:after="0" w:line="276" w:lineRule="auto"/>
              <w:jc w:val="left"/>
              <w:rPr>
                <w:sz w:val="18"/>
                <w:szCs w:val="18"/>
              </w:rPr>
            </w:pPr>
            <w:r>
              <w:rPr>
                <w:sz w:val="18"/>
                <w:szCs w:val="20"/>
              </w:rPr>
              <w:t xml:space="preserve">Banco de dados íntegro e instalável</w:t>
            </w:r>
          </w:p>
        </w:tc>
        <w:tc>
          <w:tcPr>
            <w:tcW w:w="2712" w:type="dxa"/>
          </w:tcPr>
          <w:p>
            <w:pPr>
              <w:widowControl/>
              <w:spacing w:after="0" w:line="276" w:lineRule="auto"/>
              <w:jc w:val="left"/>
              <w:rPr>
                <w:sz w:val="18"/>
                <w:szCs w:val="18"/>
              </w:rPr>
            </w:pPr>
            <w:r>
              <w:rPr>
                <w:sz w:val="18"/>
                <w:szCs w:val="20"/>
              </w:rPr>
              <w:t xml:space="preserve">Guia 33, 9.6 e 11.7</w:t>
            </w:r>
          </w:p>
        </w:tc>
        <w:tc>
          <w:tcPr>
            <w:tcW w:w="1360" w:type="dxa"/>
          </w:tcPr>
          <w:p>
            <w:pPr>
              <w:widowControl/>
              <w:spacing w:after="0" w:line="276" w:lineRule="auto"/>
              <w:jc w:val="left"/>
              <w:rPr>
                <w:sz w:val="18"/>
                <w:szCs w:val="18"/>
              </w:rPr>
            </w:pPr>
            <w:r>
              <w:rPr>
                <w:sz w:val="18"/>
                <w:szCs w:val="20"/>
              </w:rPr>
              <w:t xml:space="preserve">A verificar</w:t>
            </w:r>
          </w:p>
        </w:tc>
        <w:tc>
          <w:tcPr>
            <w:tcW w:w="1360" w:type="dxa"/>
          </w:tcPr>
          <w:p>
            <w:pPr>
              <w:widowControl/>
              <w:spacing w:after="0" w:line="276" w:lineRule="auto"/>
              <w:jc w:val="left"/>
              <w:rPr>
                <w:sz w:val="18"/>
                <w:szCs w:val="18"/>
              </w:rPr>
            </w:pPr>
            <w:r>
              <w:rPr>
                <w:sz w:val="18"/>
                <w:szCs w:val="20"/>
              </w:rPr>
              <w:t xml:space="preserve">Script que apaga dados e histórico no pacote</w:t>
            </w:r>
          </w:p>
        </w:tc>
        <w:tc>
          <w:tcPr>
            <w:tcW w:w="1093" w:type="dxa"/>
          </w:tcPr>
          <w:p>
            <w:pPr>
              <w:widowControl/>
              <w:spacing w:after="0" w:line="276" w:lineRule="auto"/>
              <w:jc w:val="left"/>
              <w:rPr>
                <w:sz w:val="18"/>
                <w:szCs w:val="18"/>
              </w:rPr>
            </w:pPr>
            <w:r>
              <w:rPr>
                <w:sz w:val="18"/>
                <w:szCs w:val="20"/>
              </w:rPr>
              <w:t xml:space="preserve">Código usa 7 tabelas e 48 colunas que os scripts não criam</w:t>
            </w:r>
          </w:p>
        </w:tc>
        <w:tc>
          <w:tcPr>
            <w:tcW w:w="1187" w:type="dxa"/>
          </w:tcPr>
          <w:p>
            <w:pPr>
              <w:widowControl/>
              <w:spacing w:after="0" w:line="276" w:lineRule="auto"/>
              <w:jc w:val="left"/>
              <w:rPr>
                <w:sz w:val="18"/>
                <w:szCs w:val="18"/>
              </w:rPr>
            </w:pPr>
            <w:r>
              <w:rPr>
                <w:sz w:val="18"/>
                <w:b/>
                <w:bCs/>
                <w:szCs w:val="20"/>
              </w:rPr>
              <w:t xml:space="preserve">Não atende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Materiais e lotes</w:t>
      </w:r>
    </w:p>
    <w:tbl>
      <w:tblPr>
        <w:tblStyle w:val="Tabelacomgrade"/>
        <w:tblW w:w="9631" w:type="dxa"/>
        <w:tblLayout w:type="fixed"/>
        <w:tblLook w:val="04A0" w:firstRow="1" w:lastRow="0" w:firstColumn="1" w:lastColumn="0" w:noHBand="0" w:noVBand="1"/>
      </w:tblPr>
      <w:tblGrid>
        <w:gridCol w:w="455"/>
        <w:gridCol w:w="1672"/>
        <w:gridCol w:w="3305"/>
        <w:gridCol w:w="1768"/>
        <w:gridCol w:w="1331"/>
        <w:gridCol w:w="1100"/>
      </w:tblGrid>
      <w:tr>
        <w:trPr>
          <w:tblHeader/>
          <w:cantSplit/>
        </w:trPr>
        <w:tc>
          <w:tcPr>
            <w:tcW w:w="4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16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Tema</w:t>
            </w:r>
          </w:p>
        </w:tc>
        <w:tc>
          <w:tcPr>
            <w:tcW w:w="33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Referência</w:t>
            </w:r>
          </w:p>
        </w:tc>
        <w:tc>
          <w:tcPr>
            <w:tcW w:w="17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Estoque</w:t>
            </w:r>
          </w:p>
        </w:tc>
        <w:tc>
          <w:tcPr>
            <w:tcW w:w="13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GQ</w:t>
            </w:r>
          </w:p>
        </w:tc>
        <w:tc>
          <w:tcPr>
            <w:tcW w:w="11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geral</w:t>
            </w:r>
          </w:p>
        </w:tc>
      </w:tr>
      <w:tr>
        <w:trPr>
          <w:cantSplit/>
        </w:trPr>
        <w:tc>
          <w:tcPr>
            <w:tcW w:w="455" w:type="dxa"/>
          </w:tcPr>
          <w:p>
            <w:pPr>
              <w:widowControl/>
              <w:spacing w:after="0" w:line="276" w:lineRule="auto"/>
              <w:jc w:val="left"/>
              <w:rPr>
                <w:sz w:val="18"/>
                <w:szCs w:val="18"/>
              </w:rPr>
            </w:pPr>
            <w:r>
              <w:rPr>
                <w:sz w:val="18"/>
                <w:szCs w:val="20"/>
              </w:rPr>
              <w:t xml:space="preserve">8</w:t>
            </w:r>
          </w:p>
        </w:tc>
        <w:tc>
          <w:tcPr>
            <w:tcW w:w="1672" w:type="dxa"/>
          </w:tcPr>
          <w:p>
            <w:pPr>
              <w:widowControl/>
              <w:spacing w:after="0" w:line="276" w:lineRule="auto"/>
              <w:jc w:val="left"/>
              <w:rPr>
                <w:sz w:val="18"/>
                <w:szCs w:val="18"/>
              </w:rPr>
            </w:pPr>
            <w:r>
              <w:rPr>
                <w:sz w:val="18"/>
                <w:szCs w:val="20"/>
              </w:rPr>
              <w:t xml:space="preserve">Recebimento de fornecedor aprovado</w:t>
            </w:r>
          </w:p>
        </w:tc>
        <w:tc>
          <w:tcPr>
            <w:tcW w:w="3305" w:type="dxa"/>
          </w:tcPr>
          <w:p>
            <w:pPr>
              <w:widowControl/>
              <w:spacing w:after="0" w:line="276" w:lineRule="auto"/>
              <w:jc w:val="left"/>
              <w:rPr>
                <w:sz w:val="18"/>
                <w:szCs w:val="18"/>
              </w:rPr>
            </w:pPr>
            <w:r>
              <w:rPr>
                <w:sz w:val="18"/>
                <w:szCs w:val="20"/>
              </w:rPr>
              <w:t xml:space="preserve">Art. 8º, VI</w:t>
            </w:r>
          </w:p>
        </w:tc>
        <w:tc>
          <w:tcPr>
            <w:tcW w:w="1768" w:type="dxa"/>
          </w:tcPr>
          <w:p>
            <w:pPr>
              <w:widowControl/>
              <w:spacing w:after="0" w:line="276" w:lineRule="auto"/>
              <w:jc w:val="left"/>
              <w:rPr>
                <w:sz w:val="18"/>
                <w:szCs w:val="18"/>
              </w:rPr>
            </w:pPr>
            <w:r>
              <w:rPr>
                <w:sz w:val="18"/>
                <w:szCs w:val="20"/>
              </w:rPr>
              <w:t xml:space="preserve">Não atende (T/C): o recebimento não consulta a qualificação; avaliação de fornecedor existe em três módulos e nenhuma é consultada</w:t>
            </w:r>
          </w:p>
        </w:tc>
        <w:tc>
          <w:tcPr>
            <w:tcW w:w="1331" w:type="dxa"/>
          </w:tcPr>
          <w:p>
            <w:pPr>
              <w:widowControl/>
              <w:spacing w:after="0" w:line="276" w:lineRule="auto"/>
              <w:jc w:val="left"/>
              <w:rPr>
                <w:sz w:val="18"/>
                <w:szCs w:val="18"/>
              </w:rPr>
            </w:pPr>
            <w:r>
              <w:rPr>
                <w:sz w:val="18"/>
                <w:szCs w:val="20"/>
              </w:rPr>
              <w:t xml:space="preserve">Protótipo; não há auditoria de fornecedor</w:t>
            </w:r>
          </w:p>
        </w:tc>
        <w:tc>
          <w:tcPr>
            <w:tcW w:w="1100" w:type="dxa"/>
          </w:tcPr>
          <w:p>
            <w:pPr>
              <w:widowControl/>
              <w:spacing w:after="0" w:line="276" w:lineRule="auto"/>
              <w:jc w:val="left"/>
              <w:rPr>
                <w:sz w:val="18"/>
                <w:szCs w:val="18"/>
              </w:rPr>
            </w:pPr>
            <w:r>
              <w:rPr>
                <w:sz w:val="18"/>
                <w:b/>
                <w:bCs/>
                <w:szCs w:val="20"/>
              </w:rPr>
              <w:t xml:space="preserve">Não atende</w:t>
            </w:r>
          </w:p>
        </w:tc>
      </w:tr>
      <w:tr>
        <w:trPr>
          <w:cantSplit/>
        </w:trPr>
        <w:tc>
          <w:tcPr>
            <w:tcW w:w="455" w:type="dxa"/>
          </w:tcPr>
          <w:p>
            <w:pPr>
              <w:widowControl/>
              <w:spacing w:after="0" w:line="276" w:lineRule="auto"/>
              <w:jc w:val="left"/>
              <w:rPr>
                <w:sz w:val="18"/>
                <w:szCs w:val="18"/>
              </w:rPr>
            </w:pPr>
            <w:r>
              <w:rPr>
                <w:sz w:val="18"/>
                <w:szCs w:val="20"/>
              </w:rPr>
              <w:t xml:space="preserve">9</w:t>
            </w:r>
          </w:p>
        </w:tc>
        <w:tc>
          <w:tcPr>
            <w:tcW w:w="1672" w:type="dxa"/>
          </w:tcPr>
          <w:p>
            <w:pPr>
              <w:widowControl/>
              <w:spacing w:after="0" w:line="276" w:lineRule="auto"/>
              <w:jc w:val="left"/>
              <w:rPr>
                <w:sz w:val="18"/>
                <w:szCs w:val="18"/>
              </w:rPr>
            </w:pPr>
            <w:r>
              <w:rPr>
                <w:sz w:val="18"/>
                <w:szCs w:val="20"/>
              </w:rPr>
              <w:t xml:space="preserve">Inspeção e conferência de cada entrega, documentadas</w:t>
            </w:r>
          </w:p>
        </w:tc>
        <w:tc>
          <w:tcPr>
            <w:tcW w:w="3305" w:type="dxa"/>
          </w:tcPr>
          <w:p>
            <w:pPr>
              <w:widowControl/>
              <w:spacing w:after="0" w:line="276" w:lineRule="auto"/>
              <w:jc w:val="left"/>
              <w:rPr>
                <w:sz w:val="18"/>
                <w:szCs w:val="18"/>
              </w:rPr>
            </w:pPr>
            <w:r>
              <w:rPr>
                <w:sz w:val="18"/>
                <w:szCs w:val="20"/>
              </w:rPr>
              <w:t xml:space="preserve">Arts. 156 e 183</w:t>
            </w:r>
          </w:p>
        </w:tc>
        <w:tc>
          <w:tcPr>
            <w:tcW w:w="1768" w:type="dxa"/>
          </w:tcPr>
          <w:p>
            <w:pPr>
              <w:widowControl/>
              <w:spacing w:after="0" w:line="276" w:lineRule="auto"/>
              <w:jc w:val="left"/>
              <w:rPr>
                <w:sz w:val="18"/>
                <w:szCs w:val="18"/>
              </w:rPr>
            </w:pPr>
            <w:r>
              <w:rPr>
                <w:sz w:val="18"/>
                <w:szCs w:val="20"/>
              </w:rPr>
              <w:t xml:space="preserve">Não atende (T): inspeção do veículo opcional, "aprovada" sem respostas; veículo reprovado utilizável; divergência de quantidade aceita sem justificativa</w:t>
            </w:r>
          </w:p>
        </w:tc>
        <w:tc>
          <w:tcPr>
            <w:tcW w:w="1331" w:type="dxa"/>
          </w:tcPr>
          <w:p>
            <w:pPr>
              <w:widowControl/>
              <w:spacing w:after="0" w:line="276" w:lineRule="auto"/>
              <w:jc w:val="left"/>
              <w:rPr>
                <w:sz w:val="18"/>
                <w:szCs w:val="18"/>
              </w:rPr>
            </w:pPr>
            <w:r>
              <w:rPr>
                <w:sz w:val="18"/>
                <w:szCs w:val="20"/>
              </w:rPr>
              <w:t xml:space="preserve">—</w:t>
            </w:r>
          </w:p>
        </w:tc>
        <w:tc>
          <w:tcPr>
            <w:tcW w:w="1100" w:type="dxa"/>
          </w:tcPr>
          <w:p>
            <w:pPr>
              <w:widowControl/>
              <w:spacing w:after="0" w:line="276" w:lineRule="auto"/>
              <w:jc w:val="left"/>
              <w:rPr>
                <w:sz w:val="18"/>
                <w:szCs w:val="18"/>
              </w:rPr>
            </w:pPr>
            <w:r>
              <w:rPr>
                <w:sz w:val="18"/>
                <w:b/>
                <w:bCs/>
                <w:szCs w:val="20"/>
              </w:rPr>
              <w:t xml:space="preserve">Não atende</w:t>
            </w:r>
          </w:p>
        </w:tc>
      </w:tr>
      <w:tr>
        <w:trPr>
          <w:cantSplit/>
        </w:trPr>
        <w:tc>
          <w:tcPr>
            <w:tcW w:w="455" w:type="dxa"/>
          </w:tcPr>
          <w:p>
            <w:pPr>
              <w:widowControl/>
              <w:spacing w:after="0" w:line="276" w:lineRule="auto"/>
              <w:jc w:val="left"/>
              <w:rPr>
                <w:sz w:val="18"/>
                <w:szCs w:val="18"/>
              </w:rPr>
            </w:pPr>
            <w:r>
              <w:rPr>
                <w:sz w:val="18"/>
                <w:szCs w:val="20"/>
              </w:rPr>
              <w:t xml:space="preserve">10</w:t>
            </w:r>
          </w:p>
        </w:tc>
        <w:tc>
          <w:tcPr>
            <w:tcW w:w="1672" w:type="dxa"/>
          </w:tcPr>
          <w:p>
            <w:pPr>
              <w:widowControl/>
              <w:spacing w:after="0" w:line="276" w:lineRule="auto"/>
              <w:jc w:val="left"/>
              <w:rPr>
                <w:sz w:val="18"/>
                <w:szCs w:val="18"/>
              </w:rPr>
            </w:pPr>
            <w:r>
              <w:rPr>
                <w:sz w:val="18"/>
                <w:szCs w:val="20"/>
              </w:rPr>
              <w:t xml:space="preserve">Quarentena até a liberação</w:t>
            </w:r>
          </w:p>
        </w:tc>
        <w:tc>
          <w:tcPr>
            <w:tcW w:w="3305" w:type="dxa"/>
          </w:tcPr>
          <w:p>
            <w:pPr>
              <w:widowControl/>
              <w:spacing w:after="0" w:line="276" w:lineRule="auto"/>
              <w:jc w:val="left"/>
              <w:rPr>
                <w:sz w:val="18"/>
                <w:szCs w:val="18"/>
              </w:rPr>
            </w:pPr>
            <w:r>
              <w:rPr>
                <w:sz w:val="18"/>
                <w:szCs w:val="20"/>
              </w:rPr>
              <w:t xml:space="preserve">Art. 157</w:t>
            </w:r>
          </w:p>
        </w:tc>
        <w:tc>
          <w:tcPr>
            <w:tcW w:w="1768" w:type="dxa"/>
          </w:tcPr>
          <w:p>
            <w:pPr>
              <w:widowControl/>
              <w:spacing w:after="0" w:line="276" w:lineRule="auto"/>
              <w:jc w:val="left"/>
              <w:rPr>
                <w:sz w:val="18"/>
                <w:szCs w:val="18"/>
              </w:rPr>
            </w:pPr>
            <w:r>
              <w:rPr>
                <w:sz w:val="18"/>
                <w:szCs w:val="20"/>
              </w:rPr>
              <w:t xml:space="preserve">Não atende (T/C): o endereçamento não gravou o lote nem abriu a análise no CQ; a trava que impede tirar o lote da quarentena foi desligada no servidor</w:t>
            </w:r>
          </w:p>
        </w:tc>
        <w:tc>
          <w:tcPr>
            <w:tcW w:w="1331" w:type="dxa"/>
          </w:tcPr>
          <w:p>
            <w:pPr>
              <w:widowControl/>
              <w:spacing w:after="0" w:line="276" w:lineRule="auto"/>
              <w:jc w:val="left"/>
              <w:rPr>
                <w:sz w:val="18"/>
                <w:szCs w:val="18"/>
              </w:rPr>
            </w:pPr>
            <w:r>
              <w:rPr>
                <w:sz w:val="18"/>
                <w:szCs w:val="20"/>
              </w:rPr>
              <w:t xml:space="preserve">—</w:t>
            </w:r>
          </w:p>
        </w:tc>
        <w:tc>
          <w:tcPr>
            <w:tcW w:w="1100" w:type="dxa"/>
          </w:tcPr>
          <w:p>
            <w:pPr>
              <w:widowControl/>
              <w:spacing w:after="0" w:line="276" w:lineRule="auto"/>
              <w:jc w:val="left"/>
              <w:rPr>
                <w:sz w:val="18"/>
                <w:szCs w:val="18"/>
              </w:rPr>
            </w:pPr>
            <w:r>
              <w:rPr>
                <w:sz w:val="18"/>
                <w:b/>
                <w:bCs/>
                <w:szCs w:val="20"/>
              </w:rPr>
              <w:t xml:space="preserve">Não atende</w:t>
            </w:r>
          </w:p>
        </w:tc>
      </w:tr>
      <w:tr>
        <w:trPr>
          <w:cantSplit/>
        </w:trPr>
        <w:tc>
          <w:tcPr>
            <w:tcW w:w="455" w:type="dxa"/>
          </w:tcPr>
          <w:p>
            <w:pPr>
              <w:widowControl/>
              <w:spacing w:after="0" w:line="276" w:lineRule="auto"/>
              <w:jc w:val="left"/>
              <w:rPr>
                <w:sz w:val="18"/>
                <w:szCs w:val="18"/>
              </w:rPr>
            </w:pPr>
            <w:r>
              <w:rPr>
                <w:sz w:val="18"/>
                <w:szCs w:val="20"/>
              </w:rPr>
              <w:t xml:space="preserve">11</w:t>
            </w:r>
          </w:p>
        </w:tc>
        <w:tc>
          <w:tcPr>
            <w:tcW w:w="1672" w:type="dxa"/>
          </w:tcPr>
          <w:p>
            <w:pPr>
              <w:widowControl/>
              <w:spacing w:after="0" w:line="276" w:lineRule="auto"/>
              <w:jc w:val="left"/>
              <w:rPr>
                <w:sz w:val="18"/>
                <w:szCs w:val="18"/>
              </w:rPr>
            </w:pPr>
            <w:r>
              <w:rPr>
                <w:sz w:val="18"/>
                <w:szCs w:val="20"/>
              </w:rPr>
              <w:t xml:space="preserve">Uso só de material dentro da validade e da data de reanálise</w:t>
            </w:r>
          </w:p>
        </w:tc>
        <w:tc>
          <w:tcPr>
            <w:tcW w:w="3305" w:type="dxa"/>
          </w:tcPr>
          <w:p>
            <w:pPr>
              <w:widowControl/>
              <w:spacing w:after="0" w:line="276" w:lineRule="auto"/>
              <w:jc w:val="left"/>
              <w:rPr>
                <w:sz w:val="18"/>
                <w:szCs w:val="18"/>
              </w:rPr>
            </w:pPr>
            <w:r>
              <w:rPr>
                <w:sz w:val="18"/>
                <w:szCs w:val="20"/>
              </w:rPr>
              <w:t xml:space="preserve">Art. 189</w:t>
            </w:r>
          </w:p>
        </w:tc>
        <w:tc>
          <w:tcPr>
            <w:tcW w:w="1768" w:type="dxa"/>
          </w:tcPr>
          <w:p>
            <w:pPr>
              <w:widowControl/>
              <w:spacing w:after="0" w:line="276" w:lineRule="auto"/>
              <w:jc w:val="left"/>
              <w:rPr>
                <w:sz w:val="18"/>
                <w:szCs w:val="18"/>
              </w:rPr>
            </w:pPr>
            <w:r>
              <w:rPr>
                <w:sz w:val="18"/>
                <w:szCs w:val="20"/>
              </w:rPr>
              <w:t xml:space="preserve">Não atende (T/C): lote vencido entra sem aviso; lote com reanálise vencida continua disponível; a separação não ordena pela validade</w:t>
            </w:r>
          </w:p>
        </w:tc>
        <w:tc>
          <w:tcPr>
            <w:tcW w:w="1331" w:type="dxa"/>
          </w:tcPr>
          <w:p>
            <w:pPr>
              <w:widowControl/>
              <w:spacing w:after="0" w:line="276" w:lineRule="auto"/>
              <w:jc w:val="left"/>
              <w:rPr>
                <w:sz w:val="18"/>
                <w:szCs w:val="18"/>
              </w:rPr>
            </w:pPr>
            <w:r>
              <w:rPr>
                <w:sz w:val="18"/>
                <w:szCs w:val="20"/>
              </w:rPr>
              <w:t xml:space="preserve">—</w:t>
            </w:r>
          </w:p>
        </w:tc>
        <w:tc>
          <w:tcPr>
            <w:tcW w:w="1100" w:type="dxa"/>
          </w:tcPr>
          <w:p>
            <w:pPr>
              <w:widowControl/>
              <w:spacing w:after="0" w:line="276" w:lineRule="auto"/>
              <w:jc w:val="left"/>
              <w:rPr>
                <w:sz w:val="18"/>
                <w:szCs w:val="18"/>
              </w:rPr>
            </w:pPr>
            <w:r>
              <w:rPr>
                <w:sz w:val="18"/>
                <w:b/>
                <w:bCs/>
                <w:szCs w:val="20"/>
              </w:rPr>
              <w:t xml:space="preserve">Não atende</w:t>
            </w:r>
          </w:p>
        </w:tc>
      </w:tr>
      <w:tr>
        <w:trPr>
          <w:cantSplit/>
        </w:trPr>
        <w:tc>
          <w:tcPr>
            <w:tcW w:w="455" w:type="dxa"/>
          </w:tcPr>
          <w:p>
            <w:pPr>
              <w:widowControl/>
              <w:spacing w:after="0" w:line="276" w:lineRule="auto"/>
              <w:jc w:val="left"/>
              <w:rPr>
                <w:sz w:val="18"/>
                <w:szCs w:val="18"/>
              </w:rPr>
            </w:pPr>
            <w:r>
              <w:rPr>
                <w:sz w:val="18"/>
                <w:szCs w:val="20"/>
              </w:rPr>
              <w:t xml:space="preserve">12</w:t>
            </w:r>
          </w:p>
        </w:tc>
        <w:tc>
          <w:tcPr>
            <w:tcW w:w="1672" w:type="dxa"/>
          </w:tcPr>
          <w:p>
            <w:pPr>
              <w:widowControl/>
              <w:spacing w:after="0" w:line="276" w:lineRule="auto"/>
              <w:jc w:val="left"/>
              <w:rPr>
                <w:sz w:val="18"/>
                <w:szCs w:val="18"/>
              </w:rPr>
            </w:pPr>
            <w:r>
              <w:rPr>
                <w:sz w:val="18"/>
                <w:szCs w:val="20"/>
              </w:rPr>
              <w:t xml:space="preserve">Identificação do lote como o fabricante o emitiu</w:t>
            </w:r>
          </w:p>
        </w:tc>
        <w:tc>
          <w:tcPr>
            <w:tcW w:w="3305" w:type="dxa"/>
          </w:tcPr>
          <w:p>
            <w:pPr>
              <w:widowControl/>
              <w:spacing w:after="0" w:line="276" w:lineRule="auto"/>
              <w:jc w:val="left"/>
              <w:rPr>
                <w:sz w:val="18"/>
                <w:szCs w:val="18"/>
              </w:rPr>
            </w:pPr>
            <w:r>
              <w:rPr>
                <w:sz w:val="18"/>
                <w:szCs w:val="20"/>
              </w:rPr>
              <w:t xml:space="preserve">Art. 141, V</w:t>
            </w:r>
          </w:p>
        </w:tc>
        <w:tc>
          <w:tcPr>
            <w:tcW w:w="1768" w:type="dxa"/>
          </w:tcPr>
          <w:p>
            <w:pPr>
              <w:widowControl/>
              <w:spacing w:after="0" w:line="276" w:lineRule="auto"/>
              <w:jc w:val="left"/>
              <w:rPr>
                <w:sz w:val="18"/>
                <w:szCs w:val="18"/>
              </w:rPr>
            </w:pPr>
            <w:r>
              <w:rPr>
                <w:sz w:val="18"/>
                <w:szCs w:val="20"/>
              </w:rPr>
              <w:t xml:space="preserve">Parcial (T): o número do lote perde os hífens</w:t>
            </w:r>
          </w:p>
        </w:tc>
        <w:tc>
          <w:tcPr>
            <w:tcW w:w="1331" w:type="dxa"/>
          </w:tcPr>
          <w:p>
            <w:pPr>
              <w:widowControl/>
              <w:spacing w:after="0" w:line="276" w:lineRule="auto"/>
              <w:jc w:val="left"/>
              <w:rPr>
                <w:sz w:val="18"/>
                <w:szCs w:val="18"/>
              </w:rPr>
            </w:pPr>
            <w:r>
              <w:rPr>
                <w:sz w:val="18"/>
                <w:szCs w:val="20"/>
              </w:rPr>
              <w:t xml:space="preserve">Lote copiado como texto</w:t>
            </w:r>
          </w:p>
        </w:tc>
        <w:tc>
          <w:tcPr>
            <w:tcW w:w="1100" w:type="dxa"/>
          </w:tcPr>
          <w:p>
            <w:pPr>
              <w:widowControl/>
              <w:spacing w:after="0" w:line="276" w:lineRule="auto"/>
              <w:jc w:val="left"/>
              <w:rPr>
                <w:sz w:val="18"/>
                <w:szCs w:val="18"/>
              </w:rPr>
            </w:pPr>
            <w:r>
              <w:rPr>
                <w:sz w:val="18"/>
                <w:b/>
                <w:bCs/>
                <w:szCs w:val="20"/>
              </w:rPr>
              <w:t xml:space="preserve">Parcial</w:t>
            </w:r>
          </w:p>
        </w:tc>
      </w:tr>
      <w:tr>
        <w:trPr>
          <w:cantSplit/>
        </w:trPr>
        <w:tc>
          <w:tcPr>
            <w:tcW w:w="455" w:type="dxa"/>
          </w:tcPr>
          <w:p>
            <w:pPr>
              <w:widowControl/>
              <w:spacing w:after="0" w:line="276" w:lineRule="auto"/>
              <w:jc w:val="left"/>
              <w:rPr>
                <w:sz w:val="18"/>
                <w:szCs w:val="18"/>
              </w:rPr>
            </w:pPr>
            <w:r>
              <w:rPr>
                <w:sz w:val="18"/>
                <w:szCs w:val="20"/>
              </w:rPr>
              <w:t xml:space="preserve">13</w:t>
            </w:r>
          </w:p>
        </w:tc>
        <w:tc>
          <w:tcPr>
            <w:tcW w:w="1672" w:type="dxa"/>
          </w:tcPr>
          <w:p>
            <w:pPr>
              <w:widowControl/>
              <w:spacing w:after="0" w:line="276" w:lineRule="auto"/>
              <w:jc w:val="left"/>
              <w:rPr>
                <w:sz w:val="18"/>
                <w:szCs w:val="18"/>
              </w:rPr>
            </w:pPr>
            <w:r>
              <w:rPr>
                <w:sz w:val="18"/>
                <w:szCs w:val="20"/>
              </w:rPr>
              <w:t xml:space="preserve">Amostras de retenção guardadas pelo prazo</w:t>
            </w:r>
          </w:p>
        </w:tc>
        <w:tc>
          <w:tcPr>
            <w:tcW w:w="3305" w:type="dxa"/>
          </w:tcPr>
          <w:p>
            <w:pPr>
              <w:widowControl/>
              <w:spacing w:after="0" w:line="276" w:lineRule="auto"/>
              <w:jc w:val="left"/>
              <w:rPr>
                <w:sz w:val="18"/>
                <w:szCs w:val="18"/>
              </w:rPr>
            </w:pPr>
            <w:r>
              <w:rPr>
                <w:sz w:val="18"/>
                <w:szCs w:val="20"/>
              </w:rPr>
              <w:t xml:space="preserve">Art. 14, VIII</w:t>
            </w:r>
          </w:p>
        </w:tc>
        <w:tc>
          <w:tcPr>
            <w:tcW w:w="1768" w:type="dxa"/>
          </w:tcPr>
          <w:p>
            <w:pPr>
              <w:widowControl/>
              <w:spacing w:after="0" w:line="276" w:lineRule="auto"/>
              <w:jc w:val="left"/>
              <w:rPr>
                <w:sz w:val="18"/>
                <w:szCs w:val="18"/>
              </w:rPr>
            </w:pPr>
            <w:r>
              <w:rPr>
                <w:sz w:val="18"/>
                <w:szCs w:val="20"/>
              </w:rPr>
              <w:t xml:space="preserve">Não atende (C): sem prazo mínimo nem trava de saída</w:t>
            </w:r>
          </w:p>
        </w:tc>
        <w:tc>
          <w:tcPr>
            <w:tcW w:w="1331" w:type="dxa"/>
          </w:tcPr>
          <w:p>
            <w:pPr>
              <w:widowControl/>
              <w:spacing w:after="0" w:line="276" w:lineRule="auto"/>
              <w:jc w:val="left"/>
              <w:rPr>
                <w:sz w:val="18"/>
                <w:szCs w:val="18"/>
              </w:rPr>
            </w:pPr>
            <w:r>
              <w:rPr>
                <w:sz w:val="18"/>
                <w:szCs w:val="20"/>
              </w:rPr>
              <w:t xml:space="preserve">—</w:t>
            </w:r>
          </w:p>
        </w:tc>
        <w:tc>
          <w:tcPr>
            <w:tcW w:w="1100" w:type="dxa"/>
          </w:tcPr>
          <w:p>
            <w:pPr>
              <w:widowControl/>
              <w:spacing w:after="0" w:line="276" w:lineRule="auto"/>
              <w:jc w:val="left"/>
              <w:rPr>
                <w:sz w:val="18"/>
                <w:szCs w:val="18"/>
              </w:rPr>
            </w:pPr>
            <w:r>
              <w:rPr>
                <w:sz w:val="18"/>
                <w:b/>
                <w:bCs/>
                <w:szCs w:val="20"/>
              </w:rPr>
              <w:t xml:space="preserve">Não atende</w:t>
            </w:r>
          </w:p>
        </w:tc>
      </w:tr>
      <w:tr>
        <w:trPr>
          <w:cantSplit/>
        </w:trPr>
        <w:tc>
          <w:tcPr>
            <w:tcW w:w="455" w:type="dxa"/>
          </w:tcPr>
          <w:p>
            <w:pPr>
              <w:widowControl/>
              <w:spacing w:after="0" w:line="276" w:lineRule="auto"/>
              <w:jc w:val="left"/>
              <w:rPr>
                <w:sz w:val="18"/>
                <w:szCs w:val="18"/>
              </w:rPr>
            </w:pPr>
            <w:r>
              <w:rPr>
                <w:sz w:val="18"/>
                <w:szCs w:val="20"/>
              </w:rPr>
              <w:t xml:space="preserve">14</w:t>
            </w:r>
          </w:p>
        </w:tc>
        <w:tc>
          <w:tcPr>
            <w:tcW w:w="1672" w:type="dxa"/>
          </w:tcPr>
          <w:p>
            <w:pPr>
              <w:widowControl/>
              <w:spacing w:after="0" w:line="276" w:lineRule="auto"/>
              <w:jc w:val="left"/>
              <w:rPr>
                <w:sz w:val="18"/>
                <w:szCs w:val="18"/>
              </w:rPr>
            </w:pPr>
            <w:r>
              <w:rPr>
                <w:sz w:val="18"/>
                <w:szCs w:val="20"/>
              </w:rPr>
              <w:t xml:space="preserve">Liberação do lote pela pessoa designada</w:t>
            </w:r>
          </w:p>
        </w:tc>
        <w:tc>
          <w:tcPr>
            <w:tcW w:w="3305" w:type="dxa"/>
          </w:tcPr>
          <w:p>
            <w:pPr>
              <w:widowControl/>
              <w:spacing w:after="0" w:line="276" w:lineRule="auto"/>
              <w:jc w:val="left"/>
              <w:rPr>
                <w:sz w:val="18"/>
                <w:szCs w:val="18"/>
              </w:rPr>
            </w:pPr>
            <w:r>
              <w:rPr>
                <w:sz w:val="18"/>
                <w:szCs w:val="20"/>
              </w:rPr>
              <w:t xml:space="preserve">Art. 8º, XV</w:t>
            </w:r>
          </w:p>
        </w:tc>
        <w:tc>
          <w:tcPr>
            <w:tcW w:w="1768" w:type="dxa"/>
          </w:tcPr>
          <w:p>
            <w:pPr>
              <w:widowControl/>
              <w:spacing w:after="0" w:line="276" w:lineRule="auto"/>
              <w:jc w:val="left"/>
              <w:rPr>
                <w:sz w:val="18"/>
                <w:szCs w:val="18"/>
              </w:rPr>
            </w:pPr>
            <w:r>
              <w:rPr>
                <w:sz w:val="18"/>
                <w:szCs w:val="20"/>
              </w:rPr>
              <w:t xml:space="preserve">Não atende (C): a aprovação do laudo não confere a função de quem aprova</w:t>
            </w:r>
          </w:p>
        </w:tc>
        <w:tc>
          <w:tcPr>
            <w:tcW w:w="1331" w:type="dxa"/>
          </w:tcPr>
          <w:p>
            <w:pPr>
              <w:widowControl/>
              <w:spacing w:after="0" w:line="276" w:lineRule="auto"/>
              <w:jc w:val="left"/>
              <w:rPr>
                <w:sz w:val="18"/>
                <w:szCs w:val="18"/>
              </w:rPr>
            </w:pPr>
            <w:r>
              <w:rPr>
                <w:sz w:val="18"/>
                <w:szCs w:val="20"/>
              </w:rPr>
              <w:t xml:space="preserve">A GQ não participa. No CQ, a aprovação do laudo não confere a função, não pede assinatura e não avisa o Estoque (C)</w:t>
            </w:r>
          </w:p>
        </w:tc>
        <w:tc>
          <w:tcPr>
            <w:tcW w:w="1100" w:type="dxa"/>
          </w:tcPr>
          <w:p>
            <w:pPr>
              <w:widowControl/>
              <w:spacing w:after="0" w:line="276" w:lineRule="auto"/>
              <w:jc w:val="left"/>
              <w:rPr>
                <w:sz w:val="18"/>
                <w:szCs w:val="18"/>
              </w:rPr>
            </w:pPr>
            <w:r>
              <w:rPr>
                <w:sz w:val="18"/>
                <w:b/>
                <w:bCs/>
                <w:szCs w:val="20"/>
              </w:rPr>
              <w:t xml:space="preserve">Não atende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Sistema da qualidade</w:t>
      </w:r>
    </w:p>
    <w:tbl>
      <w:tblPr>
        <w:tblStyle w:val="Tabelacomgrade"/>
        <w:tblW w:w="9631" w:type="dxa"/>
        <w:tblLayout w:type="fixed"/>
        <w:tblLook w:val="04A0" w:firstRow="1" w:lastRow="0" w:firstColumn="1" w:lastColumn="0" w:noHBand="0" w:noVBand="1"/>
      </w:tblPr>
      <w:tblGrid>
        <w:gridCol w:w="451"/>
        <w:gridCol w:w="1618"/>
        <w:gridCol w:w="3225"/>
        <w:gridCol w:w="1626"/>
        <w:gridCol w:w="1519"/>
        <w:gridCol w:w="1192"/>
      </w:tblGrid>
      <w:tr>
        <w:trPr>
          <w:tblHeader/>
          <w:cantSplit/>
        </w:trPr>
        <w:tc>
          <w:tcPr>
            <w:tcW w:w="4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16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Tema</w:t>
            </w:r>
          </w:p>
        </w:tc>
        <w:tc>
          <w:tcPr>
            <w:tcW w:w="32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Referência</w:t>
            </w:r>
          </w:p>
        </w:tc>
        <w:tc>
          <w:tcPr>
            <w:tcW w:w="16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GQ</w:t>
            </w:r>
          </w:p>
        </w:tc>
        <w:tc>
          <w:tcPr>
            <w:tcW w:w="15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Ligação com os outros módulos</w:t>
            </w:r>
          </w:p>
        </w:tc>
        <w:tc>
          <w:tcPr>
            <w:tcW w:w="11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geral</w:t>
            </w:r>
          </w:p>
        </w:tc>
      </w:tr>
      <w:tr>
        <w:trPr>
          <w:cantSplit/>
        </w:trPr>
        <w:tc>
          <w:tcPr>
            <w:tcW w:w="451" w:type="dxa"/>
          </w:tcPr>
          <w:p>
            <w:pPr>
              <w:widowControl/>
              <w:spacing w:after="0" w:line="276" w:lineRule="auto"/>
              <w:jc w:val="left"/>
              <w:rPr>
                <w:sz w:val="18"/>
                <w:szCs w:val="18"/>
              </w:rPr>
            </w:pPr>
            <w:r>
              <w:rPr>
                <w:sz w:val="18"/>
                <w:szCs w:val="20"/>
              </w:rPr>
              <w:t xml:space="preserve">15</w:t>
            </w:r>
          </w:p>
        </w:tc>
        <w:tc>
          <w:tcPr>
            <w:tcW w:w="1618" w:type="dxa"/>
          </w:tcPr>
          <w:p>
            <w:pPr>
              <w:widowControl/>
              <w:spacing w:after="0" w:line="276" w:lineRule="auto"/>
              <w:jc w:val="left"/>
              <w:rPr>
                <w:sz w:val="18"/>
                <w:szCs w:val="18"/>
              </w:rPr>
            </w:pPr>
            <w:r>
              <w:rPr>
                <w:sz w:val="18"/>
                <w:szCs w:val="20"/>
              </w:rPr>
              <w:t xml:space="preserve">Desvios: registro, investigação, causa e CAPA</w:t>
            </w:r>
          </w:p>
        </w:tc>
        <w:tc>
          <w:tcPr>
            <w:tcW w:w="3225" w:type="dxa"/>
          </w:tcPr>
          <w:p>
            <w:pPr>
              <w:widowControl/>
              <w:spacing w:after="0" w:line="276" w:lineRule="auto"/>
              <w:jc w:val="left"/>
              <w:rPr>
                <w:sz w:val="18"/>
                <w:szCs w:val="18"/>
              </w:rPr>
            </w:pPr>
            <w:r>
              <w:rPr>
                <w:sz w:val="18"/>
                <w:szCs w:val="20"/>
              </w:rPr>
              <w:t xml:space="preserve">Art. 8º, XIV; arts. 339 a 342</w:t>
            </w:r>
          </w:p>
        </w:tc>
        <w:tc>
          <w:tcPr>
            <w:tcW w:w="1626" w:type="dxa"/>
          </w:tcPr>
          <w:p>
            <w:pPr>
              <w:widowControl/>
              <w:spacing w:after="0" w:line="276" w:lineRule="auto"/>
              <w:jc w:val="left"/>
              <w:rPr>
                <w:sz w:val="18"/>
                <w:szCs w:val="18"/>
              </w:rPr>
            </w:pPr>
            <w:r>
              <w:rPr>
                <w:sz w:val="18"/>
                <w:szCs w:val="20"/>
              </w:rPr>
              <w:t xml:space="preserve">Parcial (C): fluxo completo, mas desvio crítico pode fechar sem CAPA e a eficácia não é verificada</w:t>
            </w:r>
          </w:p>
        </w:tc>
        <w:tc>
          <w:tcPr>
            <w:tcW w:w="1519" w:type="dxa"/>
          </w:tcPr>
          <w:p>
            <w:pPr>
              <w:widowControl/>
              <w:spacing w:after="0" w:line="276" w:lineRule="auto"/>
              <w:jc w:val="left"/>
              <w:rPr>
                <w:sz w:val="18"/>
                <w:szCs w:val="18"/>
              </w:rPr>
            </w:pPr>
            <w:r>
              <w:rPr>
                <w:sz w:val="18"/>
                <w:szCs w:val="20"/>
              </w:rPr>
              <w:t xml:space="preserve">O desvio </w:t>
            </w:r>
            <w:r>
              <w:rPr>
                <w:sz w:val="18"/>
                <w:b/>
                <w:bCs/>
                <w:szCs w:val="20"/>
              </w:rPr>
              <w:t xml:space="preserve">não retém o lote</w:t>
            </w:r>
            <w:r>
              <w:rPr>
                <w:sz w:val="18"/>
                <w:szCs w:val="20"/>
              </w:rPr>
              <w:t xml:space="preserve"> no Estoque nem no CQ; outros lotes afetados não são pesquisados</w:t>
            </w:r>
          </w:p>
        </w:tc>
        <w:tc>
          <w:tcPr>
            <w:tcW w:w="1192" w:type="dxa"/>
          </w:tcPr>
          <w:p>
            <w:pPr>
              <w:widowControl/>
              <w:spacing w:after="0" w:line="276" w:lineRule="auto"/>
              <w:jc w:val="left"/>
              <w:rPr>
                <w:sz w:val="18"/>
                <w:szCs w:val="18"/>
              </w:rPr>
            </w:pPr>
            <w:r>
              <w:rPr>
                <w:sz w:val="18"/>
                <w:b/>
                <w:bCs/>
                <w:szCs w:val="20"/>
              </w:rPr>
              <w:t xml:space="preserve">Parcial</w:t>
            </w:r>
          </w:p>
        </w:tc>
      </w:tr>
      <w:tr>
        <w:trPr>
          <w:cantSplit/>
        </w:trPr>
        <w:tc>
          <w:tcPr>
            <w:tcW w:w="451" w:type="dxa"/>
          </w:tcPr>
          <w:p>
            <w:pPr>
              <w:widowControl/>
              <w:spacing w:after="0" w:line="276" w:lineRule="auto"/>
              <w:jc w:val="left"/>
              <w:rPr>
                <w:sz w:val="18"/>
                <w:szCs w:val="18"/>
              </w:rPr>
            </w:pPr>
            <w:r>
              <w:rPr>
                <w:sz w:val="18"/>
                <w:szCs w:val="20"/>
              </w:rPr>
              <w:t xml:space="preserve">16</w:t>
            </w:r>
          </w:p>
        </w:tc>
        <w:tc>
          <w:tcPr>
            <w:tcW w:w="1618" w:type="dxa"/>
          </w:tcPr>
          <w:p>
            <w:pPr>
              <w:widowControl/>
              <w:spacing w:after="0" w:line="276" w:lineRule="auto"/>
              <w:jc w:val="left"/>
              <w:rPr>
                <w:sz w:val="18"/>
                <w:szCs w:val="18"/>
              </w:rPr>
            </w:pPr>
            <w:r>
              <w:rPr>
                <w:sz w:val="18"/>
                <w:szCs w:val="20"/>
              </w:rPr>
              <w:t xml:space="preserve">Controle de mudanças</w:t>
            </w:r>
          </w:p>
        </w:tc>
        <w:tc>
          <w:tcPr>
            <w:tcW w:w="3225" w:type="dxa"/>
          </w:tcPr>
          <w:p>
            <w:pPr>
              <w:widowControl/>
              <w:spacing w:after="0" w:line="276" w:lineRule="auto"/>
              <w:jc w:val="left"/>
              <w:rPr>
                <w:sz w:val="18"/>
                <w:szCs w:val="18"/>
              </w:rPr>
            </w:pPr>
            <w:r>
              <w:rPr>
                <w:sz w:val="18"/>
                <w:szCs w:val="20"/>
              </w:rPr>
              <w:t xml:space="preserve">Art. 8º, XII e XIII</w:t>
            </w:r>
          </w:p>
        </w:tc>
        <w:tc>
          <w:tcPr>
            <w:tcW w:w="1626" w:type="dxa"/>
          </w:tcPr>
          <w:p>
            <w:pPr>
              <w:widowControl/>
              <w:spacing w:after="0" w:line="276" w:lineRule="auto"/>
              <w:jc w:val="left"/>
              <w:rPr>
                <w:sz w:val="18"/>
                <w:szCs w:val="18"/>
              </w:rPr>
            </w:pPr>
            <w:r>
              <w:rPr>
                <w:sz w:val="18"/>
                <w:szCs w:val="20"/>
              </w:rPr>
              <w:t xml:space="preserve">Parcial (C): liberação sem o parecer das áreas; sem verificação de eficácia</w:t>
            </w:r>
          </w:p>
        </w:tc>
        <w:tc>
          <w:tcPr>
            <w:tcW w:w="1519" w:type="dxa"/>
          </w:tcPr>
          <w:p>
            <w:pPr>
              <w:widowControl/>
              <w:spacing w:after="0" w:line="276" w:lineRule="auto"/>
              <w:jc w:val="left"/>
              <w:rPr>
                <w:sz w:val="18"/>
                <w:szCs w:val="18"/>
              </w:rPr>
            </w:pPr>
            <w:r>
              <w:rPr>
                <w:sz w:val="18"/>
                <w:szCs w:val="20"/>
              </w:rPr>
              <w:t xml:space="preserve">A mudança aprovada não chega à Produção nem ao Controle de Documentos</w:t>
            </w:r>
          </w:p>
        </w:tc>
        <w:tc>
          <w:tcPr>
            <w:tcW w:w="1192" w:type="dxa"/>
          </w:tcPr>
          <w:p>
            <w:pPr>
              <w:widowControl/>
              <w:spacing w:after="0" w:line="276" w:lineRule="auto"/>
              <w:jc w:val="left"/>
              <w:rPr>
                <w:sz w:val="18"/>
                <w:szCs w:val="18"/>
              </w:rPr>
            </w:pPr>
            <w:r>
              <w:rPr>
                <w:sz w:val="18"/>
                <w:b/>
                <w:bCs/>
                <w:szCs w:val="20"/>
              </w:rPr>
              <w:t xml:space="preserve">Parcial</w:t>
            </w:r>
          </w:p>
        </w:tc>
      </w:tr>
      <w:tr>
        <w:trPr>
          <w:cantSplit/>
        </w:trPr>
        <w:tc>
          <w:tcPr>
            <w:tcW w:w="451" w:type="dxa"/>
          </w:tcPr>
          <w:p>
            <w:pPr>
              <w:widowControl/>
              <w:spacing w:after="0" w:line="276" w:lineRule="auto"/>
              <w:jc w:val="left"/>
              <w:rPr>
                <w:sz w:val="18"/>
                <w:szCs w:val="18"/>
              </w:rPr>
            </w:pPr>
            <w:r>
              <w:rPr>
                <w:sz w:val="18"/>
                <w:szCs w:val="20"/>
              </w:rPr>
              <w:t xml:space="preserve">17</w:t>
            </w:r>
          </w:p>
        </w:tc>
        <w:tc>
          <w:tcPr>
            <w:tcW w:w="1618" w:type="dxa"/>
          </w:tcPr>
          <w:p>
            <w:pPr>
              <w:widowControl/>
              <w:spacing w:after="0" w:line="276" w:lineRule="auto"/>
              <w:jc w:val="left"/>
              <w:rPr>
                <w:sz w:val="18"/>
                <w:szCs w:val="18"/>
              </w:rPr>
            </w:pPr>
            <w:r>
              <w:rPr>
                <w:sz w:val="18"/>
                <w:szCs w:val="20"/>
              </w:rPr>
              <w:t xml:space="preserve">Autoinspeção</w:t>
            </w:r>
          </w:p>
        </w:tc>
        <w:tc>
          <w:tcPr>
            <w:tcW w:w="3225" w:type="dxa"/>
          </w:tcPr>
          <w:p>
            <w:pPr>
              <w:widowControl/>
              <w:spacing w:after="0" w:line="276" w:lineRule="auto"/>
              <w:jc w:val="left"/>
              <w:rPr>
                <w:sz w:val="18"/>
                <w:szCs w:val="18"/>
              </w:rPr>
            </w:pPr>
            <w:r>
              <w:rPr>
                <w:sz w:val="18"/>
                <w:szCs w:val="20"/>
              </w:rPr>
              <w:t xml:space="preserve">Arts. 361 a 366</w:t>
            </w:r>
          </w:p>
        </w:tc>
        <w:tc>
          <w:tcPr>
            <w:tcW w:w="1626" w:type="dxa"/>
          </w:tcPr>
          <w:p>
            <w:pPr>
              <w:widowControl/>
              <w:spacing w:after="0" w:line="276" w:lineRule="auto"/>
              <w:jc w:val="left"/>
              <w:rPr>
                <w:sz w:val="18"/>
                <w:szCs w:val="18"/>
              </w:rPr>
            </w:pPr>
            <w:r>
              <w:rPr>
                <w:sz w:val="18"/>
                <w:szCs w:val="20"/>
              </w:rPr>
              <w:t xml:space="preserve">Parcial (C): sem independência do inspetor; não conformidades não viram desvio</w:t>
            </w:r>
          </w:p>
        </w:tc>
        <w:tc>
          <w:tcPr>
            <w:tcW w:w="1519" w:type="dxa"/>
          </w:tcPr>
          <w:p>
            <w:pPr>
              <w:widowControl/>
              <w:spacing w:after="0" w:line="276" w:lineRule="auto"/>
              <w:jc w:val="left"/>
              <w:rPr>
                <w:sz w:val="18"/>
                <w:szCs w:val="18"/>
              </w:rPr>
            </w:pPr>
            <w:r>
              <w:rPr>
                <w:sz w:val="18"/>
                <w:szCs w:val="20"/>
              </w:rPr>
              <w:t xml:space="preserve">—</w:t>
            </w:r>
          </w:p>
        </w:tc>
        <w:tc>
          <w:tcPr>
            <w:tcW w:w="1192" w:type="dxa"/>
          </w:tcPr>
          <w:p>
            <w:pPr>
              <w:widowControl/>
              <w:spacing w:after="0" w:line="276" w:lineRule="auto"/>
              <w:jc w:val="left"/>
              <w:rPr>
                <w:sz w:val="18"/>
                <w:szCs w:val="18"/>
              </w:rPr>
            </w:pPr>
            <w:r>
              <w:rPr>
                <w:sz w:val="18"/>
                <w:b/>
                <w:bCs/>
                <w:szCs w:val="20"/>
              </w:rPr>
              <w:t xml:space="preserve">Parcial</w:t>
            </w:r>
          </w:p>
        </w:tc>
      </w:tr>
      <w:tr>
        <w:trPr>
          <w:cantSplit/>
        </w:trPr>
        <w:tc>
          <w:tcPr>
            <w:tcW w:w="451" w:type="dxa"/>
          </w:tcPr>
          <w:p>
            <w:pPr>
              <w:widowControl/>
              <w:spacing w:after="0" w:line="276" w:lineRule="auto"/>
              <w:jc w:val="left"/>
              <w:rPr>
                <w:sz w:val="18"/>
                <w:szCs w:val="18"/>
              </w:rPr>
            </w:pPr>
            <w:r>
              <w:rPr>
                <w:sz w:val="18"/>
                <w:szCs w:val="20"/>
              </w:rPr>
              <w:t xml:space="preserve">18</w:t>
            </w:r>
          </w:p>
        </w:tc>
        <w:tc>
          <w:tcPr>
            <w:tcW w:w="1618" w:type="dxa"/>
          </w:tcPr>
          <w:p>
            <w:pPr>
              <w:widowControl/>
              <w:spacing w:after="0" w:line="276" w:lineRule="auto"/>
              <w:jc w:val="left"/>
              <w:rPr>
                <w:sz w:val="18"/>
                <w:szCs w:val="18"/>
              </w:rPr>
            </w:pPr>
            <w:r>
              <w:rPr>
                <w:sz w:val="18"/>
                <w:szCs w:val="20"/>
              </w:rPr>
              <w:t xml:space="preserve">Treinamento</w:t>
            </w:r>
          </w:p>
        </w:tc>
        <w:tc>
          <w:tcPr>
            <w:tcW w:w="3225" w:type="dxa"/>
          </w:tcPr>
          <w:p>
            <w:pPr>
              <w:widowControl/>
              <w:spacing w:after="0" w:line="276" w:lineRule="auto"/>
              <w:jc w:val="left"/>
              <w:rPr>
                <w:sz w:val="18"/>
                <w:szCs w:val="18"/>
              </w:rPr>
            </w:pPr>
            <w:r>
              <w:rPr>
                <w:sz w:val="18"/>
                <w:szCs w:val="20"/>
              </w:rPr>
              <w:t xml:space="preserve">Arts. 39 a 46</w:t>
            </w:r>
          </w:p>
        </w:tc>
        <w:tc>
          <w:tcPr>
            <w:tcW w:w="1626" w:type="dxa"/>
          </w:tcPr>
          <w:p>
            <w:pPr>
              <w:widowControl/>
              <w:spacing w:after="0" w:line="276" w:lineRule="auto"/>
              <w:jc w:val="left"/>
              <w:rPr>
                <w:sz w:val="18"/>
                <w:szCs w:val="18"/>
              </w:rPr>
            </w:pPr>
            <w:r>
              <w:rPr>
                <w:sz w:val="18"/>
                <w:szCs w:val="20"/>
              </w:rPr>
              <w:t xml:space="preserve">Parcial (C): desempenho marcado à mão; sem aviso de vencimento; programa sem aprovação</w:t>
            </w:r>
          </w:p>
        </w:tc>
        <w:tc>
          <w:tcPr>
            <w:tcW w:w="1519" w:type="dxa"/>
          </w:tcPr>
          <w:p>
            <w:pPr>
              <w:widowControl/>
              <w:spacing w:after="0" w:line="276" w:lineRule="auto"/>
              <w:jc w:val="left"/>
              <w:rPr>
                <w:sz w:val="18"/>
                <w:szCs w:val="18"/>
              </w:rPr>
            </w:pPr>
            <w:r>
              <w:rPr>
                <w:sz w:val="18"/>
                <w:szCs w:val="20"/>
              </w:rPr>
              <w:t xml:space="preserve">Treinamento vencido não impede ninguém de operar</w:t>
            </w:r>
          </w:p>
        </w:tc>
        <w:tc>
          <w:tcPr>
            <w:tcW w:w="1192" w:type="dxa"/>
          </w:tcPr>
          <w:p>
            <w:pPr>
              <w:widowControl/>
              <w:spacing w:after="0" w:line="276" w:lineRule="auto"/>
              <w:jc w:val="left"/>
              <w:rPr>
                <w:sz w:val="18"/>
                <w:szCs w:val="18"/>
              </w:rPr>
            </w:pPr>
            <w:r>
              <w:rPr>
                <w:sz w:val="18"/>
                <w:b/>
                <w:bCs/>
                <w:szCs w:val="20"/>
              </w:rPr>
              <w:t xml:space="preserve">Parcial</w:t>
            </w:r>
          </w:p>
        </w:tc>
      </w:tr>
      <w:tr>
        <w:trPr>
          <w:cantSplit/>
        </w:trPr>
        <w:tc>
          <w:tcPr>
            <w:tcW w:w="451" w:type="dxa"/>
          </w:tcPr>
          <w:p>
            <w:pPr>
              <w:widowControl/>
              <w:spacing w:after="0" w:line="276" w:lineRule="auto"/>
              <w:jc w:val="left"/>
              <w:rPr>
                <w:sz w:val="18"/>
                <w:szCs w:val="18"/>
              </w:rPr>
            </w:pPr>
            <w:r>
              <w:rPr>
                <w:sz w:val="18"/>
                <w:szCs w:val="20"/>
              </w:rPr>
              <w:t xml:space="preserve">19</w:t>
            </w:r>
          </w:p>
        </w:tc>
        <w:tc>
          <w:tcPr>
            <w:tcW w:w="1618" w:type="dxa"/>
          </w:tcPr>
          <w:p>
            <w:pPr>
              <w:widowControl/>
              <w:spacing w:after="0" w:line="276" w:lineRule="auto"/>
              <w:jc w:val="left"/>
              <w:rPr>
                <w:sz w:val="18"/>
                <w:szCs w:val="18"/>
              </w:rPr>
            </w:pPr>
            <w:r>
              <w:rPr>
                <w:sz w:val="18"/>
                <w:szCs w:val="20"/>
              </w:rPr>
              <w:t xml:space="preserve">Registro do produto na ANVISA e prazos regulatórios</w:t>
            </w:r>
          </w:p>
        </w:tc>
        <w:tc>
          <w:tcPr>
            <w:tcW w:w="3225" w:type="dxa"/>
          </w:tcPr>
          <w:p>
            <w:pPr>
              <w:widowControl/>
              <w:spacing w:after="0" w:line="276" w:lineRule="auto"/>
              <w:jc w:val="left"/>
              <w:rPr>
                <w:sz w:val="18"/>
                <w:szCs w:val="18"/>
              </w:rPr>
            </w:pPr>
            <w:r>
              <w:rPr>
                <w:sz w:val="18"/>
                <w:szCs w:val="20"/>
              </w:rPr>
              <w:t xml:space="preserve">Art. 8º, XII</w:t>
            </w:r>
          </w:p>
        </w:tc>
        <w:tc>
          <w:tcPr>
            <w:tcW w:w="1626" w:type="dxa"/>
          </w:tcPr>
          <w:p>
            <w:pPr>
              <w:widowControl/>
              <w:spacing w:after="0" w:line="276" w:lineRule="auto"/>
              <w:jc w:val="left"/>
              <w:rPr>
                <w:sz w:val="18"/>
                <w:szCs w:val="18"/>
              </w:rPr>
            </w:pPr>
            <w:r>
              <w:rPr>
                <w:sz w:val="18"/>
                <w:szCs w:val="20"/>
              </w:rPr>
              <w:t xml:space="preserve">Parcial (C): controla a situação, mas sem avisos de prazo</w:t>
            </w:r>
          </w:p>
        </w:tc>
        <w:tc>
          <w:tcPr>
            <w:tcW w:w="1519" w:type="dxa"/>
          </w:tcPr>
          <w:p>
            <w:pPr>
              <w:widowControl/>
              <w:spacing w:after="0" w:line="276" w:lineRule="auto"/>
              <w:jc w:val="left"/>
              <w:rPr>
                <w:sz w:val="18"/>
                <w:szCs w:val="18"/>
              </w:rPr>
            </w:pPr>
            <w:r>
              <w:rPr>
                <w:sz w:val="18"/>
                <w:szCs w:val="20"/>
              </w:rPr>
              <w:t xml:space="preserve">Registro indeferido ou vencido não impede a produção</w:t>
            </w:r>
          </w:p>
        </w:tc>
        <w:tc>
          <w:tcPr>
            <w:tcW w:w="1192" w:type="dxa"/>
          </w:tcPr>
          <w:p>
            <w:pPr>
              <w:widowControl/>
              <w:spacing w:after="0" w:line="276" w:lineRule="auto"/>
              <w:jc w:val="left"/>
              <w:rPr>
                <w:sz w:val="18"/>
                <w:szCs w:val="18"/>
              </w:rPr>
            </w:pPr>
            <w:r>
              <w:rPr>
                <w:sz w:val="18"/>
                <w:b/>
                <w:bCs/>
                <w:szCs w:val="20"/>
              </w:rPr>
              <w:t xml:space="preserve">Parcial</w:t>
            </w:r>
          </w:p>
        </w:tc>
      </w:tr>
      <w:tr>
        <w:trPr>
          <w:cantSplit/>
        </w:trPr>
        <w:tc>
          <w:tcPr>
            <w:tcW w:w="451" w:type="dxa"/>
          </w:tcPr>
          <w:p>
            <w:pPr>
              <w:widowControl/>
              <w:spacing w:after="0" w:line="276" w:lineRule="auto"/>
              <w:jc w:val="left"/>
              <w:rPr>
                <w:sz w:val="18"/>
                <w:szCs w:val="18"/>
              </w:rPr>
            </w:pPr>
            <w:r>
              <w:rPr>
                <w:sz w:val="18"/>
                <w:szCs w:val="20"/>
              </w:rPr>
              <w:t xml:space="preserve">20</w:t>
            </w:r>
          </w:p>
        </w:tc>
        <w:tc>
          <w:tcPr>
            <w:tcW w:w="1618" w:type="dxa"/>
          </w:tcPr>
          <w:p>
            <w:pPr>
              <w:widowControl/>
              <w:spacing w:after="0" w:line="276" w:lineRule="auto"/>
              <w:jc w:val="left"/>
              <w:rPr>
                <w:sz w:val="18"/>
                <w:szCs w:val="18"/>
              </w:rPr>
            </w:pPr>
            <w:r>
              <w:rPr>
                <w:sz w:val="18"/>
                <w:szCs w:val="20"/>
              </w:rPr>
              <w:t xml:space="preserve">Reclamações e recolhimento</w:t>
            </w:r>
          </w:p>
        </w:tc>
        <w:tc>
          <w:tcPr>
            <w:tcW w:w="3225" w:type="dxa"/>
          </w:tcPr>
          <w:p>
            <w:pPr>
              <w:widowControl/>
              <w:spacing w:after="0" w:line="276" w:lineRule="auto"/>
              <w:jc w:val="left"/>
              <w:rPr>
                <w:sz w:val="18"/>
                <w:szCs w:val="18"/>
              </w:rPr>
            </w:pPr>
            <w:r>
              <w:rPr>
                <w:sz w:val="18"/>
                <w:szCs w:val="20"/>
              </w:rPr>
              <w:t xml:space="preserve">Arts. 319 a 360</w:t>
            </w:r>
          </w:p>
        </w:tc>
        <w:tc>
          <w:tcPr>
            <w:tcW w:w="1626" w:type="dxa"/>
          </w:tcPr>
          <w:p>
            <w:pPr>
              <w:widowControl/>
              <w:spacing w:after="0" w:line="276" w:lineRule="auto"/>
              <w:jc w:val="left"/>
              <w:rPr>
                <w:sz w:val="18"/>
                <w:szCs w:val="18"/>
              </w:rPr>
            </w:pPr>
            <w:r>
              <w:rPr>
                <w:sz w:val="18"/>
                <w:szCs w:val="20"/>
              </w:rPr>
              <w:t xml:space="preserve">Não existe</w:t>
            </w:r>
          </w:p>
        </w:tc>
        <w:tc>
          <w:tcPr>
            <w:tcW w:w="1519" w:type="dxa"/>
          </w:tcPr>
          <w:p>
            <w:pPr>
              <w:widowControl/>
              <w:spacing w:after="0" w:line="276" w:lineRule="auto"/>
              <w:jc w:val="left"/>
              <w:rPr>
                <w:sz w:val="18"/>
                <w:szCs w:val="18"/>
              </w:rPr>
            </w:pPr>
            <w:r>
              <w:rPr>
                <w:sz w:val="18"/>
                <w:szCs w:val="20"/>
              </w:rPr>
              <w:t xml:space="preserve">Não existe em nenhum módulo</w:t>
            </w:r>
          </w:p>
        </w:tc>
        <w:tc>
          <w:tcPr>
            <w:tcW w:w="1192" w:type="dxa"/>
          </w:tcPr>
          <w:p>
            <w:pPr>
              <w:widowControl/>
              <w:spacing w:after="0" w:line="276" w:lineRule="auto"/>
              <w:jc w:val="left"/>
              <w:rPr>
                <w:sz w:val="18"/>
                <w:szCs w:val="18"/>
              </w:rPr>
            </w:pPr>
            <w:r>
              <w:rPr>
                <w:sz w:val="18"/>
                <w:b/>
                <w:bCs/>
                <w:szCs w:val="20"/>
              </w:rPr>
              <w:t xml:space="preserve">Não atende</w:t>
            </w:r>
          </w:p>
        </w:tc>
      </w:tr>
      <w:tr>
        <w:trPr>
          <w:cantSplit/>
        </w:trPr>
        <w:tc>
          <w:tcPr>
            <w:tcW w:w="451" w:type="dxa"/>
          </w:tcPr>
          <w:p>
            <w:pPr>
              <w:widowControl/>
              <w:spacing w:after="0" w:line="276" w:lineRule="auto"/>
              <w:jc w:val="left"/>
              <w:rPr>
                <w:sz w:val="18"/>
                <w:szCs w:val="18"/>
              </w:rPr>
            </w:pPr>
            <w:r>
              <w:rPr>
                <w:sz w:val="18"/>
                <w:szCs w:val="20"/>
              </w:rPr>
              <w:t xml:space="preserve">21</w:t>
            </w:r>
          </w:p>
        </w:tc>
        <w:tc>
          <w:tcPr>
            <w:tcW w:w="1618" w:type="dxa"/>
          </w:tcPr>
          <w:p>
            <w:pPr>
              <w:widowControl/>
              <w:spacing w:after="0" w:line="276" w:lineRule="auto"/>
              <w:jc w:val="left"/>
              <w:rPr>
                <w:sz w:val="18"/>
                <w:szCs w:val="18"/>
              </w:rPr>
            </w:pPr>
            <w:r>
              <w:rPr>
                <w:sz w:val="18"/>
                <w:szCs w:val="20"/>
              </w:rPr>
              <w:t xml:space="preserve">Revisão periódica da qualidade do produto</w:t>
            </w:r>
          </w:p>
        </w:tc>
        <w:tc>
          <w:tcPr>
            <w:tcW w:w="3225" w:type="dxa"/>
          </w:tcPr>
          <w:p>
            <w:pPr>
              <w:widowControl/>
              <w:spacing w:after="0" w:line="276" w:lineRule="auto"/>
              <w:jc w:val="left"/>
              <w:rPr>
                <w:sz w:val="18"/>
                <w:szCs w:val="18"/>
              </w:rPr>
            </w:pPr>
            <w:r>
              <w:rPr>
                <w:sz w:val="18"/>
                <w:szCs w:val="20"/>
              </w:rPr>
              <w:t xml:space="preserve">Arts. 15 a 19</w:t>
            </w:r>
          </w:p>
        </w:tc>
        <w:tc>
          <w:tcPr>
            <w:tcW w:w="1626" w:type="dxa"/>
          </w:tcPr>
          <w:p>
            <w:pPr>
              <w:widowControl/>
              <w:spacing w:after="0" w:line="276" w:lineRule="auto"/>
              <w:jc w:val="left"/>
              <w:rPr>
                <w:sz w:val="18"/>
                <w:szCs w:val="18"/>
              </w:rPr>
            </w:pPr>
            <w:r>
              <w:rPr>
                <w:sz w:val="18"/>
                <w:szCs w:val="20"/>
              </w:rPr>
              <w:t xml:space="preserve">Protótipo</w:t>
            </w:r>
          </w:p>
        </w:tc>
        <w:tc>
          <w:tcPr>
            <w:tcW w:w="1519" w:type="dxa"/>
          </w:tcPr>
          <w:p>
            <w:pPr>
              <w:widowControl/>
              <w:spacing w:after="0" w:line="276" w:lineRule="auto"/>
              <w:jc w:val="left"/>
              <w:rPr>
                <w:sz w:val="18"/>
                <w:szCs w:val="18"/>
              </w:rPr>
            </w:pPr>
            <w:r>
              <w:rPr>
                <w:sz w:val="18"/>
                <w:szCs w:val="20"/>
              </w:rPr>
              <w:t xml:space="preserve">—</w:t>
            </w:r>
          </w:p>
        </w:tc>
        <w:tc>
          <w:tcPr>
            <w:tcW w:w="1192" w:type="dxa"/>
          </w:tcPr>
          <w:p>
            <w:pPr>
              <w:widowControl/>
              <w:spacing w:after="0" w:line="276" w:lineRule="auto"/>
              <w:jc w:val="left"/>
              <w:rPr>
                <w:sz w:val="18"/>
                <w:szCs w:val="18"/>
              </w:rPr>
            </w:pPr>
            <w:r>
              <w:rPr>
                <w:sz w:val="18"/>
                <w:b/>
                <w:bCs/>
                <w:szCs w:val="20"/>
              </w:rPr>
              <w:t xml:space="preserve">Não atende</w:t>
            </w:r>
          </w:p>
        </w:tc>
      </w:tr>
      <w:tr>
        <w:trPr>
          <w:cantSplit/>
        </w:trPr>
        <w:tc>
          <w:tcPr>
            <w:tcW w:w="451" w:type="dxa"/>
          </w:tcPr>
          <w:p>
            <w:pPr>
              <w:widowControl/>
              <w:spacing w:after="0" w:line="276" w:lineRule="auto"/>
              <w:jc w:val="left"/>
              <w:rPr>
                <w:sz w:val="18"/>
                <w:szCs w:val="18"/>
              </w:rPr>
            </w:pPr>
            <w:r>
              <w:rPr>
                <w:sz w:val="18"/>
                <w:szCs w:val="20"/>
              </w:rPr>
              <w:t xml:space="preserve">22</w:t>
            </w:r>
          </w:p>
        </w:tc>
        <w:tc>
          <w:tcPr>
            <w:tcW w:w="1618" w:type="dxa"/>
          </w:tcPr>
          <w:p>
            <w:pPr>
              <w:widowControl/>
              <w:spacing w:after="0" w:line="276" w:lineRule="auto"/>
              <w:jc w:val="left"/>
              <w:rPr>
                <w:sz w:val="18"/>
                <w:szCs w:val="18"/>
              </w:rPr>
            </w:pPr>
            <w:r>
              <w:rPr>
                <w:sz w:val="18"/>
                <w:szCs w:val="20"/>
              </w:rPr>
              <w:t xml:space="preserve">Validação de processos, qualificação e calibração</w:t>
            </w:r>
          </w:p>
        </w:tc>
        <w:tc>
          <w:tcPr>
            <w:tcW w:w="3225" w:type="dxa"/>
          </w:tcPr>
          <w:p>
            <w:pPr>
              <w:widowControl/>
              <w:spacing w:after="0" w:line="276" w:lineRule="auto"/>
              <w:jc w:val="left"/>
              <w:rPr>
                <w:sz w:val="18"/>
                <w:szCs w:val="18"/>
              </w:rPr>
            </w:pPr>
            <w:r>
              <w:rPr>
                <w:sz w:val="18"/>
                <w:szCs w:val="20"/>
              </w:rPr>
              <w:t xml:space="preserve">Art. 148, I e II</w:t>
            </w:r>
          </w:p>
        </w:tc>
        <w:tc>
          <w:tcPr>
            <w:tcW w:w="1626" w:type="dxa"/>
          </w:tcPr>
          <w:p>
            <w:pPr>
              <w:widowControl/>
              <w:spacing w:after="0" w:line="276" w:lineRule="auto"/>
              <w:jc w:val="left"/>
              <w:rPr>
                <w:sz w:val="18"/>
                <w:szCs w:val="18"/>
              </w:rPr>
            </w:pPr>
            <w:r>
              <w:rPr>
                <w:sz w:val="18"/>
                <w:szCs w:val="20"/>
              </w:rPr>
              <w:t xml:space="preserve">Protótipos</w:t>
            </w:r>
          </w:p>
        </w:tc>
        <w:tc>
          <w:tcPr>
            <w:tcW w:w="1519" w:type="dxa"/>
          </w:tcPr>
          <w:p>
            <w:pPr>
              <w:widowControl/>
              <w:spacing w:after="0" w:line="276" w:lineRule="auto"/>
              <w:jc w:val="left"/>
              <w:rPr>
                <w:sz w:val="18"/>
                <w:szCs w:val="18"/>
              </w:rPr>
            </w:pPr>
            <w:r>
              <w:rPr>
                <w:sz w:val="18"/>
                <w:szCs w:val="20"/>
              </w:rPr>
              <w:t xml:space="preserve">Calibração e qualificação existem na Produção (não analisada)</w:t>
            </w:r>
          </w:p>
        </w:tc>
        <w:tc>
          <w:tcPr>
            <w:tcW w:w="1192" w:type="dxa"/>
          </w:tcPr>
          <w:p>
            <w:pPr>
              <w:widowControl/>
              <w:spacing w:after="0" w:line="276" w:lineRule="auto"/>
              <w:jc w:val="left"/>
              <w:rPr>
                <w:sz w:val="18"/>
                <w:szCs w:val="18"/>
              </w:rPr>
            </w:pPr>
            <w:r>
              <w:rPr>
                <w:sz w:val="18"/>
                <w:b/>
                <w:bCs/>
                <w:szCs w:val="20"/>
              </w:rPr>
              <w:t xml:space="preserve">A verificar</w:t>
            </w:r>
            <w:r>
              <w:rPr>
                <w:sz w:val="18"/>
                <w:szCs w:val="20"/>
              </w:rPr>
              <w:t xml:space="preserve"> na Produção</w:t>
            </w:r>
          </w:p>
        </w:tc>
      </w:tr>
    </w:tbl>
    <w:p>
      <w:pPr>
        <w:spacing w:after="0" w:line="360" w:lineRule="auto"/>
      </w:pPr>
    </w:p>
    <w:p>
      <w:pPr>
        <w:spacing w:after="0" w:line="360" w:lineRule="auto"/>
        <w:rPr>
          <w:szCs w:val="20"/>
        </w:rPr>
      </w:pPr>
      <w:r>
        <w:rPr>
          <w:b/>
          <w:bCs/>
          <w:szCs w:val="20"/>
        </w:rPr>
        <w:t xml:space="preserve">Contagem:</w:t>
      </w:r>
      <w:r>
        <w:rPr>
          <w:szCs w:val="20"/>
        </w:rPr>
        <w:t xml:space="preserve"> Atende 0 · Parcial 8 (temas 3, 6, 12, 15 a 19) · Não atende 13 (1, 2, 4, 5, 7 a 11, 13, 14, 20, 21) · A verificar 1 (22).</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O QUE JÁ ESTÁ EM CONFORMIDADE OU PERTO DELA</w:t>
      </w:r>
    </w:p>
    <w:p>
      <w:pPr>
        <w:keepNext/>
        <w:spacing w:after="0" w:line="360" w:lineRule="auto"/>
      </w:pPr>
    </w:p>
    <w:p>
      <w:pPr>
        <w:spacing w:after="0" w:line="360" w:lineRule="auto"/>
        <w:rPr>
          <w:szCs w:val="20"/>
        </w:rPr>
      </w:pPr>
      <w:r>
        <w:rPr>
          <w:szCs w:val="20"/>
        </w:rPr>
        <w:t xml:space="preserve">Os mecanismos certos existem em boa parte; o que falta é torná-los obrigatórios e ligá-los entre si.</w:t>
      </w:r>
    </w:p>
    <w:p>
      <w:pPr>
        <w:numPr>
          <w:ilvl w:val="0"/>
          <w:numId w:val="2"/>
        </w:numPr>
        <w:spacing w:after="0" w:line="360" w:lineRule="auto"/>
        <w:rPr>
          <w:szCs w:val="20"/>
        </w:rPr>
      </w:pPr>
      <w:r>
        <w:rPr>
          <w:b/>
          <w:bCs/>
          <w:szCs w:val="20"/>
        </w:rPr>
        <w:t xml:space="preserve">Principal:</w:t>
      </w:r>
      <w:r>
        <w:rPr>
          <w:szCs w:val="20"/>
        </w:rPr>
        <w:t xml:space="preserve"> bloqueio após tentativas erradas, validade de senha e de conta, perfis por função, exclusão sem apagar o dado e histórico campo a campo na maior parte dos cadastros.</w:t>
      </w:r>
    </w:p>
    <w:p>
      <w:pPr>
        <w:numPr>
          <w:ilvl w:val="0"/>
          <w:numId w:val="2"/>
        </w:numPr>
        <w:spacing w:after="0" w:line="360" w:lineRule="auto"/>
        <w:rPr>
          <w:szCs w:val="20"/>
        </w:rPr>
      </w:pPr>
      <w:r>
        <w:rPr>
          <w:b/>
          <w:bCs/>
          <w:szCs w:val="20"/>
        </w:rPr>
        <w:t xml:space="preserve">Estoque:</w:t>
      </w:r>
      <w:r>
        <w:rPr>
          <w:szCs w:val="20"/>
        </w:rPr>
        <w:t xml:space="preserve"> a mesma pessoa não cadastra e autoriza o mesmo recebimento (separação de funções, testado); validade obrigatória para item com controle de validade (testado); almoxarifado visível só para o grupo autorizado (testado); registro de quem cadastrou e de quem autorizou.</w:t>
      </w:r>
    </w:p>
    <w:p>
      <w:pPr>
        <w:numPr>
          <w:ilvl w:val="0"/>
          <w:numId w:val="2"/>
        </w:numPr>
        <w:spacing w:after="0" w:line="360" w:lineRule="auto"/>
        <w:rPr>
          <w:szCs w:val="20"/>
        </w:rPr>
      </w:pPr>
      <w:r>
        <w:rPr>
          <w:b/>
          <w:bCs/>
          <w:szCs w:val="20"/>
        </w:rPr>
        <w:t xml:space="preserve">GQ:</w:t>
      </w:r>
      <w:r>
        <w:rPr>
          <w:szCs w:val="20"/>
        </w:rPr>
        <w:t xml:space="preserve"> os fluxos de desvio, CAPA, mudança, autoinspeção e treinamento seguem as etapas que a norma descreve, com número sequencial, situação de cada etapa, justificativa no cancelamento e na não aceitação, e histórico campo a campo onde é gravado.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O QUE CORRIGIR PRIMEIRO</w:t>
      </w:r>
    </w:p>
    <w:p>
      <w:pPr>
        <w:keepNext/>
        <w:spacing w:after="0" w:line="360" w:lineRule="auto"/>
      </w:pPr>
    </w:p>
    <w:p>
      <w:pPr>
        <w:spacing w:after="0" w:line="360" w:lineRule="auto"/>
        <w:rPr>
          <w:szCs w:val="20"/>
        </w:rPr>
      </w:pPr>
      <w:r>
        <w:rPr>
          <w:szCs w:val="20"/>
        </w:rPr>
        <w:t xml:space="preserve">Ordem proposta por risco à qualidade do produto e por peso numa inspeção.</w:t>
      </w:r>
    </w:p>
    <w:tbl>
      <w:tblPr>
        <w:tblStyle w:val="Tabelacomgrade"/>
        <w:tblW w:w="9631" w:type="dxa"/>
        <w:tblLayout w:type="fixed"/>
        <w:tblLook w:val="04A0" w:firstRow="1" w:lastRow="0" w:firstColumn="1" w:lastColumn="0" w:noHBand="0" w:noVBand="1"/>
      </w:tblPr>
      <w:tblGrid>
        <w:gridCol w:w="504"/>
        <w:gridCol w:w="6537"/>
        <w:gridCol w:w="1095"/>
        <w:gridCol w:w="1495"/>
      </w:tblGrid>
      <w:tr>
        <w:trPr>
          <w:tblHeader/>
          <w:cantSplit/>
        </w:trPr>
        <w:tc>
          <w:tcPr>
            <w:tcW w:w="5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65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Correção</w:t>
            </w:r>
          </w:p>
        </w:tc>
        <w:tc>
          <w:tcPr>
            <w:tcW w:w="10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Temas</w:t>
            </w:r>
          </w:p>
        </w:tc>
        <w:tc>
          <w:tcPr>
            <w:tcW w:w="14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Módulos</w:t>
            </w:r>
          </w:p>
        </w:tc>
      </w:tr>
      <w:tr>
        <w:trPr>
          <w:cantSplit/>
        </w:trPr>
        <w:tc>
          <w:tcPr>
            <w:tcW w:w="504" w:type="dxa"/>
          </w:tcPr>
          <w:p>
            <w:pPr>
              <w:widowControl/>
              <w:spacing w:after="0" w:line="276" w:lineRule="auto"/>
              <w:jc w:val="left"/>
              <w:rPr>
                <w:sz w:val="18"/>
                <w:szCs w:val="18"/>
              </w:rPr>
            </w:pPr>
            <w:r>
              <w:rPr>
                <w:sz w:val="18"/>
                <w:szCs w:val="20"/>
              </w:rPr>
              <w:t xml:space="preserve">1</w:t>
            </w:r>
          </w:p>
        </w:tc>
        <w:tc>
          <w:tcPr>
            <w:tcW w:w="6537" w:type="dxa"/>
          </w:tcPr>
          <w:p>
            <w:pPr>
              <w:widowControl/>
              <w:spacing w:after="0" w:line="276" w:lineRule="auto"/>
              <w:jc w:val="left"/>
              <w:rPr>
                <w:sz w:val="18"/>
                <w:szCs w:val="18"/>
              </w:rPr>
            </w:pPr>
            <w:r>
              <w:rPr>
                <w:sz w:val="18"/>
                <w:szCs w:val="20"/>
              </w:rPr>
              <w:t xml:space="preserve">Conferir a permissão em toda tela e toda ação, no servidor; aprovações só pela função designada, com assinatura eletrônica</w:t>
            </w:r>
          </w:p>
        </w:tc>
        <w:tc>
          <w:tcPr>
            <w:tcW w:w="1095" w:type="dxa"/>
          </w:tcPr>
          <w:p>
            <w:pPr>
              <w:widowControl/>
              <w:spacing w:after="0" w:line="276" w:lineRule="auto"/>
              <w:jc w:val="left"/>
              <w:rPr>
                <w:sz w:val="18"/>
                <w:szCs w:val="18"/>
              </w:rPr>
            </w:pPr>
            <w:r>
              <w:rPr>
                <w:sz w:val="18"/>
                <w:szCs w:val="20"/>
              </w:rPr>
              <w:t xml:space="preserve">1, 2, 5</w:t>
            </w:r>
          </w:p>
        </w:tc>
        <w:tc>
          <w:tcPr>
            <w:tcW w:w="1495" w:type="dxa"/>
          </w:tcPr>
          <w:p>
            <w:pPr>
              <w:widowControl/>
              <w:spacing w:after="0" w:line="276" w:lineRule="auto"/>
              <w:jc w:val="left"/>
              <w:rPr>
                <w:sz w:val="18"/>
                <w:szCs w:val="18"/>
              </w:rPr>
            </w:pPr>
            <w:r>
              <w:rPr>
                <w:sz w:val="18"/>
                <w:szCs w:val="20"/>
              </w:rPr>
              <w:t xml:space="preserve">Todos</w:t>
            </w:r>
          </w:p>
        </w:tc>
      </w:tr>
      <w:tr>
        <w:trPr>
          <w:cantSplit/>
        </w:trPr>
        <w:tc>
          <w:tcPr>
            <w:tcW w:w="504" w:type="dxa"/>
          </w:tcPr>
          <w:p>
            <w:pPr>
              <w:widowControl/>
              <w:spacing w:after="0" w:line="276" w:lineRule="auto"/>
              <w:jc w:val="left"/>
              <w:rPr>
                <w:sz w:val="18"/>
                <w:szCs w:val="18"/>
              </w:rPr>
            </w:pPr>
            <w:r>
              <w:rPr>
                <w:sz w:val="18"/>
                <w:szCs w:val="20"/>
              </w:rPr>
              <w:t xml:space="preserve">2</w:t>
            </w:r>
          </w:p>
        </w:tc>
        <w:tc>
          <w:tcPr>
            <w:tcW w:w="6537" w:type="dxa"/>
          </w:tcPr>
          <w:p>
            <w:pPr>
              <w:widowControl/>
              <w:spacing w:after="0" w:line="276" w:lineRule="auto"/>
              <w:jc w:val="left"/>
              <w:rPr>
                <w:sz w:val="18"/>
                <w:szCs w:val="18"/>
              </w:rPr>
            </w:pPr>
            <w:r>
              <w:rPr>
                <w:sz w:val="18"/>
                <w:szCs w:val="20"/>
              </w:rPr>
              <w:t xml:space="preserve">Histórico obrigatório em toda inclusão, alteração e exclusão, com motivo, e data e hora do servidor</w:t>
            </w:r>
          </w:p>
        </w:tc>
        <w:tc>
          <w:tcPr>
            <w:tcW w:w="1095" w:type="dxa"/>
          </w:tcPr>
          <w:p>
            <w:pPr>
              <w:widowControl/>
              <w:spacing w:after="0" w:line="276" w:lineRule="auto"/>
              <w:jc w:val="left"/>
              <w:rPr>
                <w:sz w:val="18"/>
                <w:szCs w:val="18"/>
              </w:rPr>
            </w:pPr>
            <w:r>
              <w:rPr>
                <w:sz w:val="18"/>
                <w:szCs w:val="20"/>
              </w:rPr>
              <w:t xml:space="preserve">3, 4</w:t>
            </w:r>
          </w:p>
        </w:tc>
        <w:tc>
          <w:tcPr>
            <w:tcW w:w="1495" w:type="dxa"/>
          </w:tcPr>
          <w:p>
            <w:pPr>
              <w:widowControl/>
              <w:spacing w:after="0" w:line="276" w:lineRule="auto"/>
              <w:jc w:val="left"/>
              <w:rPr>
                <w:sz w:val="18"/>
                <w:szCs w:val="18"/>
              </w:rPr>
            </w:pPr>
            <w:r>
              <w:rPr>
                <w:sz w:val="18"/>
                <w:szCs w:val="20"/>
              </w:rPr>
              <w:t xml:space="preserve">Todos</w:t>
            </w:r>
          </w:p>
        </w:tc>
      </w:tr>
      <w:tr>
        <w:trPr>
          <w:cantSplit/>
        </w:trPr>
        <w:tc>
          <w:tcPr>
            <w:tcW w:w="504" w:type="dxa"/>
          </w:tcPr>
          <w:p>
            <w:pPr>
              <w:widowControl/>
              <w:spacing w:after="0" w:line="276" w:lineRule="auto"/>
              <w:jc w:val="left"/>
              <w:rPr>
                <w:sz w:val="18"/>
                <w:szCs w:val="18"/>
              </w:rPr>
            </w:pPr>
            <w:r>
              <w:rPr>
                <w:sz w:val="18"/>
                <w:szCs w:val="20"/>
              </w:rPr>
              <w:t xml:space="preserve">3</w:t>
            </w:r>
          </w:p>
        </w:tc>
        <w:tc>
          <w:tcPr>
            <w:tcW w:w="6537" w:type="dxa"/>
          </w:tcPr>
          <w:p>
            <w:pPr>
              <w:widowControl/>
              <w:spacing w:after="0" w:line="276" w:lineRule="auto"/>
              <w:jc w:val="left"/>
              <w:rPr>
                <w:sz w:val="18"/>
                <w:szCs w:val="18"/>
              </w:rPr>
            </w:pPr>
            <w:r>
              <w:rPr>
                <w:sz w:val="18"/>
                <w:szCs w:val="20"/>
              </w:rPr>
              <w:t xml:space="preserve">Gravar tudo ou nada: nenhuma tela mostra sucesso sem ter gravado</w:t>
            </w:r>
          </w:p>
        </w:tc>
        <w:tc>
          <w:tcPr>
            <w:tcW w:w="1095" w:type="dxa"/>
          </w:tcPr>
          <w:p>
            <w:pPr>
              <w:widowControl/>
              <w:spacing w:after="0" w:line="276" w:lineRule="auto"/>
              <w:jc w:val="left"/>
              <w:rPr>
                <w:sz w:val="18"/>
                <w:szCs w:val="18"/>
              </w:rPr>
            </w:pPr>
            <w:r>
              <w:rPr>
                <w:sz w:val="18"/>
                <w:szCs w:val="20"/>
              </w:rPr>
              <w:t xml:space="preserve">4, 10</w:t>
            </w:r>
          </w:p>
        </w:tc>
        <w:tc>
          <w:tcPr>
            <w:tcW w:w="1495" w:type="dxa"/>
          </w:tcPr>
          <w:p>
            <w:pPr>
              <w:widowControl/>
              <w:spacing w:after="0" w:line="276" w:lineRule="auto"/>
              <w:jc w:val="left"/>
              <w:rPr>
                <w:sz w:val="18"/>
                <w:szCs w:val="18"/>
              </w:rPr>
            </w:pPr>
            <w:r>
              <w:rPr>
                <w:sz w:val="18"/>
                <w:szCs w:val="20"/>
              </w:rPr>
              <w:t xml:space="preserve">Estoque</w:t>
            </w:r>
          </w:p>
        </w:tc>
      </w:tr>
      <w:tr>
        <w:trPr>
          <w:cantSplit/>
        </w:trPr>
        <w:tc>
          <w:tcPr>
            <w:tcW w:w="504" w:type="dxa"/>
          </w:tcPr>
          <w:p>
            <w:pPr>
              <w:widowControl/>
              <w:spacing w:after="0" w:line="276" w:lineRule="auto"/>
              <w:jc w:val="left"/>
              <w:rPr>
                <w:sz w:val="18"/>
                <w:szCs w:val="18"/>
              </w:rPr>
            </w:pPr>
            <w:r>
              <w:rPr>
                <w:sz w:val="18"/>
                <w:szCs w:val="20"/>
              </w:rPr>
              <w:t xml:space="preserve">4</w:t>
            </w:r>
          </w:p>
        </w:tc>
        <w:tc>
          <w:tcPr>
            <w:tcW w:w="6537" w:type="dxa"/>
          </w:tcPr>
          <w:p>
            <w:pPr>
              <w:widowControl/>
              <w:spacing w:after="0" w:line="276" w:lineRule="auto"/>
              <w:jc w:val="left"/>
              <w:rPr>
                <w:sz w:val="18"/>
                <w:szCs w:val="18"/>
              </w:rPr>
            </w:pPr>
            <w:r>
              <w:rPr>
                <w:sz w:val="18"/>
                <w:szCs w:val="20"/>
              </w:rPr>
              <w:t xml:space="preserve">Religar as travas desligadas: quarentena, reanálise vencida, lote vencido, conferência do lote do produto acabado</w:t>
            </w:r>
          </w:p>
        </w:tc>
        <w:tc>
          <w:tcPr>
            <w:tcW w:w="1095" w:type="dxa"/>
          </w:tcPr>
          <w:p>
            <w:pPr>
              <w:widowControl/>
              <w:spacing w:after="0" w:line="276" w:lineRule="auto"/>
              <w:jc w:val="left"/>
              <w:rPr>
                <w:sz w:val="18"/>
                <w:szCs w:val="18"/>
              </w:rPr>
            </w:pPr>
            <w:r>
              <w:rPr>
                <w:sz w:val="18"/>
                <w:szCs w:val="20"/>
              </w:rPr>
              <w:t xml:space="preserve">10, 11</w:t>
            </w:r>
          </w:p>
        </w:tc>
        <w:tc>
          <w:tcPr>
            <w:tcW w:w="1495" w:type="dxa"/>
          </w:tcPr>
          <w:p>
            <w:pPr>
              <w:widowControl/>
              <w:spacing w:after="0" w:line="276" w:lineRule="auto"/>
              <w:jc w:val="left"/>
              <w:rPr>
                <w:sz w:val="18"/>
                <w:szCs w:val="18"/>
              </w:rPr>
            </w:pPr>
            <w:r>
              <w:rPr>
                <w:sz w:val="18"/>
                <w:szCs w:val="20"/>
              </w:rPr>
              <w:t xml:space="preserve">Estoque</w:t>
            </w:r>
          </w:p>
        </w:tc>
      </w:tr>
      <w:tr>
        <w:trPr>
          <w:cantSplit/>
        </w:trPr>
        <w:tc>
          <w:tcPr>
            <w:tcW w:w="504" w:type="dxa"/>
          </w:tcPr>
          <w:p>
            <w:pPr>
              <w:widowControl/>
              <w:spacing w:after="0" w:line="276" w:lineRule="auto"/>
              <w:jc w:val="left"/>
              <w:rPr>
                <w:sz w:val="18"/>
                <w:szCs w:val="18"/>
              </w:rPr>
            </w:pPr>
            <w:r>
              <w:rPr>
                <w:sz w:val="18"/>
                <w:szCs w:val="20"/>
              </w:rPr>
              <w:t xml:space="preserve">5</w:t>
            </w:r>
          </w:p>
        </w:tc>
        <w:tc>
          <w:tcPr>
            <w:tcW w:w="6537" w:type="dxa"/>
          </w:tcPr>
          <w:p>
            <w:pPr>
              <w:widowControl/>
              <w:spacing w:after="0" w:line="276" w:lineRule="auto"/>
              <w:jc w:val="left"/>
              <w:rPr>
                <w:sz w:val="18"/>
                <w:szCs w:val="18"/>
              </w:rPr>
            </w:pPr>
            <w:r>
              <w:rPr>
                <w:sz w:val="18"/>
                <w:szCs w:val="20"/>
              </w:rPr>
              <w:t xml:space="preserve">Ligar a qualidade ao estoque: fornecedor aprovado no recebimento; desvio retém o lote; registro do produto e treinamento consultados antes de produzir</w:t>
            </w:r>
          </w:p>
        </w:tc>
        <w:tc>
          <w:tcPr>
            <w:tcW w:w="1095" w:type="dxa"/>
          </w:tcPr>
          <w:p>
            <w:pPr>
              <w:widowControl/>
              <w:spacing w:after="0" w:line="276" w:lineRule="auto"/>
              <w:jc w:val="left"/>
              <w:rPr>
                <w:sz w:val="18"/>
                <w:szCs w:val="18"/>
              </w:rPr>
            </w:pPr>
            <w:r>
              <w:rPr>
                <w:sz w:val="18"/>
                <w:szCs w:val="20"/>
              </w:rPr>
              <w:t xml:space="preserve">8, 15, 18, 19</w:t>
            </w:r>
          </w:p>
        </w:tc>
        <w:tc>
          <w:tcPr>
            <w:tcW w:w="1495" w:type="dxa"/>
          </w:tcPr>
          <w:p>
            <w:pPr>
              <w:widowControl/>
              <w:spacing w:after="0" w:line="276" w:lineRule="auto"/>
              <w:jc w:val="left"/>
              <w:rPr>
                <w:sz w:val="18"/>
                <w:szCs w:val="18"/>
              </w:rPr>
            </w:pPr>
            <w:r>
              <w:rPr>
                <w:sz w:val="18"/>
                <w:szCs w:val="20"/>
              </w:rPr>
              <w:t xml:space="preserve">Estoque, GQ, Produção</w:t>
            </w:r>
          </w:p>
        </w:tc>
      </w:tr>
      <w:tr>
        <w:trPr>
          <w:cantSplit/>
        </w:trPr>
        <w:tc>
          <w:tcPr>
            <w:tcW w:w="504" w:type="dxa"/>
          </w:tcPr>
          <w:p>
            <w:pPr>
              <w:widowControl/>
              <w:spacing w:after="0" w:line="276" w:lineRule="auto"/>
              <w:jc w:val="left"/>
              <w:rPr>
                <w:sz w:val="18"/>
                <w:szCs w:val="18"/>
              </w:rPr>
            </w:pPr>
            <w:r>
              <w:rPr>
                <w:sz w:val="18"/>
                <w:szCs w:val="20"/>
              </w:rPr>
              <w:t xml:space="preserve">6</w:t>
            </w:r>
          </w:p>
        </w:tc>
        <w:tc>
          <w:tcPr>
            <w:tcW w:w="6537" w:type="dxa"/>
          </w:tcPr>
          <w:p>
            <w:pPr>
              <w:widowControl/>
              <w:spacing w:after="0" w:line="276" w:lineRule="auto"/>
              <w:jc w:val="left"/>
              <w:rPr>
                <w:sz w:val="18"/>
                <w:szCs w:val="18"/>
              </w:rPr>
            </w:pPr>
            <w:r>
              <w:rPr>
                <w:sz w:val="18"/>
                <w:szCs w:val="20"/>
              </w:rPr>
              <w:t xml:space="preserve">Tornar obrigatórias as etapas da norma: inspeção da entrega, CAPA para desvio crítico, parecer das áreas na mudança, eficácia</w:t>
            </w:r>
          </w:p>
        </w:tc>
        <w:tc>
          <w:tcPr>
            <w:tcW w:w="1095" w:type="dxa"/>
          </w:tcPr>
          <w:p>
            <w:pPr>
              <w:widowControl/>
              <w:spacing w:after="0" w:line="276" w:lineRule="auto"/>
              <w:jc w:val="left"/>
              <w:rPr>
                <w:sz w:val="18"/>
                <w:szCs w:val="18"/>
              </w:rPr>
            </w:pPr>
            <w:r>
              <w:rPr>
                <w:sz w:val="18"/>
                <w:szCs w:val="20"/>
              </w:rPr>
              <w:t xml:space="preserve">9, 15, 16</w:t>
            </w:r>
          </w:p>
        </w:tc>
        <w:tc>
          <w:tcPr>
            <w:tcW w:w="1495" w:type="dxa"/>
          </w:tcPr>
          <w:p>
            <w:pPr>
              <w:widowControl/>
              <w:spacing w:after="0" w:line="276" w:lineRule="auto"/>
              <w:jc w:val="left"/>
              <w:rPr>
                <w:sz w:val="18"/>
                <w:szCs w:val="18"/>
              </w:rPr>
            </w:pPr>
            <w:r>
              <w:rPr>
                <w:sz w:val="18"/>
                <w:szCs w:val="20"/>
              </w:rPr>
              <w:t xml:space="preserve">Estoque, GQ</w:t>
            </w:r>
          </w:p>
        </w:tc>
      </w:tr>
      <w:tr>
        <w:trPr>
          <w:cantSplit/>
        </w:trPr>
        <w:tc>
          <w:tcPr>
            <w:tcW w:w="504" w:type="dxa"/>
          </w:tcPr>
          <w:p>
            <w:pPr>
              <w:widowControl/>
              <w:spacing w:after="0" w:line="276" w:lineRule="auto"/>
              <w:jc w:val="left"/>
              <w:rPr>
                <w:sz w:val="18"/>
                <w:szCs w:val="18"/>
              </w:rPr>
            </w:pPr>
            <w:r>
              <w:rPr>
                <w:sz w:val="18"/>
                <w:szCs w:val="20"/>
              </w:rPr>
              <w:t xml:space="preserve">7</w:t>
            </w:r>
          </w:p>
        </w:tc>
        <w:tc>
          <w:tcPr>
            <w:tcW w:w="6537" w:type="dxa"/>
          </w:tcPr>
          <w:p>
            <w:pPr>
              <w:widowControl/>
              <w:spacing w:after="0" w:line="276" w:lineRule="auto"/>
              <w:jc w:val="left"/>
              <w:rPr>
                <w:sz w:val="18"/>
                <w:szCs w:val="18"/>
              </w:rPr>
            </w:pPr>
            <w:r>
              <w:rPr>
                <w:sz w:val="18"/>
                <w:szCs w:val="20"/>
              </w:rPr>
              <w:t xml:space="preserve">Criar o que falta: reclamações e recolhimento; revisão periódica do produto</w:t>
            </w:r>
          </w:p>
        </w:tc>
        <w:tc>
          <w:tcPr>
            <w:tcW w:w="1095" w:type="dxa"/>
          </w:tcPr>
          <w:p>
            <w:pPr>
              <w:widowControl/>
              <w:spacing w:after="0" w:line="276" w:lineRule="auto"/>
              <w:jc w:val="left"/>
              <w:rPr>
                <w:sz w:val="18"/>
                <w:szCs w:val="18"/>
              </w:rPr>
            </w:pPr>
            <w:r>
              <w:rPr>
                <w:sz w:val="18"/>
                <w:szCs w:val="20"/>
              </w:rPr>
              <w:t xml:space="preserve">20, 21</w:t>
            </w:r>
          </w:p>
        </w:tc>
        <w:tc>
          <w:tcPr>
            <w:tcW w:w="1495" w:type="dxa"/>
          </w:tcPr>
          <w:p>
            <w:pPr>
              <w:widowControl/>
              <w:spacing w:after="0" w:line="276" w:lineRule="auto"/>
              <w:jc w:val="left"/>
              <w:rPr>
                <w:sz w:val="18"/>
                <w:szCs w:val="18"/>
              </w:rPr>
            </w:pPr>
            <w:r>
              <w:rPr>
                <w:sz w:val="18"/>
                <w:szCs w:val="20"/>
              </w:rPr>
              <w:t xml:space="preserve">GQ</w:t>
            </w:r>
          </w:p>
        </w:tc>
      </w:tr>
      <w:tr>
        <w:trPr>
          <w:cantSplit/>
        </w:trPr>
        <w:tc>
          <w:tcPr>
            <w:tcW w:w="504" w:type="dxa"/>
          </w:tcPr>
          <w:p>
            <w:pPr>
              <w:widowControl/>
              <w:spacing w:after="0" w:line="276" w:lineRule="auto"/>
              <w:jc w:val="left"/>
              <w:rPr>
                <w:sz w:val="18"/>
                <w:szCs w:val="18"/>
              </w:rPr>
            </w:pPr>
            <w:r>
              <w:rPr>
                <w:sz w:val="18"/>
                <w:szCs w:val="20"/>
              </w:rPr>
              <w:t xml:space="preserve">8</w:t>
            </w:r>
          </w:p>
        </w:tc>
        <w:tc>
          <w:tcPr>
            <w:tcW w:w="6537" w:type="dxa"/>
          </w:tcPr>
          <w:p>
            <w:pPr>
              <w:widowControl/>
              <w:spacing w:after="0" w:line="276" w:lineRule="auto"/>
              <w:jc w:val="left"/>
              <w:rPr>
                <w:sz w:val="18"/>
                <w:szCs w:val="18"/>
              </w:rPr>
            </w:pPr>
            <w:r>
              <w:rPr>
                <w:sz w:val="18"/>
                <w:szCs w:val="20"/>
              </w:rPr>
              <w:t xml:space="preserve">Um projeto de banco único, conferido com o código, sem scripts que apagam dados</w:t>
            </w:r>
          </w:p>
        </w:tc>
        <w:tc>
          <w:tcPr>
            <w:tcW w:w="1095" w:type="dxa"/>
          </w:tcPr>
          <w:p>
            <w:pPr>
              <w:widowControl/>
              <w:spacing w:after="0" w:line="276" w:lineRule="auto"/>
              <w:jc w:val="left"/>
              <w:rPr>
                <w:sz w:val="18"/>
                <w:szCs w:val="18"/>
              </w:rPr>
            </w:pPr>
            <w:r>
              <w:rPr>
                <w:sz w:val="18"/>
                <w:szCs w:val="20"/>
              </w:rPr>
              <w:t xml:space="preserve">7</w:t>
            </w:r>
          </w:p>
        </w:tc>
        <w:tc>
          <w:tcPr>
            <w:tcW w:w="1495" w:type="dxa"/>
          </w:tcPr>
          <w:p>
            <w:pPr>
              <w:widowControl/>
              <w:spacing w:after="0" w:line="276" w:lineRule="auto"/>
              <w:jc w:val="left"/>
              <w:rPr>
                <w:sz w:val="18"/>
                <w:szCs w:val="18"/>
              </w:rPr>
            </w:pPr>
            <w:r>
              <w:rPr>
                <w:sz w:val="18"/>
                <w:szCs w:val="20"/>
              </w:rPr>
              <w:t xml:space="preserve">Todos</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PRÓXIMOS PASSOS</w:t>
      </w:r>
    </w:p>
    <w:p>
      <w:pPr>
        <w:keepNext/>
        <w:spacing w:after="0" w:line="360" w:lineRule="auto"/>
      </w:pPr>
    </w:p>
    <w:p>
      <w:pPr>
        <w:numPr>
          <w:ilvl w:val="0"/>
          <w:numId w:val="2"/>
        </w:numPr>
        <w:spacing w:after="0" w:line="360" w:lineRule="auto"/>
        <w:rPr>
          <w:szCs w:val="20"/>
        </w:rPr>
      </w:pPr>
      <w:r>
        <w:rPr>
          <w:b/>
          <w:bCs/>
          <w:szCs w:val="20"/>
        </w:rPr>
        <w:t xml:space="preserve">Estoque:</w:t>
      </w:r>
      <w:r>
        <w:rPr>
          <w:szCs w:val="20"/>
        </w:rPr>
        <w:t xml:space="preserve"> gerar os entregáveis (regras de negócio, análise de requisitos, manual, dossiê e resumo executivo) com o que já foi testado, deixando o endereçamento e a quarentena como pendência do DBA.</w:t>
      </w:r>
    </w:p>
    <w:p>
      <w:pPr>
        <w:numPr>
          <w:ilvl w:val="0"/>
          <w:numId w:val="2"/>
        </w:numPr>
        <w:spacing w:after="0" w:line="360" w:lineRule="auto"/>
        <w:rPr>
          <w:szCs w:val="20"/>
        </w:rPr>
      </w:pPr>
      <w:r>
        <w:rPr>
          <w:b/>
          <w:bCs/>
          <w:szCs w:val="20"/>
        </w:rPr>
        <w:t xml:space="preserve">GQ:</w:t>
      </w:r>
      <w:r>
        <w:rPr>
          <w:szCs w:val="20"/>
        </w:rPr>
        <w:t xml:space="preserve"> concluir a rodada de testes em andamento e então gerar os entregáveis.</w:t>
      </w:r>
    </w:p>
    <w:p>
      <w:pPr>
        <w:numPr>
          <w:ilvl w:val="0"/>
          <w:numId w:val="2"/>
        </w:numPr>
        <w:spacing w:after="0" w:line="360" w:lineRule="auto"/>
        <w:rPr>
          <w:szCs w:val="20"/>
        </w:rPr>
      </w:pPr>
      <w:r>
        <w:rPr>
          <w:b/>
          <w:bCs/>
          <w:szCs w:val="20"/>
        </w:rPr>
        <w:t xml:space="preserve">Controle da Qualidade:</w:t>
      </w:r>
      <w:r>
        <w:rPr>
          <w:szCs w:val="20"/>
        </w:rPr>
        <w:t xml:space="preserve"> em análise pelo código (reconhecimento e conformidade feitos em 09/10/2026); fechou o tema 14 (liberação do lote).</w:t>
      </w:r>
    </w:p>
    <w:p>
      <w:pPr>
        <w:numPr>
          <w:ilvl w:val="0"/>
          <w:numId w:val="2"/>
        </w:numPr>
        <w:spacing w:after="0" w:line="360" w:lineRule="auto"/>
        <w:rPr>
          <w:szCs w:val="20"/>
        </w:rPr>
      </w:pPr>
      <w:r>
        <w:rPr>
          <w:b/>
          <w:bCs/>
          <w:szCs w:val="20"/>
        </w:rPr>
        <w:t xml:space="preserve">Este diagnóstico</w:t>
      </w:r>
      <w:r>
        <w:rPr>
          <w:szCs w:val="20"/>
        </w:rPr>
        <w:t xml:space="preserve"> é atualizado a cada módulo e a cada rodada de testes.</w:t>
      </w:r>
    </w:p>
    <w:p>
      <w:pPr>
        <w:spacing w:after="0" w:line="360" w:lineRule="auto"/>
        <w:rPr>
          <w:szCs w:val="20"/>
        </w:rPr>
      </w:pPr>
      <w:r>
        <w:rPr>
          <w:b/>
          <w:bCs/>
          <w:szCs w:val="20"/>
        </w:rPr>
        <w:t xml:space="preserve">Documentos de origem:</w:t>
      </w:r>
      <w:r>
        <w:rPr>
          <w:szCs w:val="20"/>
        </w:rPr>
        <w:t xml:space="preserve"> </w:t>
      </w:r>
      <w:r>
        <w:rPr>
          <w:szCs w:val="20"/>
        </w:rPr>
        <w:t xml:space="preserve">1.principal/04-conformidade-regulatoria.md</w:t>
      </w:r>
      <w:r>
        <w:rPr>
          <w:szCs w:val="20"/>
        </w:rPr>
        <w:t xml:space="preserve"> e resumo executivo; </w:t>
      </w:r>
      <w:r>
        <w:rPr>
          <w:szCs w:val="20"/>
        </w:rPr>
        <w:t xml:space="preserve">3.estoque/entregaveis/fonte/relatorio-de-testes.md</w:t>
      </w:r>
      <w:r>
        <w:rPr>
          <w:szCs w:val="20"/>
        </w:rPr>
        <w:t xml:space="preserve"> e </w:t>
      </w:r>
      <w:r>
        <w:rPr>
          <w:szCs w:val="20"/>
        </w:rPr>
        <w:t xml:space="preserve">3.estoque/fluxos/</w:t>
      </w:r>
      <w:r>
        <w:rPr>
          <w:szCs w:val="20"/>
        </w:rPr>
        <w:t xml:space="preserve">; </w:t>
      </w:r>
      <w:r>
        <w:rPr>
          <w:szCs w:val="20"/>
        </w:rPr>
        <w:t xml:space="preserve">5.garantia_qualidade/04-conformidade-regulatoria.md</w:t>
      </w:r>
      <w:r>
        <w:rPr>
          <w:szCs w:val="20"/>
        </w:rPr>
        <w:t xml:space="preserve"> e </w:t>
      </w:r>
      <w:r>
        <w:rPr>
          <w:szCs w:val="20"/>
        </w:rPr>
        <w:t xml:space="preserve">07-analise-de-risco.md</w:t>
      </w:r>
      <w:r>
        <w:rPr>
          <w:szCs w:val="20"/>
        </w:rPr>
        <w:t xml:space="preserve">; </w:t>
      </w:r>
      <w:r>
        <w:rPr>
          <w:szCs w:val="20"/>
        </w:rPr>
        <w:t xml:space="preserve">transversal/01-telas-repetidas.md</w:t>
      </w:r>
      <w:r>
        <w:rPr>
          <w:szCs w:val="20"/>
        </w:rPr>
        <w:t xml:space="preserve"> e </w:t>
      </w:r>
      <w:r>
        <w:rPr>
          <w:szCs w:val="20"/>
        </w:rPr>
        <w:t xml:space="preserve">02-mapa-do-processo-fabril.md</w:t>
      </w:r>
      <w:r>
        <w:rPr>
          <w:szCs w:val="20"/>
        </w:rPr>
        <w:t xml:space="preserve">.</w:t>
      </w:r>
    </w:p>
    <w:p>
      <w:pPr>
        <w:spacing w:after="0" w:line="360" w:lineRule="auto"/>
        <w:rPr>
          <w:szCs w:val="20"/>
        </w:rPr>
      </w:pPr>
      <w:r>
        <w:rPr>
          <w:szCs w:val="20"/>
        </w:rPr>
        <w:t xml:space="preserve">&lt;!-- NORMAS:INICIO --&gt;</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O QUE A ANVISA PEDE: TEXTOS CITADOS</w:t>
      </w:r>
    </w:p>
    <w:p>
      <w:pPr>
        <w:keepNext/>
        <w:spacing w:after="0" w:line="360" w:lineRule="auto"/>
      </w:pPr>
    </w:p>
    <w:p>
      <w:pPr>
        <w:spacing w:after="0" w:line="360" w:lineRule="auto"/>
        <w:rPr>
          <w:szCs w:val="20"/>
        </w:rPr>
      </w:pPr>
      <w:r>
        <w:rPr>
          <w:szCs w:val="20"/>
        </w:rPr>
        <w:t xml:space="preserve">Texto literal das normas citadas em cada tema, extraído dos arquivos da pasta </w:t>
      </w:r>
      <w:r>
        <w:rPr>
          <w:szCs w:val="20"/>
        </w:rPr>
        <w:t xml:space="preserve">Documentação/</w:t>
      </w:r>
      <w:r>
        <w:rPr>
          <w:szCs w:val="20"/>
        </w:rPr>
        <w:t xml:space="preserve"> (RDC nº 658/2022 em português e Guia nº 33/2020) por </w:t>
      </w:r>
      <w:r>
        <w:rPr>
          <w:szCs w:val="20"/>
        </w:rPr>
        <w:t xml:space="preserve">homologacao/ferramentas/citar_normas_diagnostico.py</w:t>
      </w:r>
      <w:r>
        <w:rPr>
          <w:szCs w:val="20"/>
        </w:rPr>
        <w:t xml:space="preserve">. "(...)" marca trechos omitidos. No portal, clique na referência de cada tema para ver o texto.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1 · Controle de acesso por função</w:t>
      </w:r>
    </w:p>
    <w:p>
      <w:pPr>
        <w:spacing w:after="0" w:line="360" w:lineRule="auto"/>
        <w:rPr>
          <w:szCs w:val="20"/>
        </w:rPr>
      </w:pPr>
      <w:r>
        <w:rPr>
          <w:b/>
          <w:bCs/>
          <w:szCs w:val="20"/>
        </w:rPr>
        <w:t xml:space="preserve">Guia nº 33/2020, item 9.3.2.3 (Requisitos Operacionais)</w:t>
      </w:r>
    </w:p>
    <w:p>
      <w:pPr>
        <w:spacing w:after="0" w:line="360" w:lineRule="auto"/>
        <w:rPr>
          <w:szCs w:val="20"/>
        </w:rPr>
      </w:pPr>
      <w:r>
        <w:rPr>
          <w:szCs w:val="20"/>
        </w:rPr>
        <w:t xml:space="preserve">&gt; Funções – são os requisitos funcionais que habilitam o sistema a executar o processo de negócio que está sendo automatizado, tais como: &gt; - (...) &gt; - Segurança incluindo controle de acesso; &gt; - (...) &gt; &gt; Interfaces – devem ser definidas (se aplicável), abrangendo os seguintes pontos: &gt; - (...) &gt; - Interface(s) com o usuário – definidas em termos de níveis de acesso (operador, administrador, gerente do sistema) ou funções quando apropriado; &gt; - (...)</w:t>
      </w:r>
    </w:p>
    <w:p>
      <w:pPr>
        <w:spacing w:after="0" w:line="360" w:lineRule="auto"/>
        <w:rPr>
          <w:szCs w:val="20"/>
        </w:rPr>
      </w:pPr>
      <w:r>
        <w:rPr>
          <w:b/>
          <w:bCs/>
          <w:szCs w:val="20"/>
        </w:rPr>
        <w:t xml:space="preserve">Guia nº 33/2020, item 9.7.7.1.2 (Testes de Operações de Hardware/Software (OQ))</w:t>
      </w:r>
    </w:p>
    <w:p>
      <w:pPr>
        <w:spacing w:after="0" w:line="360" w:lineRule="auto"/>
        <w:rPr>
          <w:szCs w:val="20"/>
        </w:rPr>
      </w:pPr>
      <w:r>
        <w:rPr>
          <w:szCs w:val="20"/>
        </w:rPr>
        <w:t xml:space="preserve">&gt; Acesso ao sistema e recursos de sistema;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2 · Identificação e senha do usuário</w:t>
      </w:r>
    </w:p>
    <w:p>
      <w:pPr>
        <w:spacing w:after="0" w:line="360" w:lineRule="auto"/>
        <w:rPr>
          <w:szCs w:val="20"/>
        </w:rPr>
      </w:pPr>
      <w:r>
        <w:rPr>
          <w:b/>
          <w:bCs/>
          <w:szCs w:val="20"/>
        </w:rPr>
        <w:t xml:space="preserve">Guia nº 33/2020, item 7.3.1 (Categoria 1 – Software de Infraestrutura)</w:t>
      </w:r>
    </w:p>
    <w:p>
      <w:pPr>
        <w:spacing w:after="0" w:line="360" w:lineRule="auto"/>
        <w:rPr>
          <w:szCs w:val="20"/>
        </w:rPr>
      </w:pPr>
      <w:r>
        <w:rPr>
          <w:szCs w:val="20"/>
        </w:rPr>
        <w:t xml:space="preserve">&gt; (...) Avaliação de risco deve ser realizada, contudo, nas ferramentas com alto impacto potencial, tais como, gerenciamento de senha ou de segurança para se determinar se controles adicionais são apropriados. (...)</w:t>
      </w:r>
    </w:p>
    <w:p>
      <w:pPr>
        <w:spacing w:after="0" w:line="360" w:lineRule="auto"/>
        <w:rPr>
          <w:szCs w:val="20"/>
        </w:rPr>
      </w:pPr>
      <w:r>
        <w:rPr>
          <w:b/>
          <w:bCs/>
          <w:szCs w:val="20"/>
        </w:rPr>
        <w:t xml:space="preserve">Guia nº 33/2020, item 9.3.2.3 (Requisitos Operacionais)</w:t>
      </w:r>
    </w:p>
    <w:p>
      <w:pPr>
        <w:spacing w:after="0" w:line="360" w:lineRule="auto"/>
        <w:rPr>
          <w:szCs w:val="20"/>
        </w:rPr>
      </w:pPr>
      <w:r>
        <w:rPr>
          <w:szCs w:val="20"/>
        </w:rPr>
        <w:t xml:space="preserve">&gt; Funções – são os requisitos funcionais que habilitam o sistema a executar o processo de negócio que está sendo automatizado, tais como: &gt; - (...) &gt; - Segurança incluindo controle de acesso; &gt; - (...)</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3 · Trilha de auditoria: toda alteração registrada, com quem, quando, valor anterior e motivo</w:t>
      </w:r>
    </w:p>
    <w:p>
      <w:pPr>
        <w:spacing w:after="0" w:line="360" w:lineRule="auto"/>
        <w:rPr>
          <w:szCs w:val="20"/>
        </w:rPr>
      </w:pPr>
      <w:r>
        <w:rPr>
          <w:b/>
          <w:bCs/>
          <w:szCs w:val="20"/>
        </w:rPr>
        <w:t xml:space="preserve">RDC 658/2022, art. 125</w:t>
      </w:r>
    </w:p>
    <w:p>
      <w:pPr>
        <w:spacing w:after="0" w:line="360" w:lineRule="auto"/>
        <w:rPr>
          <w:szCs w:val="20"/>
        </w:rPr>
      </w:pPr>
      <w:r>
        <w:rPr>
          <w:szCs w:val="20"/>
        </w:rPr>
        <w:t xml:space="preserve">&gt; Art. 125. Toda a alteração feita no registro de um documento deve ser assinada e datada, devendo permitir a leitura da informação original. &gt; &gt; Parágrafo único. Quando apropriado, o motivo da alteração deve ser registrado.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4 · Registro feito no momento da ação, e que corresponde ao que aconteceu</w:t>
      </w:r>
    </w:p>
    <w:p>
      <w:pPr>
        <w:spacing w:after="0" w:line="360" w:lineRule="auto"/>
        <w:rPr>
          <w:szCs w:val="20"/>
        </w:rPr>
      </w:pPr>
      <w:r>
        <w:rPr>
          <w:b/>
          <w:bCs/>
          <w:szCs w:val="20"/>
        </w:rPr>
        <w:t xml:space="preserve">RDC 658/2022, art. 124</w:t>
      </w:r>
    </w:p>
    <w:p>
      <w:pPr>
        <w:spacing w:after="0" w:line="360" w:lineRule="auto"/>
        <w:rPr>
          <w:szCs w:val="20"/>
        </w:rPr>
      </w:pPr>
      <w:r>
        <w:rPr>
          <w:szCs w:val="20"/>
        </w:rPr>
        <w:t xml:space="preserve">&gt; Art. 124. Os registros devem ser realizados ou completados sempre que uma ação for realizada e de modo a permitir que todas as atividades significativas relativas à fabricação de medicamentos sejam rastreáveis.</w:t>
      </w:r>
    </w:p>
    <w:p>
      <w:pPr>
        <w:spacing w:after="0" w:line="360" w:lineRule="auto"/>
        <w:rPr>
          <w:szCs w:val="20"/>
        </w:rPr>
      </w:pPr>
      <w:r>
        <w:rPr>
          <w:b/>
          <w:bCs/>
          <w:szCs w:val="20"/>
        </w:rPr>
        <w:t xml:space="preserve">Guia nº 33/2020, item 9.3.2.3 (Requisitos Operacionais)</w:t>
      </w:r>
    </w:p>
    <w:p>
      <w:pPr>
        <w:spacing w:after="0" w:line="360" w:lineRule="auto"/>
        <w:rPr>
          <w:szCs w:val="20"/>
        </w:rPr>
      </w:pPr>
      <w:r>
        <w:rPr>
          <w:szCs w:val="20"/>
        </w:rPr>
        <w:t xml:space="preserve">&gt; Dados – requisitos relacionados ao manuseio de dados, considerando-se o seu impacto na segurança do paciente, na qualidade do produto e na integridade dos dados, abrangendo os seguintes pontos: &gt; - Definição dos registros eletrônicos; &gt; - Definição dos tipos de dados, incluindo a identificação das características, formatação, parâmetros críticos, intervalo e formato de datas válidos, limites e exatidão e assim por diante; &gt; - Onde e como os dados serão gravados (ex.: bancos de dados relacionais, arquivos criptografados etc.) &gt; - Campos necessários; &gt; - Migração de dados (importação e exportação); &gt; - Entrada de dados e subsequente edição; &gt; - Backup e recuperação; &gt; - Requisitos para arquivamento; &gt; - Segurança dos dados e integridade.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5 · Assinatura eletrônica nas aprovações</w:t>
      </w:r>
    </w:p>
    <w:p>
      <w:pPr>
        <w:spacing w:after="0" w:line="360" w:lineRule="auto"/>
        <w:rPr>
          <w:szCs w:val="20"/>
        </w:rPr>
      </w:pPr>
      <w:r>
        <w:rPr>
          <w:b/>
          <w:bCs/>
          <w:szCs w:val="20"/>
        </w:rPr>
        <w:t xml:space="preserve">Guia nº 33/2020, item 9.3.2.3 (Requisitos Operacionais)</w:t>
      </w:r>
    </w:p>
    <w:p>
      <w:pPr>
        <w:spacing w:after="0" w:line="360" w:lineRule="auto"/>
        <w:rPr>
          <w:szCs w:val="20"/>
        </w:rPr>
      </w:pPr>
      <w:r>
        <w:rPr>
          <w:szCs w:val="20"/>
        </w:rPr>
        <w:t xml:space="preserve">&gt; Funções – são os requisitos funcionais que habilitam o sistema a executar o processo de negócio que está sendo automatizado, tais como: &gt; - (...) &gt; - Utilização de assinaturas eletrônicas; &gt; - (...)</w:t>
      </w:r>
    </w:p>
    <w:p>
      <w:pPr>
        <w:spacing w:after="0" w:line="360" w:lineRule="auto"/>
        <w:rPr>
          <w:szCs w:val="20"/>
        </w:rPr>
      </w:pPr>
      <w:r>
        <w:rPr>
          <w:b/>
          <w:bCs/>
          <w:szCs w:val="20"/>
        </w:rPr>
        <w:t xml:space="preserve">Guia nº 33/2020, item 9.7.7.1.2 (Testes de Operações de Hardware/Software (OQ))</w:t>
      </w:r>
    </w:p>
    <w:p>
      <w:pPr>
        <w:spacing w:after="0" w:line="360" w:lineRule="auto"/>
        <w:rPr>
          <w:szCs w:val="20"/>
        </w:rPr>
      </w:pPr>
      <w:r>
        <w:rPr>
          <w:szCs w:val="20"/>
        </w:rPr>
        <w:t xml:space="preserve">&gt; Recursos de assinatura eletrônica;</w:t>
      </w:r>
    </w:p>
    <w:p>
      <w:pPr>
        <w:spacing w:after="0" w:line="360" w:lineRule="auto"/>
        <w:rPr>
          <w:szCs w:val="20"/>
        </w:rPr>
      </w:pPr>
      <w:r>
        <w:rPr>
          <w:i/>
          <w:iCs/>
          <w:szCs w:val="20"/>
        </w:rPr>
        <w:t xml:space="preserve">A instrução normativa de sistemas computadorizados (IN 134/2022, a confirmar a vigente), que detalha a assinatura eletrônica, não está na pasta Documentação/; o trecho dela será acrescentado quando o arquivo for incluído.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6 · Validação do sistema (requisitos, testes, rastreabilidade)</w:t>
      </w:r>
    </w:p>
    <w:p>
      <w:pPr>
        <w:spacing w:after="0" w:line="360" w:lineRule="auto"/>
        <w:rPr>
          <w:szCs w:val="20"/>
        </w:rPr>
      </w:pPr>
      <w:r>
        <w:rPr>
          <w:b/>
          <w:bCs/>
          <w:szCs w:val="20"/>
        </w:rPr>
        <w:t xml:space="preserve">Guia nº 33/2020, item 9.1 (Introdução)</w:t>
      </w:r>
    </w:p>
    <w:p>
      <w:pPr>
        <w:spacing w:after="0" w:line="360" w:lineRule="auto"/>
        <w:rPr>
          <w:szCs w:val="20"/>
        </w:rPr>
      </w:pPr>
      <w:r>
        <w:rPr>
          <w:szCs w:val="20"/>
        </w:rPr>
        <w:t xml:space="preserve">&gt; É recomendado que seja preparado um Plano de Validação para cada sistema computadorizado que tenha relevância nas BPF, com foco nos aspectos relacionados à qualidade do paciente, à qualidade do produto e à integridade dos dados.</w:t>
      </w:r>
    </w:p>
    <w:p>
      <w:pPr>
        <w:spacing w:after="0" w:line="360" w:lineRule="auto"/>
        <w:rPr>
          <w:szCs w:val="20"/>
        </w:rPr>
      </w:pPr>
      <w:r>
        <w:rPr>
          <w:b/>
          <w:bCs/>
          <w:szCs w:val="20"/>
        </w:rPr>
        <w:t xml:space="preserve">Guia nº 33/2020, item 9.8.5 (Matriz de Rastreabilidade)</w:t>
      </w:r>
    </w:p>
    <w:p>
      <w:pPr>
        <w:spacing w:after="0" w:line="360" w:lineRule="auto"/>
        <w:rPr>
          <w:szCs w:val="20"/>
        </w:rPr>
      </w:pPr>
      <w:r>
        <w:rPr>
          <w:szCs w:val="20"/>
        </w:rPr>
        <w:t xml:space="preserve">&gt; Para aplicações customizadas, a rastreabilidade deve ser apresentada desde o nível de especificação de projeto, passando pelas especificações funcionais até a verificação dos requisitos do usuário.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7 · Banco de dados íntegro e instalável</w:t>
      </w:r>
    </w:p>
    <w:p>
      <w:pPr>
        <w:spacing w:after="0" w:line="360" w:lineRule="auto"/>
        <w:rPr>
          <w:szCs w:val="20"/>
        </w:rPr>
      </w:pPr>
      <w:r>
        <w:rPr>
          <w:b/>
          <w:bCs/>
          <w:szCs w:val="20"/>
        </w:rPr>
        <w:t xml:space="preserve">Guia nº 33/2020, item 9.6.1 (Introdução)</w:t>
      </w:r>
    </w:p>
    <w:p>
      <w:pPr>
        <w:spacing w:after="0" w:line="360" w:lineRule="auto"/>
        <w:rPr>
          <w:szCs w:val="20"/>
        </w:rPr>
      </w:pPr>
      <w:r>
        <w:rPr>
          <w:szCs w:val="20"/>
        </w:rPr>
        <w:t xml:space="preserve">&gt; Dependendo do tipo de sistema (configurável ou customizado), as especificações de configuração e de projeto fornecem uma expansão técnica detalhada das especificações funcionais. Definem os recursos e flexibilidade do sistema, as propriedades e as suas especificações. As informações geradas formam a base para subsequente atividade de gerenciamento da configuração.</w:t>
      </w:r>
    </w:p>
    <w:p>
      <w:pPr>
        <w:spacing w:after="0" w:line="360" w:lineRule="auto"/>
        <w:rPr>
          <w:szCs w:val="20"/>
        </w:rPr>
      </w:pPr>
      <w:r>
        <w:rPr>
          <w:b/>
          <w:bCs/>
          <w:szCs w:val="20"/>
        </w:rPr>
        <w:t xml:space="preserve">Guia nº 33/2020, item 11.7.1 (Introdução)</w:t>
      </w:r>
    </w:p>
    <w:p>
      <w:pPr>
        <w:spacing w:after="0" w:line="360" w:lineRule="auto"/>
        <w:rPr>
          <w:szCs w:val="20"/>
        </w:rPr>
      </w:pPr>
      <w:r>
        <w:rPr>
          <w:szCs w:val="20"/>
        </w:rPr>
        <w:t xml:space="preserve">&gt; (...) O gerenciamento de mudanças é uma atividade crítica e fundamental para a manutenção da conformidade dos sistemas e dos processos. (...)</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8 · Recebimento de fornecedor aprovado</w:t>
      </w:r>
    </w:p>
    <w:p>
      <w:pPr>
        <w:spacing w:after="0" w:line="360" w:lineRule="auto"/>
        <w:rPr>
          <w:szCs w:val="20"/>
        </w:rPr>
      </w:pPr>
      <w:r>
        <w:rPr>
          <w:b/>
          <w:bCs/>
          <w:szCs w:val="20"/>
        </w:rPr>
        <w:t xml:space="preserve">RDC 658/2022, art. 8º</w:t>
      </w:r>
    </w:p>
    <w:p>
      <w:pPr>
        <w:spacing w:after="0" w:line="360" w:lineRule="auto"/>
        <w:rPr>
          <w:szCs w:val="20"/>
        </w:rPr>
      </w:pPr>
      <w:r>
        <w:rPr>
          <w:szCs w:val="20"/>
        </w:rPr>
        <w:t xml:space="preserve">&gt; Art. 8º Um Sistema da Qualidade Farmacêutica adequado à fabricação de medicamentos deve garantir que: &gt; &gt; (...) &gt; &gt; VI - sejam tomadas providências para a fabricação, fornecimento e uso das matérias-primas e materiais de embalagem corretos, a seleção e monitoramento dos fornecedores e verificação da conformidade de cada recebimento com o fornecedor aprovado; &gt; &gt; (...)</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9 · Inspeção e conferência de cada entrega, documentadas</w:t>
      </w:r>
    </w:p>
    <w:p>
      <w:pPr>
        <w:spacing w:after="0" w:line="360" w:lineRule="auto"/>
        <w:rPr>
          <w:szCs w:val="20"/>
        </w:rPr>
      </w:pPr>
      <w:r>
        <w:rPr>
          <w:b/>
          <w:bCs/>
          <w:szCs w:val="20"/>
        </w:rPr>
        <w:t xml:space="preserve">RDC 658/2022, art. 156</w:t>
      </w:r>
    </w:p>
    <w:p>
      <w:pPr>
        <w:spacing w:after="0" w:line="360" w:lineRule="auto"/>
        <w:rPr>
          <w:szCs w:val="20"/>
        </w:rPr>
      </w:pPr>
      <w:r>
        <w:rPr>
          <w:szCs w:val="20"/>
        </w:rPr>
        <w:t xml:space="preserve">&gt; Art. 156. Danos aos recipientes e qualquer outro problema que possa afetar adversamente a qualidade do material devem ser investigados, registrados e relatados à Unidade de Qualidade.</w:t>
      </w:r>
    </w:p>
    <w:p>
      <w:pPr>
        <w:spacing w:after="0" w:line="360" w:lineRule="auto"/>
        <w:rPr>
          <w:szCs w:val="20"/>
        </w:rPr>
      </w:pPr>
      <w:r>
        <w:rPr>
          <w:b/>
          <w:bCs/>
          <w:szCs w:val="20"/>
        </w:rPr>
        <w:t xml:space="preserve">RDC 658/2022, art. 183</w:t>
      </w:r>
    </w:p>
    <w:p>
      <w:pPr>
        <w:spacing w:after="0" w:line="360" w:lineRule="auto"/>
        <w:rPr>
          <w:szCs w:val="20"/>
        </w:rPr>
      </w:pPr>
      <w:r>
        <w:rPr>
          <w:szCs w:val="20"/>
        </w:rPr>
        <w:t xml:space="preserve">&gt; Art. 183. Para cada entrega de matéria-prima, os recipientes devem ser verificados quanto à integridade da embalagem, incluindo o selo de evidência de violação quando pertinente, também deve ser verificada a correspondência entre a nota de entrega, o pedido de compra, as etiquetas do fornecedor e as informações aprovadas pelo fabricante do medicamento para o fabricante e fornecedor dos excipientes. &gt; &gt; Parágrafo único. As verificações durante o recebimento de cada entrega devem ser documentadas.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10 · Quarentena até a liberação</w:t>
      </w:r>
    </w:p>
    <w:p>
      <w:pPr>
        <w:spacing w:after="0" w:line="360" w:lineRule="auto"/>
        <w:rPr>
          <w:szCs w:val="20"/>
        </w:rPr>
      </w:pPr>
      <w:r>
        <w:rPr>
          <w:b/>
          <w:bCs/>
          <w:szCs w:val="20"/>
        </w:rPr>
        <w:t xml:space="preserve">RDC 658/2022, art. 157</w:t>
      </w:r>
    </w:p>
    <w:p>
      <w:pPr>
        <w:spacing w:after="0" w:line="360" w:lineRule="auto"/>
        <w:rPr>
          <w:szCs w:val="20"/>
        </w:rPr>
      </w:pPr>
      <w:r>
        <w:rPr>
          <w:szCs w:val="20"/>
        </w:rPr>
        <w:t xml:space="preserve">&gt; Art. 157. Os materiais recebidos e os produtos acabados devem ser fisicamente ou administrativamente colocados em quarentena imediatamente após o recebimento ou processamento, até que sejam liberados para uso ou distribuição.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11 · Uso só de material dentro da validade e da data de reanálise</w:t>
      </w:r>
    </w:p>
    <w:p>
      <w:pPr>
        <w:spacing w:after="0" w:line="360" w:lineRule="auto"/>
        <w:rPr>
          <w:szCs w:val="20"/>
        </w:rPr>
      </w:pPr>
      <w:r>
        <w:rPr>
          <w:b/>
          <w:bCs/>
          <w:szCs w:val="20"/>
        </w:rPr>
        <w:t xml:space="preserve">RDC 658/2022, art. 189</w:t>
      </w:r>
    </w:p>
    <w:p>
      <w:pPr>
        <w:spacing w:after="0" w:line="360" w:lineRule="auto"/>
        <w:rPr>
          <w:szCs w:val="20"/>
        </w:rPr>
      </w:pPr>
      <w:r>
        <w:rPr>
          <w:szCs w:val="20"/>
        </w:rPr>
        <w:t xml:space="preserve">&gt; Art. 189. Somente matérias-primas que tiverem sido liberadas pelo departamento de Controle de Qualidade e que estiverem dentro de sua data de reteste devem ser utilizadas.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12 · Identificação do lote como o fabricante o emitiu</w:t>
      </w:r>
    </w:p>
    <w:p>
      <w:pPr>
        <w:spacing w:after="0" w:line="360" w:lineRule="auto"/>
        <w:rPr>
          <w:szCs w:val="20"/>
        </w:rPr>
      </w:pPr>
      <w:r>
        <w:rPr>
          <w:b/>
          <w:bCs/>
          <w:szCs w:val="20"/>
        </w:rPr>
        <w:t xml:space="preserve">RDC 658/2022, art. 141</w:t>
      </w:r>
    </w:p>
    <w:p>
      <w:pPr>
        <w:spacing w:after="0" w:line="360" w:lineRule="auto"/>
        <w:rPr>
          <w:szCs w:val="20"/>
        </w:rPr>
      </w:pPr>
      <w:r>
        <w:rPr>
          <w:szCs w:val="20"/>
        </w:rPr>
        <w:t xml:space="preserve">&gt; Art. 141. Os registros de recebimento devem incluir: &gt; &gt; (...) &gt; &gt; V - o número de lote ou número de referência do fabricante; &gt; &gt; (...)</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13 · Amostras de retenção guardadas pelo prazo</w:t>
      </w:r>
    </w:p>
    <w:p>
      <w:pPr>
        <w:spacing w:after="0" w:line="360" w:lineRule="auto"/>
        <w:rPr>
          <w:szCs w:val="20"/>
        </w:rPr>
      </w:pPr>
      <w:r>
        <w:rPr>
          <w:b/>
          <w:bCs/>
          <w:szCs w:val="20"/>
        </w:rPr>
        <w:t xml:space="preserve">RDC 658/2022, art. 14</w:t>
      </w:r>
    </w:p>
    <w:p>
      <w:pPr>
        <w:spacing w:after="0" w:line="360" w:lineRule="auto"/>
        <w:rPr>
          <w:szCs w:val="20"/>
        </w:rPr>
      </w:pPr>
      <w:r>
        <w:rPr>
          <w:szCs w:val="20"/>
        </w:rPr>
        <w:t xml:space="preserve">&gt; Art. 14. Os requerimentos básicos do Controle de Qualidade são: &gt; &gt; (...) &gt; &gt; VIII - amostras de referência suficientes de matérias-primas e produtos devem ser mantidas de acordo com a instrução normativa específica para permitir a futura análise do produto, se necessário.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14 · Liberação do lote pela pessoa designada</w:t>
      </w:r>
    </w:p>
    <w:p>
      <w:pPr>
        <w:spacing w:after="0" w:line="360" w:lineRule="auto"/>
        <w:rPr>
          <w:szCs w:val="20"/>
        </w:rPr>
      </w:pPr>
      <w:r>
        <w:rPr>
          <w:b/>
          <w:bCs/>
          <w:szCs w:val="20"/>
        </w:rPr>
        <w:t xml:space="preserve">RDC 658/2022, art. 8º</w:t>
      </w:r>
    </w:p>
    <w:p>
      <w:pPr>
        <w:spacing w:after="0" w:line="360" w:lineRule="auto"/>
        <w:rPr>
          <w:szCs w:val="20"/>
        </w:rPr>
      </w:pPr>
      <w:r>
        <w:rPr>
          <w:szCs w:val="20"/>
        </w:rPr>
        <w:t xml:space="preserve">&gt; Art. 8º Um Sistema da Qualidade Farmacêutica adequado à fabricação de medicamentos deve garantir que: &gt; &gt; (...) &gt; &gt; XV - os medicamentos não sejam comercializados ou distribuídos antes da Pessoa Delegada pelo Sistema de Gestão da Qualidade Farmacêutica ter certificado que cada lote do produto foi produzido e controlado de acordo com os requerimentos de registro e quaisquer outras normas relevantes à produção, ao controle e à liberação de medicamentos; &gt; &gt; (...)</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15 · Desvios: registro, investigação, causa e CAPA</w:t>
      </w:r>
    </w:p>
    <w:p>
      <w:pPr>
        <w:spacing w:after="0" w:line="360" w:lineRule="auto"/>
        <w:rPr>
          <w:szCs w:val="20"/>
        </w:rPr>
      </w:pPr>
      <w:r>
        <w:rPr>
          <w:b/>
          <w:bCs/>
          <w:szCs w:val="20"/>
        </w:rPr>
        <w:t xml:space="preserve">RDC 658/2022, art. 8º</w:t>
      </w:r>
    </w:p>
    <w:p>
      <w:pPr>
        <w:spacing w:after="0" w:line="360" w:lineRule="auto"/>
        <w:rPr>
          <w:szCs w:val="20"/>
        </w:rPr>
      </w:pPr>
      <w:r>
        <w:rPr>
          <w:szCs w:val="20"/>
        </w:rPr>
        <w:t xml:space="preserve">&gt; Art. 8º Um Sistema da Qualidade Farmacêutica adequado à fabricação de medicamentos deve garantir que: &gt; &gt; (...) &gt; &gt; XIV - um nível apropriado de análise da causa raiz seja aplicado durante a investigação de desvios, suspeitas de defeitos no produto e outros problemas; &gt; &gt; (...)</w:t>
      </w:r>
    </w:p>
    <w:p>
      <w:pPr>
        <w:spacing w:after="0" w:line="360" w:lineRule="auto"/>
        <w:rPr>
          <w:szCs w:val="20"/>
        </w:rPr>
      </w:pPr>
      <w:r>
        <w:rPr>
          <w:b/>
          <w:bCs/>
          <w:szCs w:val="20"/>
        </w:rPr>
        <w:t xml:space="preserve">RDC 658/2022, art. 335</w:t>
      </w:r>
    </w:p>
    <w:p>
      <w:pPr>
        <w:spacing w:after="0" w:line="360" w:lineRule="auto"/>
        <w:rPr>
          <w:szCs w:val="20"/>
        </w:rPr>
      </w:pPr>
      <w:r>
        <w:rPr>
          <w:szCs w:val="20"/>
        </w:rPr>
        <w:t xml:space="preserve">&gt; Art. 335. Se um desvio de qualidade for identificado em um lote, deve-se considerar a verificação de outros lotes e, em alguns casos, de outros produtos, a fim de determinar se eles também foram afetados. &gt; &gt; Parágrafo único. Outros lotes que possam conter partes ou componentes do lote com desvio devem ser investigados.</w:t>
      </w:r>
    </w:p>
    <w:p>
      <w:pPr>
        <w:spacing w:after="0" w:line="360" w:lineRule="auto"/>
        <w:rPr>
          <w:szCs w:val="20"/>
        </w:rPr>
      </w:pPr>
      <w:r>
        <w:rPr>
          <w:b/>
          <w:bCs/>
          <w:szCs w:val="20"/>
        </w:rPr>
        <w:t xml:space="preserve">RDC 658/2022, art. 339</w:t>
      </w:r>
    </w:p>
    <w:p>
      <w:pPr>
        <w:spacing w:after="0" w:line="360" w:lineRule="auto"/>
        <w:rPr>
          <w:szCs w:val="20"/>
        </w:rPr>
      </w:pPr>
      <w:r>
        <w:rPr>
          <w:szCs w:val="20"/>
        </w:rPr>
        <w:t xml:space="preserve">&gt; Art. 339. A análise da causa raiz deve ser aplicada durante a investigação de desvios de qualidade. &gt; &gt; Parágrafo único. Nos casos em que a(s) causa(s) raiz(es) verdadeira(s) do desvio de qualidade não puder(em) ser determinada(s), deve-se considerar a possibilidade de identificar a(s) causa(s) raiz(es) mais provável(is) e abordá-la(s).</w:t>
      </w:r>
    </w:p>
    <w:p>
      <w:pPr>
        <w:spacing w:after="0" w:line="360" w:lineRule="auto"/>
        <w:rPr>
          <w:szCs w:val="20"/>
        </w:rPr>
      </w:pPr>
      <w:r>
        <w:rPr>
          <w:b/>
          <w:bCs/>
          <w:szCs w:val="20"/>
        </w:rPr>
        <w:t xml:space="preserve">RDC 658/2022, art. 340</w:t>
      </w:r>
    </w:p>
    <w:p>
      <w:pPr>
        <w:spacing w:after="0" w:line="360" w:lineRule="auto"/>
        <w:rPr>
          <w:szCs w:val="20"/>
        </w:rPr>
      </w:pPr>
      <w:r>
        <w:rPr>
          <w:szCs w:val="20"/>
        </w:rPr>
        <w:t xml:space="preserve">&gt; Art. 340. Quando houver suspeita de erro humano ou este for identificado como a causa de um desvio de qualidade, este deve ser formalmente justificado para garantir que causas reais relacionadas aos processos, procedimentos ou sistemas não sejam mascaradas e negligenciadas.</w:t>
      </w:r>
    </w:p>
    <w:p>
      <w:pPr>
        <w:spacing w:after="0" w:line="360" w:lineRule="auto"/>
        <w:rPr>
          <w:szCs w:val="20"/>
        </w:rPr>
      </w:pPr>
      <w:r>
        <w:rPr>
          <w:b/>
          <w:bCs/>
          <w:szCs w:val="20"/>
        </w:rPr>
        <w:t xml:space="preserve">RDC 658/2022, art. 341</w:t>
      </w:r>
    </w:p>
    <w:p>
      <w:pPr>
        <w:spacing w:after="0" w:line="360" w:lineRule="auto"/>
        <w:rPr>
          <w:szCs w:val="20"/>
        </w:rPr>
      </w:pPr>
      <w:r>
        <w:rPr>
          <w:szCs w:val="20"/>
        </w:rPr>
        <w:t xml:space="preserve">&gt; Art. 341. Ações corretivas e preventivas apropriadas devem ser elaboradas e adotadas em resposta aos desvios de qualidade. &gt; &gt; Parágrafo único. A efetividade das ações corretivas e preventivas deve ser monitorada e avaliada.</w:t>
      </w:r>
    </w:p>
    <w:p>
      <w:pPr>
        <w:spacing w:after="0" w:line="360" w:lineRule="auto"/>
        <w:rPr>
          <w:szCs w:val="20"/>
        </w:rPr>
      </w:pPr>
      <w:r>
        <w:rPr>
          <w:b/>
          <w:bCs/>
          <w:szCs w:val="20"/>
        </w:rPr>
        <w:t xml:space="preserve">RDC 658/2022, art. 342</w:t>
      </w:r>
    </w:p>
    <w:p>
      <w:pPr>
        <w:spacing w:after="0" w:line="360" w:lineRule="auto"/>
        <w:rPr>
          <w:szCs w:val="20"/>
        </w:rPr>
      </w:pPr>
      <w:r>
        <w:rPr>
          <w:szCs w:val="20"/>
        </w:rPr>
        <w:t xml:space="preserve">&gt; Art. 342. Os registros de desvios de qualidade devem ser regularmente revisados e análises de tendência devem ser regularmente aplicadas para a indicação de desvios recorrentes que requeiram atenção adicional.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16 · Controle de mudanças</w:t>
      </w:r>
    </w:p>
    <w:p>
      <w:pPr>
        <w:spacing w:after="0" w:line="360" w:lineRule="auto"/>
        <w:rPr>
          <w:szCs w:val="20"/>
        </w:rPr>
      </w:pPr>
      <w:r>
        <w:rPr>
          <w:b/>
          <w:bCs/>
          <w:szCs w:val="20"/>
        </w:rPr>
        <w:t xml:space="preserve">RDC 658/2022, art. 8º</w:t>
      </w:r>
    </w:p>
    <w:p>
      <w:pPr>
        <w:spacing w:after="0" w:line="360" w:lineRule="auto"/>
        <w:rPr>
          <w:szCs w:val="20"/>
        </w:rPr>
      </w:pPr>
      <w:r>
        <w:rPr>
          <w:szCs w:val="20"/>
        </w:rPr>
        <w:t xml:space="preserve">&gt; Art. 8º Um Sistema da Qualidade Farmacêutica adequado à fabricação de medicamentos deve garantir que: &gt; &gt; (...) &gt; &gt; XII - estejam implementados procedimentos para a avaliação prospectiva de mudanças planejadas e sua aprovação antes da implementação, levando-se em consideração as notificações e aprovações regulatórias, quando necessário; &gt; &gt; XIII - após a implementação de qualquer mudança, uma avaliação seja realizada para confirmar que os objetivos de qualidade foram alcançados e que não houve impacto prejudicial não intencional na qualidade do produto; &gt; &gt; (...)</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17 · Autoinspeção</w:t>
      </w:r>
    </w:p>
    <w:p>
      <w:pPr>
        <w:spacing w:after="0" w:line="360" w:lineRule="auto"/>
        <w:rPr>
          <w:szCs w:val="20"/>
        </w:rPr>
      </w:pPr>
      <w:r>
        <w:rPr>
          <w:b/>
          <w:bCs/>
          <w:szCs w:val="20"/>
        </w:rPr>
        <w:t xml:space="preserve">RDC 658/2022, art. 361</w:t>
      </w:r>
    </w:p>
    <w:p>
      <w:pPr>
        <w:spacing w:after="0" w:line="360" w:lineRule="auto"/>
        <w:rPr>
          <w:szCs w:val="20"/>
        </w:rPr>
      </w:pPr>
      <w:r>
        <w:rPr>
          <w:szCs w:val="20"/>
        </w:rPr>
        <w:t xml:space="preserve">&gt; Art. 361. Devem ser realizadas autoinspeções a fim de monitorar a implementação e a conformidade com os princípios das Boas Práticas de Fabricação, e propor as medidas corretivas necessárias.</w:t>
      </w:r>
    </w:p>
    <w:p>
      <w:pPr>
        <w:spacing w:after="0" w:line="360" w:lineRule="auto"/>
        <w:rPr>
          <w:szCs w:val="20"/>
        </w:rPr>
      </w:pPr>
      <w:r>
        <w:rPr>
          <w:b/>
          <w:bCs/>
          <w:szCs w:val="20"/>
        </w:rPr>
        <w:t xml:space="preserve">RDC 658/2022, art. 363</w:t>
      </w:r>
    </w:p>
    <w:p>
      <w:pPr>
        <w:spacing w:after="0" w:line="360" w:lineRule="auto"/>
        <w:rPr>
          <w:szCs w:val="20"/>
        </w:rPr>
      </w:pPr>
      <w:r>
        <w:rPr>
          <w:szCs w:val="20"/>
        </w:rPr>
        <w:t xml:space="preserve">&gt; Art. 363. As autoinspeções devem ser conduzidas de forma independente e detalhada por pessoa(s) competente(s) designada(s) pela empresa. &gt; &gt; Parágrafo único. Auditorias independentes, realizadas por especialistas externos, podem ser utilizadas.</w:t>
      </w:r>
    </w:p>
    <w:p>
      <w:pPr>
        <w:spacing w:after="0" w:line="360" w:lineRule="auto"/>
        <w:rPr>
          <w:szCs w:val="20"/>
        </w:rPr>
      </w:pPr>
      <w:r>
        <w:rPr>
          <w:i/>
          <w:iCs/>
          <w:szCs w:val="20"/>
        </w:rPr>
        <w:t xml:space="preserve">O tema completo vai dos arts. 361 a 366.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18 · Treinamento</w:t>
      </w:r>
    </w:p>
    <w:p>
      <w:pPr>
        <w:spacing w:after="0" w:line="360" w:lineRule="auto"/>
        <w:rPr>
          <w:szCs w:val="20"/>
        </w:rPr>
      </w:pPr>
      <w:r>
        <w:rPr>
          <w:b/>
          <w:bCs/>
          <w:szCs w:val="20"/>
        </w:rPr>
        <w:t xml:space="preserve">RDC 658/2022, art. 39</w:t>
      </w:r>
    </w:p>
    <w:p>
      <w:pPr>
        <w:spacing w:after="0" w:line="360" w:lineRule="auto"/>
        <w:rPr>
          <w:szCs w:val="20"/>
        </w:rPr>
      </w:pPr>
      <w:r>
        <w:rPr>
          <w:szCs w:val="20"/>
        </w:rPr>
        <w:t xml:space="preserve">&gt; Art. 39. O fabricante deve fornecer treinamento para todo o pessoal cujas funções sejam exercidas nas áreas de produção e armazenamento ou laboratórios de controle (incluindo o pessoal técnico, de manutenção e limpeza) e para outras pessoas cujas atividades possam afetar a qualidade do &gt; &gt; produto.</w:t>
      </w:r>
    </w:p>
    <w:p>
      <w:pPr>
        <w:spacing w:after="0" w:line="360" w:lineRule="auto"/>
        <w:rPr>
          <w:szCs w:val="20"/>
        </w:rPr>
      </w:pPr>
      <w:r>
        <w:rPr>
          <w:b/>
          <w:bCs/>
          <w:szCs w:val="20"/>
        </w:rPr>
        <w:t xml:space="preserve">RDC 658/2022, art. 42</w:t>
      </w:r>
    </w:p>
    <w:p>
      <w:pPr>
        <w:spacing w:after="0" w:line="360" w:lineRule="auto"/>
        <w:rPr>
          <w:szCs w:val="20"/>
        </w:rPr>
      </w:pPr>
      <w:r>
        <w:rPr>
          <w:szCs w:val="20"/>
        </w:rPr>
        <w:t xml:space="preserve">&gt; Art. 42. Os programas de treinamento devem estar disponíveis, aprovados pelo Responsável pela Produção ou pelo Responsável pelo Controle de Qualidade, conforme apropriado.</w:t>
      </w:r>
    </w:p>
    <w:p>
      <w:pPr>
        <w:spacing w:after="0" w:line="360" w:lineRule="auto"/>
        <w:rPr>
          <w:szCs w:val="20"/>
        </w:rPr>
      </w:pPr>
      <w:r>
        <w:rPr>
          <w:i/>
          <w:iCs/>
          <w:szCs w:val="20"/>
        </w:rPr>
        <w:t xml:space="preserve">O tema completo vai dos arts. 39 a 46.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19 · Registro do produto na ANVISA e prazos regulatórios</w:t>
      </w:r>
    </w:p>
    <w:p>
      <w:pPr>
        <w:spacing w:after="0" w:line="360" w:lineRule="auto"/>
        <w:rPr>
          <w:szCs w:val="20"/>
        </w:rPr>
      </w:pPr>
      <w:r>
        <w:rPr>
          <w:b/>
          <w:bCs/>
          <w:szCs w:val="20"/>
        </w:rPr>
        <w:t xml:space="preserve">RDC 658/2022, art. 8º</w:t>
      </w:r>
    </w:p>
    <w:p>
      <w:pPr>
        <w:spacing w:after="0" w:line="360" w:lineRule="auto"/>
        <w:rPr>
          <w:szCs w:val="20"/>
        </w:rPr>
      </w:pPr>
      <w:r>
        <w:rPr>
          <w:szCs w:val="20"/>
        </w:rPr>
        <w:t xml:space="preserve">&gt; Art. 8º Um Sistema da Qualidade Farmacêutica adequado à fabricação de medicamentos deve garantir que: &gt; &gt; (...) &gt; &gt; XII - estejam implementados procedimentos para a avaliação prospectiva de mudanças planejadas e sua aprovação antes da implementação, levando-se em consideração as notificações e aprovações regulatórias, quando necessário; &gt; &gt; (...)</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20 · Reclamações e recolhimento</w:t>
      </w:r>
    </w:p>
    <w:p>
      <w:pPr>
        <w:spacing w:after="0" w:line="360" w:lineRule="auto"/>
        <w:rPr>
          <w:szCs w:val="20"/>
        </w:rPr>
      </w:pPr>
      <w:r>
        <w:rPr>
          <w:b/>
          <w:bCs/>
          <w:szCs w:val="20"/>
        </w:rPr>
        <w:t xml:space="preserve">RDC 658/2022, art. 319</w:t>
      </w:r>
    </w:p>
    <w:p>
      <w:pPr>
        <w:spacing w:after="0" w:line="360" w:lineRule="auto"/>
        <w:rPr>
          <w:szCs w:val="20"/>
        </w:rPr>
      </w:pPr>
      <w:r>
        <w:rPr>
          <w:szCs w:val="20"/>
        </w:rPr>
        <w:t xml:space="preserve">&gt; Art. 319. Deve haver um sistema e procedimentos apropriados para registrar, avaliar, investigar e revisar reclamações, incluindo possíveis desvios de qualidade; e, se necessário, para recolhimento dos medicamentos destinados a uso humano, incluindo os experimentais, de forma efetiva e imediata, da rede de distribuição.</w:t>
      </w:r>
    </w:p>
    <w:p>
      <w:pPr>
        <w:spacing w:after="0" w:line="360" w:lineRule="auto"/>
        <w:rPr>
          <w:szCs w:val="20"/>
        </w:rPr>
      </w:pPr>
      <w:r>
        <w:rPr>
          <w:b/>
          <w:bCs/>
          <w:szCs w:val="20"/>
        </w:rPr>
        <w:t xml:space="preserve">RDC 658/2022, art. 343</w:t>
      </w:r>
    </w:p>
    <w:p>
      <w:pPr>
        <w:spacing w:after="0" w:line="360" w:lineRule="auto"/>
        <w:rPr>
          <w:szCs w:val="20"/>
        </w:rPr>
      </w:pPr>
      <w:r>
        <w:rPr>
          <w:szCs w:val="20"/>
        </w:rPr>
        <w:t xml:space="preserve">&gt; Art. 343. Devem existir procedimentos escritos, que sejam regularmente revistos e atualizados, para a determinação das atividades de recolhimento e de outras ações de mitigação de riscos.</w:t>
      </w:r>
    </w:p>
    <w:p>
      <w:pPr>
        <w:spacing w:after="0" w:line="360" w:lineRule="auto"/>
        <w:rPr>
          <w:szCs w:val="20"/>
        </w:rPr>
      </w:pPr>
      <w:r>
        <w:rPr>
          <w:i/>
          <w:iCs/>
          <w:szCs w:val="20"/>
        </w:rPr>
        <w:t xml:space="preserve">Reclamações: arts. 319 a 342; recolhimento: arts. 343 a 360.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21 · Revisão periódica da qualidade do produto</w:t>
      </w:r>
    </w:p>
    <w:p>
      <w:pPr>
        <w:spacing w:after="0" w:line="360" w:lineRule="auto"/>
        <w:rPr>
          <w:szCs w:val="20"/>
        </w:rPr>
      </w:pPr>
      <w:r>
        <w:rPr>
          <w:b/>
          <w:bCs/>
          <w:szCs w:val="20"/>
        </w:rPr>
        <w:t xml:space="preserve">RDC 658/2022, art. 15</w:t>
      </w:r>
    </w:p>
    <w:p>
      <w:pPr>
        <w:spacing w:after="0" w:line="360" w:lineRule="auto"/>
        <w:rPr>
          <w:szCs w:val="20"/>
        </w:rPr>
      </w:pPr>
      <w:r>
        <w:rPr>
          <w:szCs w:val="20"/>
        </w:rPr>
        <w:t xml:space="preserve">&gt; Art. 15. Revisões periódicas da qualidade de todos os medicamentos autorizados, incluindo produtos exclusivos de exportação, devem ser conduzidas com o objetivo de verificar a consistência do processo existente, verificar a adequação das especificações aplicadas tanto para matéria-prima quanto para produto acabado, evidenciar quaisquer tendências e identificar melhorias em produtos e processos.</w:t>
      </w:r>
    </w:p>
    <w:p>
      <w:pPr>
        <w:spacing w:after="0" w:line="360" w:lineRule="auto"/>
        <w:rPr>
          <w:szCs w:val="20"/>
        </w:rPr>
      </w:pPr>
      <w:r>
        <w:rPr>
          <w:b/>
          <w:bCs/>
          <w:szCs w:val="20"/>
        </w:rPr>
        <w:t xml:space="preserve">RDC 658/2022, art. 16</w:t>
      </w:r>
    </w:p>
    <w:p>
      <w:pPr>
        <w:spacing w:after="0" w:line="360" w:lineRule="auto"/>
        <w:rPr>
          <w:szCs w:val="20"/>
        </w:rPr>
      </w:pPr>
      <w:r>
        <w:rPr>
          <w:szCs w:val="20"/>
        </w:rPr>
        <w:t xml:space="preserve">&gt; Art. 16. As revisões da qualidade do produto devem, normalmente, ser conduzidas e documentadas anualmente, levando em consideração as revisões anteriores.</w:t>
      </w:r>
    </w:p>
    <w:p>
      <w:pPr>
        <w:spacing w:after="0" w:line="360" w:lineRule="auto"/>
        <w:rPr>
          <w:szCs w:val="20"/>
        </w:rPr>
      </w:pPr>
      <w:r>
        <w:rPr>
          <w:i/>
          <w:iCs/>
          <w:szCs w:val="20"/>
        </w:rPr>
        <w:t xml:space="preserve">O tema completo vai dos arts. 15 a 19.</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Tema 22 · Validação de processos, qualificação e calibração</w:t>
      </w:r>
    </w:p>
    <w:p>
      <w:pPr>
        <w:spacing w:after="0" w:line="360" w:lineRule="auto"/>
        <w:rPr>
          <w:szCs w:val="20"/>
        </w:rPr>
      </w:pPr>
      <w:r>
        <w:rPr>
          <w:b/>
          <w:bCs/>
          <w:szCs w:val="20"/>
        </w:rPr>
        <w:t xml:space="preserve">RDC 658/2022, art. 148</w:t>
      </w:r>
    </w:p>
    <w:p>
      <w:pPr>
        <w:spacing w:after="0" w:line="360" w:lineRule="auto"/>
        <w:rPr>
          <w:szCs w:val="20"/>
        </w:rPr>
      </w:pPr>
      <w:r>
        <w:rPr>
          <w:szCs w:val="20"/>
        </w:rPr>
        <w:t xml:space="preserve">&gt; Art. 148. Deve haver políticas, procedimentos, protocolos, relatórios e registros de ações tomadas ou conclusões alcançadas, quando apropriado, para os seguintes exemplos: &gt; &gt; I - validação e qualificação de processos, equipamentos e sistemas; &gt; &gt; II - montagem e calibração de equipamentos; &gt; &gt; (...)</w:t>
      </w:r>
    </w:p>
    <w:p>
      <w:pPr>
        <w:spacing w:after="0" w:line="360" w:lineRule="auto"/>
        <w:rPr>
          <w:szCs w:val="20"/>
        </w:rPr>
      </w:pPr>
      <w:r>
        <w:rPr>
          <w:szCs w:val="20"/>
        </w:rPr>
        <w:t xml:space="preserve">&lt;!-- NORMAS:FIM --&gt;</w:t>
      </w: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Principal, Estoque e GQ – Diagnóstico de Conformidade com a ANVISA</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Principal, Estoque e GQ – Diagnóstico de Conformidade com a ANVISA</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