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Assuntos Regulatórios: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Assuntos Regulatórios</w:t>
      </w:r>
      <w:r>
        <w:rPr>
          <w:szCs w:val="20"/>
        </w:rPr>
        <w:t xml:space="preserve"> do módulo Garantia da Qualidade cadastra, programa e acompanha as obrigações regulatórias da empresa (registros, notificações, petições e documentos com prazo e validade). Esta seção descreve </w:t>
      </w:r>
      <w:r>
        <w:rPr>
          <w:b/>
          <w:bCs/>
          <w:szCs w:val="20"/>
        </w:rPr>
        <w:t xml:space="preserve">cada uma das 3 telas do menu como o sistema entregue as oferece</w:t>
      </w:r>
      <w:r>
        <w:rPr>
          <w:szCs w:val="20"/>
        </w:rPr>
        <w:t xml:space="preserve">, lidas do código e confirmadas em tela nas rodadas de 15 e 16/10/2026 e de 22/10/2026.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própria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 (confirmada numa tela),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 ou </w:t>
      </w:r>
      <w:r>
        <w:rPr>
          <w:b/>
          <w:bCs/>
          <w:szCs w:val="20"/>
        </w:rPr>
        <w:t xml:space="preserve">A confirmar no teste</w:t>
      </w:r>
      <w:r>
        <w:rPr>
          <w:szCs w:val="20"/>
        </w:rPr>
        <w:t xml:space="preserve">. A situação da programação aparece nas telas com os nomes "Programada", "Em Monitoramento", "Finalizada" e "Cancelada".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3 TELAS, EM ORDEM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0"/>
        <w:gridCol w:w="1955"/>
        <w:gridCol w:w="2820"/>
        <w:gridCol w:w="2155"/>
        <w:gridCol w:w="2281"/>
      </w:tblGrid>
      <w:tr>
        <w:trPr>
          <w:tblHeader/>
          <w:cantSplit/>
        </w:trPr>
        <w:tc>
          <w:tcPr>
            <w:tcW w:w="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2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registro chega em</w:t>
            </w:r>
          </w:p>
        </w:tc>
        <w:tc>
          <w:tcPr>
            <w:tcW w:w="2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Ao salvar, vai para</w:t>
            </w:r>
          </w:p>
        </w:tc>
      </w:tr>
      <w:tr>
        <w:trPr>
          <w:cantSplit/>
        </w:trPr>
        <w:tc>
          <w:tcPr>
            <w:tcW w:w="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Regulatório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a obrigação ou o processo perante o órgão regulador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cadastro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(sem andamento)</w:t>
            </w:r>
          </w:p>
        </w:tc>
      </w:tr>
      <w:tr>
        <w:trPr>
          <w:cantSplit/>
        </w:trPr>
        <w:tc>
          <w:tcPr>
            <w:tcW w:w="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cada ocorrência, com datas, registro ou notificação, fornecedor e produto ou documento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regulatório ativo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Programada</w:t>
            </w:r>
          </w:p>
        </w:tc>
      </w:tr>
      <w:tr>
        <w:trPr>
          <w:cantSplit/>
        </w:trPr>
        <w:tc>
          <w:tcPr>
            <w:tcW w:w="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Anexar evidências e encerrar a programação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Programada ou Em Monitoramento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Monitoramento, Finalizada ou Cancelada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CAMINHO DA PROGRAMAÇÃO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25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dos processos de Assuntos Regulatórios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764"/>
        <w:gridCol w:w="5867"/>
      </w:tblGrid>
      <w:tr>
        <w:trPr>
          <w:tblHeader/>
          <w:cantSplit/>
        </w:trPr>
        <w:tc>
          <w:tcPr>
            <w:tcW w:w="3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58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que a muda</w:t>
            </w:r>
          </w:p>
        </w:tc>
      </w:tr>
      <w:tr>
        <w:trPr>
          <w:cantSplit/>
        </w:trPr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Programada</w:t>
            </w:r>
          </w:p>
        </w:tc>
        <w:tc>
          <w:tcPr>
            <w:tcW w:w="5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 (ao incluir)</w:t>
            </w:r>
          </w:p>
        </w:tc>
      </w:tr>
      <w:tr>
        <w:trPr>
          <w:cantSplit/>
        </w:trPr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Monitoramento</w:t>
            </w:r>
          </w:p>
        </w:tc>
        <w:tc>
          <w:tcPr>
            <w:tcW w:w="5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(no primeiro Salvar)</w:t>
            </w:r>
          </w:p>
        </w:tc>
      </w:tr>
      <w:tr>
        <w:trPr>
          <w:cantSplit/>
        </w:trPr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Finalizada</w:t>
            </w:r>
          </w:p>
        </w:tc>
        <w:tc>
          <w:tcPr>
            <w:tcW w:w="5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(botão Finalizar)</w:t>
            </w:r>
          </w:p>
        </w:tc>
      </w:tr>
      <w:tr>
        <w:trPr>
          <w:cantSplit/>
        </w:trPr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Cancelada</w:t>
            </w:r>
          </w:p>
        </w:tc>
        <w:tc>
          <w:tcPr>
            <w:tcW w:w="5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(botão Cancelar Monitoramento)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 (22/10/2026, duas sessões, com massa de dados):</w:t>
      </w:r>
      <w:r>
        <w:rPr>
          <w:szCs w:val="20"/>
        </w:rPr>
        <w:t xml:space="preserve"> 44 casos nas 3 telas: 15 passaram, 9 passaram com ressalva, 16 falharam e 4 ficaram bloqueados (todos pedem acesso pelo endereço, fora do escopo). Por tela: Processo Regulatório 15 (10 passaram, 4 falharam, 1 bloqueado); Programação 16 (5 passaram, 3 com ressalva, 7 falharam, 1 bloqueado); Monitoramento 13 (6 com ressalva, 5 falharam, 2 bloqueados). Foram registrados </w:t>
      </w:r>
      <w:r>
        <w:rPr>
          <w:b/>
          <w:bCs/>
          <w:szCs w:val="20"/>
        </w:rPr>
        <w:t xml:space="preserve">22 defeitos</w:t>
      </w:r>
      <w:r>
        <w:rPr>
          <w:szCs w:val="20"/>
        </w:rPr>
        <w:t xml:space="preserve"> (DV-GQ-200 a DV-GQ-218, DV-GQ-232, DV-GQ-263 e DV-GQ-264): 7 de gravidade Alta, 8 Média e 7 Baixa. O DV-GQ-232 (ordenação das listas) vale também para Controle de Mudanças.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que mais pesam para a norma:</w:t>
      </w:r>
      <w:r>
        <w:rPr>
          <w:szCs w:val="20"/>
        </w:rPr>
        <w:t xml:space="preserve"> a exclusão do processo regulatório não deixa rastro (DV-GQ-200); a Programação aceita datas fora de ordem e não avisa prazo nem validade vencida (DV-GQ-203 e DV-GQ-204); o Monitoramento mostra o processo errado (DV-GQ-206); os anexos não deixam rastro, um monitoramento pode ser salvo sem anexo e a Programação pode ser finalizada sem anexo e sem nunca ter sido monitorada (DV-GQ-211, 212 e 213).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leitura do código sugeria e a tela não confirmou:</w:t>
      </w:r>
      <w:r>
        <w:rPr>
          <w:szCs w:val="20"/>
        </w:rPr>
        <w:t xml:space="preserve"> o nome do processo aparece correto na Programação, a troca de fornecedor entra no Histórico e o Visualizar do Monitoramento abre sem erro.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fora do menu:</w:t>
      </w:r>
      <w:r>
        <w:rPr>
          <w:szCs w:val="20"/>
        </w:rPr>
        <w:t xml:space="preserve"> Check-list, Solicitação de Registro, Controle de Produtos Enviados para Registro Anvisa e Exigências da ANVISA não aparecem no menu atual; os casos que dependem delas ficaram bloqueados (CT-GQ-095 a 101, DV-GQ-015).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o menu não tem:</w:t>
      </w:r>
      <w:r>
        <w:rPr>
          <w:szCs w:val="20"/>
        </w:rPr>
        <w:t xml:space="preserve"> aviso de vencimento, regra entre as datas e ligação com Produção, Estoque e Controle de Documentos.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Assuntos Regulatórios: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Assuntos Regulatórios: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