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Comercial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Cliente e Cadastros de Venda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montada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os </w:t>
      </w:r>
      <w:r>
        <w:rPr>
          <w:b/>
          <w:bCs/>
          <w:szCs w:val="20"/>
        </w:rPr>
        <w:t xml:space="preserve">cadastros de venda</w:t>
      </w:r>
      <w:r>
        <w:rPr>
          <w:szCs w:val="20"/>
        </w:rPr>
        <w:t xml:space="preserve"> do Comercial do LabMedSys: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cliente e os dados dele (tipo, endereços, contatos);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convênios, com os produtos e as quantidades contratadas;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relacionamento com o cliente e os pregões;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tabelas de apoio: tipo de fornecimento, tipo de cliente, tipo de cobrança, preço e assinaturas.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Eles definem </w:t>
      </w:r>
      <w:r>
        <w:rPr>
          <w:b/>
          <w:bCs/>
          <w:szCs w:val="20"/>
        </w:rPr>
        <w:t xml:space="preserve">a quem a empresa vende e para onde o lote vai</w:t>
      </w:r>
      <w:r>
        <w:rPr>
          <w:szCs w:val="20"/>
        </w:rPr>
        <w:t xml:space="preserve">. Pela norma, os registros de distribuição precisam ter informações suficientes sobre os clientes abastecidos para permitir o recolhimento (RDC 658/2022, arts. 346 e 347).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 do grupo Cliente: Endereço (que é a tela do cliente), Convênio e Relacionamento (com a aba de pregões).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 de apoio: Tipo de Fornecimento, Tipo Pessoa Jurídica, Tipo Cobrança, Preço e Assinaturas (fora do menu).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cadastro da pessoa jurídica, que fica no Principal.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menu. Os caminhos de código são relativos a </w:t>
      </w:r>
      <w:r>
        <w:rPr>
          <w:szCs w:val="20"/>
        </w:rPr>
        <w:t xml:space="preserve">7.comercial/comercial/</w:t>
      </w:r>
      <w:r>
        <w:rPr>
          <w:szCs w:val="20"/>
        </w:rPr>
        <w:t xml:space="preserve">. Para encurtar: </w:t>
      </w:r>
      <w:r>
        <w:rPr>
          <w:szCs w:val="20"/>
        </w:rPr>
        <w:t xml:space="preserve">Cli/</w:t>
      </w:r>
      <w:r>
        <w:rPr>
          <w:szCs w:val="20"/>
        </w:rPr>
        <w:t xml:space="preserve"> = </w:t>
      </w:r>
      <w:r>
        <w:rPr>
          <w:szCs w:val="20"/>
        </w:rPr>
        <w:t xml:space="preserve">HSolutions.Comercial.UI/Areas/Cliente/</w:t>
      </w:r>
      <w:r>
        <w:rPr>
          <w:szCs w:val="20"/>
        </w:rPr>
        <w:t xml:space="preserve">, </w:t>
      </w:r>
      <w:r>
        <w:rPr>
          <w:szCs w:val="20"/>
        </w:rPr>
        <w:t xml:space="preserve">Tab/</w:t>
      </w:r>
      <w:r>
        <w:rPr>
          <w:szCs w:val="20"/>
        </w:rPr>
        <w:t xml:space="preserve"> = </w:t>
      </w:r>
      <w:r>
        <w:rPr>
          <w:szCs w:val="20"/>
        </w:rPr>
        <w:t xml:space="preserve">HSolutions.Comercial.UI/Areas/TabelaApoio/</w:t>
      </w:r>
      <w:r>
        <w:rPr>
          <w:szCs w:val="20"/>
        </w:rPr>
        <w:t xml:space="preserve">,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HSolutions.Comercial.Infrastructure/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953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dos cadastros de cliente e de venda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pessoa jurídica é cadastrada no </w:t>
      </w:r>
      <w:r>
        <w:rPr>
          <w:b/>
          <w:bCs/>
          <w:szCs w:val="20"/>
        </w:rPr>
        <w:t xml:space="preserve">Principal</w:t>
      </w:r>
      <w:r>
        <w:rPr>
          <w:szCs w:val="20"/>
        </w:rPr>
        <w:t xml:space="preserve">. 2. No Comercial, a tela </w:t>
      </w:r>
      <w:r>
        <w:rPr>
          <w:b/>
          <w:bCs/>
          <w:szCs w:val="20"/>
        </w:rPr>
        <w:t xml:space="preserve">Endereço</w:t>
      </w:r>
      <w:r>
        <w:rPr>
          <w:szCs w:val="20"/>
        </w:rPr>
        <w:t xml:space="preserve"> lista as pessoas jurídicas. Para vender a uma delas, define-se o </w:t>
      </w:r>
      <w:r>
        <w:rPr>
          <w:b/>
          <w:bCs/>
          <w:szCs w:val="20"/>
        </w:rPr>
        <w:t xml:space="preserve">tipo de cliente</w:t>
      </w:r>
      <w:r>
        <w:rPr>
          <w:szCs w:val="20"/>
        </w:rPr>
        <w:t xml:space="preserve"> e cadastram-se os endereços (entrega e cobrança) e os contatos. 3. As </w:t>
      </w:r>
      <w:r>
        <w:rPr>
          <w:b/>
          <w:bCs/>
          <w:szCs w:val="20"/>
        </w:rPr>
        <w:t xml:space="preserve">tabelas de apoio</w:t>
      </w:r>
      <w:r>
        <w:rPr>
          <w:szCs w:val="20"/>
        </w:rPr>
        <w:t xml:space="preserve"> dizem como cada venda funciona: o tipo de fornecimento (convênio, cotação, guia de simples remessa) e o preço por tipo de cliente. 4. Quando há contrato, o </w:t>
      </w:r>
      <w:r>
        <w:rPr>
          <w:b/>
          <w:bCs/>
          <w:szCs w:val="20"/>
        </w:rPr>
        <w:t xml:space="preserve">convênio</w:t>
      </w:r>
      <w:r>
        <w:rPr>
          <w:szCs w:val="20"/>
        </w:rPr>
        <w:t xml:space="preserve"> registra os produtos, as quantidades e os valores. 5. O </w:t>
      </w:r>
      <w:r>
        <w:rPr>
          <w:b/>
          <w:bCs/>
          <w:szCs w:val="20"/>
        </w:rPr>
        <w:t xml:space="preserve">relacionamento</w:t>
      </w:r>
      <w:r>
        <w:rPr>
          <w:szCs w:val="20"/>
        </w:rPr>
        <w:t xml:space="preserve"> registra atividades com o cliente e os pregões de que ele participa.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1. Cliente: tipo, endereços e contatos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cliente é uma </w:t>
      </w:r>
      <w:r>
        <w:rPr>
          <w:b/>
          <w:bCs/>
          <w:szCs w:val="20"/>
        </w:rPr>
        <w:t xml:space="preserve">pessoa jurídica do Principal</w:t>
      </w:r>
      <w:r>
        <w:rPr>
          <w:szCs w:val="20"/>
        </w:rPr>
        <w:t xml:space="preserve">, lida pela API. A tela Endereço lista todas, com busca por código e nome (</w:t>
      </w:r>
      <w:r>
        <w:rPr>
          <w:szCs w:val="20"/>
        </w:rPr>
        <w:t xml:space="preserve">Cli/Controllers/EnderecoController.cs:200-240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Para vender, o cliente precisa de um </w:t>
      </w:r>
      <w:r>
        <w:rPr>
          <w:b/>
          <w:bCs/>
          <w:szCs w:val="20"/>
        </w:rPr>
        <w:t xml:space="preserve">tipo de cliente</w:t>
      </w:r>
      <w:r>
        <w:rPr>
          <w:szCs w:val="20"/>
        </w:rPr>
        <w:t xml:space="preserve"> ("O Tipo Cliente é obrigatório.") (</w:t>
      </w:r>
      <w:r>
        <w:rPr>
          <w:szCs w:val="20"/>
        </w:rPr>
        <w:t xml:space="preserve">Cli/Controllers/EnderecoController.cs:242-300</w:t>
      </w:r>
      <w:r>
        <w:rPr>
          <w:szCs w:val="20"/>
        </w:rPr>
        <w:t xml:space="preserve">). É o único dado próprio do cliente no Comercial (</w:t>
      </w:r>
      <w:r>
        <w:rPr>
          <w:szCs w:val="20"/>
        </w:rPr>
        <w:t xml:space="preserve">TBL_COMPLEMENTO_CLIENTE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Não há</w:t>
      </w:r>
      <w:r>
        <w:rPr>
          <w:szCs w:val="20"/>
        </w:rPr>
        <w:t xml:space="preserve"> licença sanitária, autorização de funcionamento, responsável técnico nem situação cadastral do cliente. A venda não confere se o cliente pode receber medicamentos.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requisição só lista clientes com tipo de cliente. </w:t>
      </w:r>
      <w:r>
        <w:rPr>
          <w:b/>
          <w:bCs/>
          <w:szCs w:val="20"/>
        </w:rPr>
        <w:t xml:space="preserve">Exceção:</w:t>
      </w:r>
      <w:r>
        <w:rPr>
          <w:szCs w:val="20"/>
        </w:rPr>
        <w:t xml:space="preserve"> para o tipo de fornecimento de número 3, a lista traz </w:t>
      </w:r>
      <w:r>
        <w:rPr>
          <w:b/>
          <w:bCs/>
          <w:szCs w:val="20"/>
        </w:rPr>
        <w:t xml:space="preserve">todas as pessoas jurídicas</w:t>
      </w:r>
      <w:r>
        <w:rPr>
          <w:szCs w:val="20"/>
        </w:rPr>
        <w:t xml:space="preserve"> do Principal, inclusive fornecedores, sem tipo de cliente (</w:t>
      </w:r>
      <w:r>
        <w:rPr>
          <w:szCs w:val="20"/>
        </w:rPr>
        <w:t xml:space="preserve">HSolutions.Comercial.UI/Areas/Cotacao/Controllers/RequisicaoController.cs:667-686</w:t>
      </w:r>
      <w:r>
        <w:rPr>
          <w:szCs w:val="20"/>
        </w:rPr>
        <w:t xml:space="preserve">). O número está fixado no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Os endereços têm tipo </w:t>
      </w:r>
      <w:r>
        <w:rPr>
          <w:b/>
          <w:bCs/>
          <w:szCs w:val="20"/>
        </w:rPr>
        <w:t xml:space="preserve">entrega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cobrança</w:t>
      </w:r>
      <w:r>
        <w:rPr>
          <w:szCs w:val="20"/>
        </w:rPr>
        <w:t xml:space="preserve">. Pode haver vários de entrega; um só de cada outro tipo. A conferência existe na alteração, mas está </w:t>
      </w:r>
      <w:r>
        <w:rPr>
          <w:b/>
          <w:bCs/>
          <w:szCs w:val="20"/>
        </w:rPr>
        <w:t xml:space="preserve">comentada na inclusão</w:t>
      </w:r>
      <w:r>
        <w:rPr>
          <w:szCs w:val="20"/>
        </w:rPr>
        <w:t xml:space="preserve"> (</w:t>
      </w:r>
      <w:r>
        <w:rPr>
          <w:szCs w:val="20"/>
        </w:rPr>
        <w:t xml:space="preserve">Cli/Controllers/EnderecoController.cs:65-140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O CEP preenche o endereço por consulta (</w:t>
      </w:r>
      <w:r>
        <w:rPr>
          <w:szCs w:val="20"/>
        </w:rPr>
        <w:t xml:space="preserve">Cli/Controllers/EnderecoController.cs:363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A fatura aponta para o endereço do cadastro, não guarda uma cópia</w:t>
      </w:r>
      <w:r>
        <w:rPr>
          <w:szCs w:val="20"/>
        </w:rPr>
        <w:t xml:space="preserve"> (</w:t>
      </w:r>
      <w:r>
        <w:rPr>
          <w:szCs w:val="20"/>
        </w:rPr>
        <w:t xml:space="preserve">TBL_FATURA.ID_ENDERECO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o endereço muda o que as faturas antigas mostram.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o endereço (exclusão lógica) deixa o endereço de entrega </w:t>
      </w:r>
      <w:r>
        <w:rPr>
          <w:b/>
          <w:bCs/>
          <w:szCs w:val="20"/>
        </w:rPr>
        <w:t xml:space="preserve">em branco</w:t>
      </w:r>
      <w:r>
        <w:rPr>
          <w:szCs w:val="20"/>
        </w:rPr>
        <w:t xml:space="preserve"> na visualização da fatura, porque a busca ignora os excluídos (</w:t>
      </w:r>
      <w:r>
        <w:rPr>
          <w:szCs w:val="20"/>
        </w:rPr>
        <w:t xml:space="preserve">HSolutions.Comercial.UI/Areas/NotaFiscal/Controllers/FaturaController.cs:114</w:t>
      </w:r>
      <w:r>
        <w:rPr>
          <w:szCs w:val="20"/>
        </w:rPr>
        <w:t xml:space="preserve">, com </w:t>
      </w:r>
      <w:r>
        <w:rPr>
          <w:szCs w:val="20"/>
        </w:rPr>
        <w:t xml:space="preserve">Infra/Cliente/ClienteRepository.cs:149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 guarda uma cópia do endereço na remessa (</w:t>
      </w:r>
      <w:r>
        <w:rPr>
          <w:szCs w:val="20"/>
        </w:rPr>
        <w:t xml:space="preserve">3.estoque/app/LaboSys_BLL/bllRemessa.cs</w:t>
      </w:r>
      <w:r>
        <w:rPr>
          <w:szCs w:val="20"/>
        </w:rPr>
        <w:t xml:space="preserve">, </w:t>
      </w:r>
      <w:r>
        <w:rPr>
          <w:szCs w:val="20"/>
        </w:rPr>
        <w:t xml:space="preserve">EnderecoDestino</w:t>
      </w:r>
      <w:r>
        <w:rPr>
          <w:szCs w:val="20"/>
        </w:rPr>
        <w:t xml:space="preserve">). O Comercial,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Os contatos têm nome, cargo, telefones e e-mail (</w:t>
      </w:r>
      <w:r>
        <w:rPr>
          <w:szCs w:val="20"/>
        </w:rPr>
        <w:t xml:space="preserve">Cli/Controllers/ContatoController.cs:81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51"/>
        <w:gridCol w:w="2392"/>
        <w:gridCol w:w="4888"/>
      </w:tblGrid>
      <w:tr>
        <w:trPr>
          <w:tblHeader/>
          <w:cantSplit/>
        </w:trPr>
        <w:tc>
          <w:tcPr>
            <w:tcW w:w="2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4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da empresa cliente</w:t>
            </w:r>
          </w:p>
        </w:tc>
      </w:tr>
      <w:tr>
        <w:trPr>
          <w:cantSplit/>
        </w:trPr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2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</w:t>
            </w:r>
          </w:p>
        </w:tc>
        <w:tc>
          <w:tcPr>
            <w:tcW w:w="4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cliente, endereços e contatos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2. Convênio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O convênio exige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(único), </w:t>
      </w:r>
      <w:r>
        <w:rPr>
          <w:b/>
          <w:bCs/>
          <w:szCs w:val="20"/>
        </w:rPr>
        <w:t xml:space="preserve">conveniado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tipo de fornecimento</w:t>
      </w:r>
      <w:r>
        <w:rPr>
          <w:szCs w:val="20"/>
        </w:rPr>
        <w:t xml:space="preserve"> (</w:t>
      </w:r>
      <w:r>
        <w:rPr>
          <w:szCs w:val="20"/>
        </w:rPr>
        <w:t xml:space="preserve">Cli/Controllers/ConvenioController.cs:203-262</w:t>
      </w:r>
      <w:r>
        <w:rPr>
          <w:szCs w:val="20"/>
        </w:rPr>
        <w:t xml:space="preserve">; </w:t>
      </w:r>
      <w:r>
        <w:rPr>
          <w:szCs w:val="20"/>
        </w:rPr>
        <w:t xml:space="preserve">Cli/Validation/ConvenioValidation.cs:17-22</w:t>
      </w:r>
      <w:r>
        <w:rPr>
          <w:szCs w:val="20"/>
        </w:rPr>
        <w:t xml:space="preserve">). O conveniado vem das pessoas jurídicas marcadas como cliente no Principal, com tipo de cliente.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Cada produto do convênio tem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valor</w:t>
      </w:r>
      <w:r>
        <w:rPr>
          <w:szCs w:val="20"/>
        </w:rPr>
        <w:t xml:space="preserve">, sem produto repetido (</w:t>
      </w:r>
      <w:r>
        <w:rPr>
          <w:szCs w:val="20"/>
        </w:rPr>
        <w:t xml:space="preserve">Cli/Validation/ConvenioValidation.cs:32-64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O convênio </w:t>
      </w:r>
      <w:r>
        <w:rPr>
          <w:b/>
          <w:bCs/>
          <w:szCs w:val="20"/>
        </w:rPr>
        <w:t xml:space="preserve">não tem vigência</w:t>
      </w:r>
      <w:r>
        <w:rPr>
          <w:szCs w:val="20"/>
        </w:rPr>
        <w:t xml:space="preserve"> (data de início e fim) nem situação. Fica válido enquanto houver produto com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Não se exclui convênio que já tem requisição (</w:t>
      </w:r>
      <w:r>
        <w:rPr>
          <w:szCs w:val="20"/>
        </w:rPr>
        <w:t xml:space="preserve">Cli/Controllers/ConvenioController.cs:108-130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O limite do convênio </w:t>
      </w:r>
      <w:r>
        <w:rPr>
          <w:b/>
          <w:bCs/>
          <w:szCs w:val="20"/>
        </w:rPr>
        <w:t xml:space="preserve">não é conferido</w:t>
      </w:r>
      <w:r>
        <w:rPr>
          <w:szCs w:val="20"/>
        </w:rPr>
        <w:t xml:space="preserve"> na requisição (fluxo 2, RN017).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8"/>
        <w:gridCol w:w="2075"/>
        <w:gridCol w:w="5128"/>
      </w:tblGrid>
      <w:tr>
        <w:trPr>
          <w:tblHeader/>
          <w:cantSplit/>
        </w:trPr>
        <w:tc>
          <w:tcPr>
            <w:tcW w:w="2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Convênio</w:t>
            </w:r>
          </w:p>
        </w:tc>
        <w:tc>
          <w:tcPr>
            <w:tcW w:w="5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conveniado, tipo e produtos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3. Relacionamento e pregões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O relacionamento registra </w:t>
      </w:r>
      <w:r>
        <w:rPr>
          <w:b/>
          <w:bCs/>
          <w:szCs w:val="20"/>
        </w:rPr>
        <w:t xml:space="preserve">atividades</w:t>
      </w:r>
      <w:r>
        <w:rPr>
          <w:szCs w:val="20"/>
        </w:rPr>
        <w:t xml:space="preserve"> com o cliente: descrição, contato, data prevista, data de execução e situação. As datas são </w:t>
      </w:r>
      <w:r>
        <w:rPr>
          <w:b/>
          <w:bCs/>
          <w:szCs w:val="20"/>
        </w:rPr>
        <w:t xml:space="preserve">digitadas</w:t>
      </w:r>
      <w:r>
        <w:rPr>
          <w:szCs w:val="20"/>
        </w:rPr>
        <w:t xml:space="preserve"> (</w:t>
      </w:r>
      <w:r>
        <w:rPr>
          <w:szCs w:val="20"/>
        </w:rPr>
        <w:t xml:space="preserve">Cli/Controllers/RelacionamentoController.cs:253-300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A aba de </w:t>
      </w:r>
      <w:r>
        <w:rPr>
          <w:b/>
          <w:bCs/>
          <w:szCs w:val="20"/>
        </w:rPr>
        <w:t xml:space="preserve">pregões</w:t>
      </w:r>
      <w:r>
        <w:rPr>
          <w:szCs w:val="20"/>
        </w:rPr>
        <w:t xml:space="preserve"> registra o código, a data, o vencimento, o produto, a quantidade, o valor e a situação (aberto, realizado, cancelado, prorrogado) (</w:t>
      </w:r>
      <w:r>
        <w:rPr>
          <w:szCs w:val="20"/>
        </w:rPr>
        <w:t xml:space="preserve">Cli/Controllers/RelacionamentoController.cs:377-449</w:t>
      </w:r>
      <w:r>
        <w:rPr>
          <w:szCs w:val="20"/>
        </w:rPr>
        <w:t xml:space="preserve">; </w:t>
      </w:r>
      <w:r>
        <w:rPr>
          <w:szCs w:val="20"/>
        </w:rPr>
        <w:t xml:space="preserve">Hsolutions.Comercial.DB/dml.sql:27-36</w:t>
      </w:r>
      <w:r>
        <w:rPr>
          <w:szCs w:val="20"/>
        </w:rPr>
        <w:t xml:space="preserve">). O pregão </w:t>
      </w:r>
      <w:r>
        <w:rPr>
          <w:b/>
          <w:bCs/>
          <w:szCs w:val="20"/>
        </w:rPr>
        <w:t xml:space="preserve">não se liga</w:t>
      </w:r>
      <w:r>
        <w:rPr>
          <w:szCs w:val="20"/>
        </w:rPr>
        <w:t xml:space="preserve"> à cotação nem à requisição. </w:t>
      </w:r>
      <w:r>
        <w:rPr>
          <w:i/>
          <w:iCs/>
          <w:szCs w:val="20"/>
        </w:rPr>
        <w:t xml:space="preserve">Correção do reconhecimento: o pregão tem tela, como aba do Relacionamento.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88"/>
        <w:gridCol w:w="3034"/>
        <w:gridCol w:w="4309"/>
      </w:tblGrid>
      <w:tr>
        <w:trPr>
          <w:tblHeader/>
          <w:cantSplit/>
        </w:trPr>
        <w:tc>
          <w:tcPr>
            <w:tcW w:w="2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3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Relacionamento</w:t>
            </w:r>
          </w:p>
        </w:tc>
        <w:tc>
          <w:tcPr>
            <w:tcW w:w="4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Atividades e pregões do cliente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4. Tabelas de apoio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RN016 – </w:t>
      </w:r>
      <w:r>
        <w:rPr>
          <w:b/>
          <w:bCs/>
          <w:szCs w:val="20"/>
        </w:rPr>
        <w:t xml:space="preserve">Tipo de fornecimento:</w:t>
      </w:r>
      <w:r>
        <w:rPr>
          <w:szCs w:val="20"/>
        </w:rPr>
        <w:t xml:space="preserve"> descrição e um ou mais </w:t>
      </w:r>
      <w:r>
        <w:rPr>
          <w:b/>
          <w:bCs/>
          <w:szCs w:val="20"/>
        </w:rPr>
        <w:t xml:space="preserve">vínculos</w:t>
      </w:r>
      <w:r>
        <w:rPr>
          <w:szCs w:val="20"/>
        </w:rPr>
        <w:t xml:space="preserve"> (convênio, cotação, contabilidade, guia de simples remessa) (</w:t>
      </w:r>
      <w:r>
        <w:rPr>
          <w:szCs w:val="20"/>
        </w:rPr>
        <w:t xml:space="preserve">Tab/Controllers/TipoFornecimentoController.cs:40-60</w:t>
      </w:r>
      <w:r>
        <w:rPr>
          <w:szCs w:val="20"/>
        </w:rPr>
        <w:t xml:space="preserve">). Os vínculos são usados de dois jeitos: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requisição, vale </w:t>
      </w:r>
      <w:r>
        <w:rPr>
          <w:b/>
          <w:bCs/>
          <w:szCs w:val="20"/>
        </w:rPr>
        <w:t xml:space="preserve">só o primeiro</w:t>
      </w:r>
      <w:r>
        <w:rPr>
          <w:szCs w:val="20"/>
        </w:rPr>
        <w:t xml:space="preserve"> vínculo da lista (fluxo 2, RN007);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fatura, vale ter o vínculo </w:t>
      </w:r>
      <w:r>
        <w:rPr>
          <w:b/>
          <w:bCs/>
          <w:szCs w:val="20"/>
        </w:rPr>
        <w:t xml:space="preserve">guia de simples remessa</w:t>
      </w:r>
      <w:r>
        <w:rPr>
          <w:szCs w:val="20"/>
        </w:rPr>
        <w:t xml:space="preserve"> em qualquer posição (fluxo 3, RN006).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RN017 – O tipo de fornecimento </w:t>
      </w:r>
      <w:r>
        <w:rPr>
          <w:b/>
          <w:bCs/>
          <w:szCs w:val="20"/>
        </w:rPr>
        <w:t xml:space="preserve">pode ser alterado</w:t>
      </w:r>
      <w:r>
        <w:rPr>
          <w:szCs w:val="20"/>
        </w:rPr>
        <w:t xml:space="preserve"> depois de usado. A mudança vale para as requisições em aberto: a decisão de gerar a remessa é tomada </w:t>
      </w:r>
      <w:r>
        <w:rPr>
          <w:b/>
          <w:bCs/>
          <w:szCs w:val="20"/>
        </w:rPr>
        <w:t xml:space="preserve">na hora da fatura</w:t>
      </w:r>
      <w:r>
        <w:rPr>
          <w:szCs w:val="20"/>
        </w:rPr>
        <w:t xml:space="preserve">, pelo vínculo atual. Não se exclui tipo que já tem convênio (</w:t>
      </w:r>
      <w:r>
        <w:rPr>
          <w:szCs w:val="20"/>
        </w:rPr>
        <w:t xml:space="preserve">Tab/Controllers/TipoFornecimentoController.cs:100-115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RN018 – </w:t>
      </w:r>
      <w:r>
        <w:rPr>
          <w:b/>
          <w:bCs/>
          <w:szCs w:val="20"/>
        </w:rPr>
        <w:t xml:space="preserve">Preço:</w:t>
      </w:r>
      <w:r>
        <w:rPr>
          <w:szCs w:val="20"/>
        </w:rPr>
        <w:t xml:space="preserve"> um valor por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tipo de cliente</w:t>
      </w:r>
      <w:r>
        <w:rPr>
          <w:szCs w:val="20"/>
        </w:rPr>
        <w:t xml:space="preserve">. É o preço sugerido na cotação e na requisição (</w:t>
      </w:r>
      <w:r>
        <w:rPr>
          <w:szCs w:val="20"/>
        </w:rPr>
        <w:t xml:space="preserve">HSolutions.Comercial.UI/Areas/NotaFiscal/Controllers/PrecoController.cs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Sem vigência:</w:t>
      </w:r>
      <w:r>
        <w:rPr>
          <w:szCs w:val="20"/>
        </w:rPr>
        <w:t xml:space="preserve"> alterar o preço muda a sugestão na hora, sem guardar o anterior.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RN019 – </w:t>
      </w:r>
      <w:r>
        <w:rPr>
          <w:b/>
          <w:bCs/>
          <w:szCs w:val="20"/>
        </w:rPr>
        <w:t xml:space="preserve">Tipo de cliente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tipo de cobrança:</w:t>
      </w:r>
      <w:r>
        <w:rPr>
          <w:szCs w:val="20"/>
        </w:rPr>
        <w:t xml:space="preserve"> descrição; não se exclui o que está em uso (</w:t>
      </w:r>
      <w:r>
        <w:rPr>
          <w:szCs w:val="20"/>
        </w:rPr>
        <w:t xml:space="preserve">Tab/Controllers/TipoClienteController.cs:96-107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RN020 – </w:t>
      </w:r>
      <w:r>
        <w:rPr>
          <w:b/>
          <w:bCs/>
          <w:szCs w:val="20"/>
        </w:rPr>
        <w:t xml:space="preserve">Assinaturas</w:t>
      </w:r>
      <w:r>
        <w:rPr>
          <w:szCs w:val="20"/>
        </w:rPr>
        <w:t xml:space="preserve"> (fora do menu): os nomes e cargos impressos nos relatórios. O registro de histórico dessa tela está </w:t>
      </w:r>
      <w:r>
        <w:rPr>
          <w:b/>
          <w:bCs/>
          <w:szCs w:val="20"/>
        </w:rPr>
        <w:t xml:space="preserve">comentado</w:t>
      </w:r>
      <w:r>
        <w:rPr>
          <w:szCs w:val="20"/>
        </w:rPr>
        <w:t xml:space="preserve"> (</w:t>
      </w:r>
      <w:r>
        <w:rPr>
          <w:szCs w:val="20"/>
        </w:rPr>
        <w:t xml:space="preserve">Tab/Controllers/AssinaturasController.cs:80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6"/>
        <w:gridCol w:w="4547"/>
        <w:gridCol w:w="3148"/>
      </w:tblGrid>
      <w:tr>
        <w:trPr>
          <w:tblHeader/>
          <w:cantSplit/>
        </w:trPr>
        <w:tc>
          <w:tcPr>
            <w:tcW w:w="1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4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Fornecimento, Tipo Pessoa Jurídica, Tipo Cobrança, Preço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cada venda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4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Assinaturas (fora do menu)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Assinaturas dos relatórios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5. Regra geral: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RN021 – O código-base do Comercial tem um </w:t>
      </w:r>
      <w:r>
        <w:rPr>
          <w:b/>
          <w:bCs/>
          <w:szCs w:val="20"/>
        </w:rPr>
        <w:t xml:space="preserve">serviço de histórico</w:t>
      </w:r>
      <w:r>
        <w:rPr>
          <w:szCs w:val="20"/>
        </w:rPr>
        <w:t xml:space="preserve"> de alterações (</w:t>
      </w:r>
      <w:r>
        <w:rPr>
          <w:szCs w:val="20"/>
        </w:rPr>
        <w:t xml:space="preserve">HSolutions.Comercial.UI/Controllers/ComercialControllerBase.cs:37-38, 154-162</w:t>
      </w:r>
      <w:r>
        <w:rPr>
          <w:szCs w:val="20"/>
        </w:rPr>
        <w:t xml:space="preserve">), mas </w:t>
      </w:r>
      <w:r>
        <w:rPr>
          <w:b/>
          <w:bCs/>
          <w:szCs w:val="20"/>
        </w:rPr>
        <w:t xml:space="preserve">nenhuma tela o chama</w:t>
      </w:r>
      <w:r>
        <w:rPr>
          <w:szCs w:val="20"/>
        </w:rPr>
        <w:t xml:space="preserve">: a única chamada está comentada (RN020). As gravações usam uma biblioteca compilada, sem código-fonte.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ela grava algum histórico por conta própria.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Sem dados para saber se o cliente pode receber medicamentos</w:t>
      </w:r>
      <w:r>
        <w:rPr>
          <w:szCs w:val="20"/>
        </w:rPr>
        <w:t xml:space="preserve"> (RN003). Não há licença sanitária, autorização de funcionamento nem responsável técnico. Isso é exigido pelas Boas Práticas de Distribuição (RDC 430/2020), fora da RDC 658, mas a empresa responde pelo destino do lote. </w:t>
      </w:r>
      <w:r>
        <w:rPr>
          <w:i/>
          <w:iCs/>
          <w:szCs w:val="20"/>
        </w:rPr>
        <w:t xml:space="preserve">A validar com a GQ:</w:t>
      </w:r>
      <w:r>
        <w:rPr>
          <w:szCs w:val="20"/>
        </w:rPr>
        <w:t xml:space="preserve"> onde isso é conferido hoje.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Qualquer pessoa jurídica pode virar cliente num tipo de fornecimento</w:t>
      </w:r>
      <w:r>
        <w:rPr>
          <w:szCs w:val="20"/>
        </w:rPr>
        <w:t xml:space="preserve"> (RN004). O número 3 está fixado no código e abre a lista inteira do Principal, inclusive fornecedores.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O endereço da venda não fica guardado na fatura</w:t>
      </w:r>
      <w:r>
        <w:rPr>
          <w:szCs w:val="20"/>
        </w:rPr>
        <w:t xml:space="preserve"> (RN007). Alterar ou excluir um endereço muda ou apaga o destino das vendas antigas no Comercial. Num recolhimento, o endereço de entrega pode estar errado ou em branco (arts. 346 e 347). Só a remessa do Estoque guarda a cópia.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Sem histórico das alterações</w:t>
      </w:r>
      <w:r>
        <w:rPr>
          <w:szCs w:val="20"/>
        </w:rPr>
        <w:t xml:space="preserve"> (RN021). Não se sabe quem mudou um preço, um endereço ou um convênio, nem quando (art. 125).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Convênio sem vigência e sem limite conferido</w:t>
      </w:r>
      <w:r>
        <w:rPr>
          <w:szCs w:val="20"/>
        </w:rPr>
        <w:t xml:space="preserve"> (RN011, RN013).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Tipo de fornecimento com efeito ambíguo</w:t>
      </w:r>
      <w:r>
        <w:rPr>
          <w:szCs w:val="20"/>
        </w:rPr>
        <w:t xml:space="preserve"> (RN016, RN017). O primeiro vínculo decide a requisição; qualquer vínculo decide a remessa; e uma alteração muda requisições já abertas.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Preço sem vigência</w:t>
      </w:r>
      <w:r>
        <w:rPr>
          <w:szCs w:val="20"/>
        </w:rPr>
        <w:t xml:space="preserve"> (RN018). Não se sabe qual era o preço sugerido numa data.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8. Pregão isolado</w:t>
      </w:r>
      <w:r>
        <w:rPr>
          <w:szCs w:val="20"/>
        </w:rPr>
        <w:t xml:space="preserve"> (RN015). Não se liga à cotação nem à venda.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pessoa jurídica </w:t>
      </w:r>
      <w:r>
        <w:rPr>
          <w:szCs w:val="20"/>
        </w:rPr>
        <w:t xml:space="preserve">TESTE</w:t>
      </w:r>
      <w:r>
        <w:rPr>
          <w:szCs w:val="20"/>
        </w:rPr>
        <w:t xml:space="preserve"> no Principal, marcada como cliente.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pessoa jurídica </w:t>
      </w:r>
      <w:r>
        <w:rPr>
          <w:szCs w:val="20"/>
        </w:rPr>
        <w:t xml:space="preserve">TESTE FORNECEDOR</w:t>
      </w:r>
      <w:r>
        <w:rPr>
          <w:szCs w:val="20"/>
        </w:rPr>
        <w:t xml:space="preserve">, marcada só como fornecedor.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produto </w:t>
      </w:r>
      <w:r>
        <w:rPr>
          <w:szCs w:val="20"/>
        </w:rPr>
        <w:t xml:space="preserve">TESTE PRODUTO ACABADO</w:t>
      </w:r>
      <w:r>
        <w:rPr>
          <w:szCs w:val="20"/>
        </w:rPr>
        <w:t xml:space="preserve"> (fluxo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 </w:t>
      </w:r>
      <w:r>
        <w:rPr>
          <w:szCs w:val="20"/>
        </w:rPr>
        <w:t xml:space="preserve">t.admin</w:t>
      </w:r>
      <w:r>
        <w:rPr>
          <w:szCs w:val="20"/>
        </w:rPr>
        <w:t xml:space="preserve"> e </w:t>
      </w:r>
      <w:r>
        <w:rPr>
          <w:szCs w:val="20"/>
        </w:rPr>
        <w:t xml:space="preserve">t.semadmin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7"/>
        <w:gridCol w:w="4330"/>
        <w:gridCol w:w="3664"/>
      </w:tblGrid>
      <w:tr>
        <w:trPr>
          <w:tblHeader/>
          <w:cantSplit/>
        </w:trPr>
        <w:tc>
          <w:tcPr>
            <w:tcW w:w="1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CT-COM-034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Endereço, abrir a pessoa jurídica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salvar sem tipo de cliente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Tipo Cliente é obrigatório." (RN002)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CT-COM-035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Dar o tipo de cliente; cadastrar um endereço de entrega e um de cobrança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Gravados (RN005)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CT-COM-036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um segundo endereço de cobrança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"Esse tipo endereço já está cadastrado."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na inclusão (RN005)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CT-COM-037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no cadastro do cliente a licença sanitária, a autorização de funcionamento e o responsável técnico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ausência</w:t>
            </w:r>
            <w:r>
              <w:rPr>
                <w:sz w:val="18"/>
                <w:szCs w:val="20"/>
              </w:rPr>
              <w:t xml:space="preserve"> (RN003, ponto 1)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CT-COM-038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Numa requisição com o tipo de fornecimento número 3, procurar a </w:t>
            </w:r>
            <w:r>
              <w:rPr>
                <w:sz w:val="18"/>
                <w:szCs w:val="20"/>
              </w:rPr>
              <w:t xml:space="preserve">TESTE FORNECEDOR</w:t>
            </w:r>
            <w:r>
              <w:rPr>
                <w:sz w:val="18"/>
                <w:szCs w:val="20"/>
              </w:rPr>
              <w:t xml:space="preserve"> na lista de clientes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não aparece. </w:t>
            </w:r>
            <w:r>
              <w:rPr>
                <w:sz w:val="18"/>
                <w:b/>
                <w:bCs/>
                <w:szCs w:val="20"/>
              </w:rPr>
              <w:t xml:space="preserve">Registrar se aparecer</w:t>
            </w:r>
            <w:r>
              <w:rPr>
                <w:sz w:val="18"/>
                <w:szCs w:val="20"/>
              </w:rPr>
              <w:t xml:space="preserve"> (RN004, ponto 2)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CT-COM-039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faturar para o cliente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(fluxo 3), </w:t>
            </w:r>
            <w:r>
              <w:rPr>
                <w:sz w:val="18"/>
                <w:b/>
                <w:bCs/>
                <w:szCs w:val="20"/>
              </w:rPr>
              <w:t xml:space="preserve">alterar</w:t>
            </w:r>
            <w:r>
              <w:rPr>
                <w:sz w:val="18"/>
                <w:szCs w:val="20"/>
              </w:rPr>
              <w:t xml:space="preserve"> o endereço de entrega e visualizar a fatura antiga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fatura mostra o endereço da época. </w:t>
            </w:r>
            <w:r>
              <w:rPr>
                <w:sz w:val="18"/>
                <w:b/>
                <w:bCs/>
                <w:szCs w:val="20"/>
              </w:rPr>
              <w:t xml:space="preserve">Registrar se mostrar o novo</w:t>
            </w:r>
            <w:r>
              <w:rPr>
                <w:sz w:val="18"/>
                <w:szCs w:val="20"/>
              </w:rPr>
              <w:t xml:space="preserve"> (RN007, ponto 3)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CT-COM-040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o endereço de entrega usado na fatura e visualizar a fatura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endereço ficar em branco</w:t>
            </w:r>
            <w:r>
              <w:rPr>
                <w:sz w:val="18"/>
                <w:szCs w:val="20"/>
              </w:rPr>
              <w:t xml:space="preserve"> (RN007, ponto 3)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CT-COM-041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 convênio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o código de um convênio existente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pelo código repetido (RN009)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CT-COM-042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produtos no convênio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procurar a vigência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Produtos gravados. </w:t>
            </w:r>
            <w:r>
              <w:rPr>
                <w:sz w:val="18"/>
                <w:b/>
                <w:bCs/>
                <w:szCs w:val="20"/>
              </w:rPr>
              <w:t xml:space="preserve">Registrar a ausência de vigência</w:t>
            </w:r>
            <w:r>
              <w:rPr>
                <w:sz w:val="18"/>
                <w:szCs w:val="20"/>
              </w:rPr>
              <w:t xml:space="preserve"> (RN010, RN011)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CT-COM-043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convênio que já tem requisição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 pode excluir convênio que já possui uma requisição!" (RN012)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CT-COM-044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atividade de relacionamento e um pregão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Gravados; </w:t>
            </w:r>
            <w:r>
              <w:rPr>
                <w:sz w:val="18"/>
                <w:b/>
                <w:bCs/>
                <w:szCs w:val="20"/>
              </w:rPr>
              <w:t xml:space="preserve">registrar que o pregão não aparece na cotação nem na requisição</w:t>
            </w:r>
            <w:r>
              <w:rPr>
                <w:sz w:val="18"/>
                <w:szCs w:val="20"/>
              </w:rPr>
              <w:t xml:space="preserve"> (RN014, RN015)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CT-COM-045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 tipo de fornecimento </w:t>
            </w:r>
            <w:r>
              <w:rPr>
                <w:sz w:val="18"/>
                <w:szCs w:val="20"/>
              </w:rPr>
              <w:t xml:space="preserve">TESTE MISTO</w:t>
            </w:r>
            <w:r>
              <w:rPr>
                <w:sz w:val="18"/>
                <w:szCs w:val="20"/>
              </w:rPr>
              <w:t xml:space="preserve"> com os vínculos cotação e guia de simples remessa; usar numa requisição e faturar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qual vínculo valeu</w:t>
            </w:r>
            <w:r>
              <w:rPr>
                <w:sz w:val="18"/>
                <w:szCs w:val="20"/>
              </w:rPr>
              <w:t xml:space="preserve"> na requisição e se a remessa foi gerada (RN016, ponto 6)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CT-COM-046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uma requisição em aberto, tirar o vínculo guia de simples remessa do tipo dela; faturar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remessa deixou de ser gerada</w:t>
            </w:r>
            <w:r>
              <w:rPr>
                <w:sz w:val="18"/>
                <w:szCs w:val="20"/>
              </w:rPr>
              <w:t xml:space="preserve"> (RN017, ponto 6)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CT-COM-047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preço do </w:t>
            </w:r>
            <w:r>
              <w:rPr>
                <w:sz w:val="18"/>
                <w:szCs w:val="20"/>
              </w:rPr>
              <w:t xml:space="preserve">TESTE PRODUTO ACABADO</w:t>
            </w:r>
            <w:r>
              <w:rPr>
                <w:sz w:val="18"/>
                <w:szCs w:val="20"/>
              </w:rPr>
              <w:t xml:space="preserve"> e procurar o preço anterior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ausência</w:t>
            </w:r>
            <w:r>
              <w:rPr>
                <w:sz w:val="18"/>
                <w:szCs w:val="20"/>
              </w:rPr>
              <w:t xml:space="preserve"> de histórico e de vigência (RN018, RN021)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CT-COM-048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endereço e um preço; pedir à TI ou ao DBA o histórico dessas alterações</w:t>
            </w:r>
          </w:p>
        </w:tc>
        <w:tc>
          <w:tcPr>
            <w:tcW w:w="3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existe</w:t>
            </w:r>
            <w:r>
              <w:rPr>
                <w:sz w:val="18"/>
                <w:szCs w:val="20"/>
              </w:rPr>
              <w:t xml:space="preserve"> (RN021, ponto 4)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CT-COM-039, 040, 037, 038 e 048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destino da venda que muda ou some depois da fatura;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cliente sem autorização conferida;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jurídica qualquer como cliente;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falta de histórico.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Comercial – Especificação Funcional – Cliente e Cadastros de Venda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Comercial – Especificação Funcional – Cliente e Cadastros de Venda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