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60"/>
      </w:pPr>
      <w:r>
        <w:rPr>
          <w:b/>
          <w:bCs/>
          <w:sz w:val="32"/>
          <w:szCs w:val="32"/>
        </w:rPr>
        <w:t xml:space="preserve">Resumo Executivo do módulo Estoque</w:t>
      </w:r>
    </w:p>
    <w:p>
      <w:pPr>
        <w:pBdr>
          <w:bottom w:val="single" w:sz="8" w:space="4" w:color="808080"/>
        </w:pBdr>
        <w:spacing w:before="0" w:after="160"/>
      </w:pPr>
      <w:r>
        <w:rPr>
          <w:color w:val="595959"/>
          <w:szCs w:val="20"/>
        </w:rPr>
        <w:t xml:space="preserve">LabMedSys · Módulo Estoque · 26/10/2026 · André Nardacci · documento versão 1.7</w:t>
      </w:r>
    </w:p>
    <w:p>
      <w:pPr>
        <w:spacing w:after="0" w:line="252" w:lineRule="auto"/>
        <w:rPr>
          <w:szCs w:val="20"/>
        </w:rPr>
      </w:pPr>
      <w:r>
        <w:rPr>
          <w:b/>
          <w:bCs/>
          <w:szCs w:val="20"/>
        </w:rPr>
        <w:t xml:space="preserve">Uso interno.</w:t>
      </w:r>
      <w:r>
        <w:rPr>
          <w:szCs w:val="20"/>
        </w:rPr>
        <w:t xml:space="preserve"> Resumo para a diretoria, atualizado em 26/10/2026 (catorze rodadas de testes, 07 a 24/10). O detalhe está no Relatório de Testes, na Conformidade Regulatória e nos Defeitos para Correção.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200" w:after="0"/>
        <w:ind w:left="0" w:right="170" w:firstLine="0"/>
        <w:outlineLvl w:val="0"/>
        <w:rPr>
          <w:color w:val="000000" w:themeColor="text1"/>
        </w:rPr>
      </w:pPr>
      <w:r>
        <w:rPr>
          <w:rFonts w:eastAsia="Arial" w:cs="Arial"/>
          <w:b/>
          <w:color w:val="000000" w:themeColor="text1"/>
        </w:rPr>
        <w:t xml:space="preserve">CONCLUSÃO</w:t>
      </w:r>
    </w:p>
    <w:p>
      <w:pPr>
        <w:keepNext/>
        <w:spacing w:after="0" w:line="252" w:lineRule="auto"/>
      </w:pPr>
    </w:p>
    <w:p>
      <w:pPr>
        <w:spacing w:after="0" w:line="252" w:lineRule="auto"/>
        <w:rPr>
          <w:szCs w:val="20"/>
        </w:rPr>
      </w:pPr>
      <w:r>
        <w:rPr>
          <w:szCs w:val="20"/>
        </w:rPr>
        <w:t xml:space="preserve">O módulo Estoque do LabMedSys (versão 3.5.1), como foi entregue pelo fornecedor, registra a entrada, a guarda e a saída dos materiais, mas </w:t>
      </w:r>
      <w:r>
        <w:rPr>
          <w:b/>
          <w:bCs/>
          <w:szCs w:val="20"/>
        </w:rPr>
        <w:t xml:space="preserve">não controla o que a ANVISA exige controlar</w:t>
      </w:r>
      <w:r>
        <w:rPr>
          <w:szCs w:val="20"/>
        </w:rPr>
        <w:t xml:space="preserve">. O lote passa pela quarentena e pelo laudo do Controle da Qualidade, e isso funciona. Mas o recebimento aceita fornecedor reprovado e lote vencido, a entrada de produto acabado aceita lote inventado, a liberação do lote é feita por qualquer usuário e </w:t>
      </w:r>
      <w:r>
        <w:rPr>
          <w:b/>
          <w:bCs/>
          <w:szCs w:val="20"/>
        </w:rPr>
        <w:t xml:space="preserve">ninguém consegue aprovar o lote padrão</w:t>
      </w:r>
      <w:r>
        <w:rPr>
          <w:szCs w:val="20"/>
        </w:rPr>
        <w:t xml:space="preserve">, o que impede a Produção de pedir a primeira ordem. As três últimas rodadas (24/10) </w:t>
      </w:r>
      <w:r>
        <w:rPr>
          <w:b/>
          <w:bCs/>
          <w:szCs w:val="20"/>
        </w:rPr>
        <w:t xml:space="preserve">só reforçaram a conclusão</w:t>
      </w:r>
      <w:r>
        <w:rPr>
          <w:szCs w:val="20"/>
        </w:rPr>
        <w:t xml:space="preserve">.</w:t>
      </w:r>
    </w:p>
    <w:p>
      <w:pPr>
        <w:spacing w:after="0" w:line="252" w:lineRule="auto"/>
        <w:rPr>
          <w:szCs w:val="20"/>
        </w:rPr>
      </w:pPr>
      <w:r>
        <w:rPr>
          <w:b/>
          <w:bCs/>
          <w:szCs w:val="20"/>
        </w:rPr>
        <w:t xml:space="preserve">Dos 14 temas da norma avaliados, nenhum é atendido por completo</w:t>
      </w:r>
      <w:r>
        <w:rPr>
          <w:szCs w:val="20"/>
        </w:rPr>
        <w:t xml:space="preserve">: 5 em parte, 8 não atendidos e 1 não verificado. Os mecanismos essenciais existem (quarentena, saldo por situação, histórico), então as falhas podem ser corrigidas sem reconstruir o módulo.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200" w:after="0"/>
        <w:ind w:left="0" w:right="170" w:firstLine="0"/>
        <w:outlineLvl w:val="0"/>
        <w:rPr>
          <w:color w:val="000000" w:themeColor="text1"/>
        </w:rPr>
      </w:pPr>
      <w:r>
        <w:rPr>
          <w:rFonts w:eastAsia="Arial" w:cs="Arial"/>
          <w:b/>
          <w:color w:val="000000" w:themeColor="text1"/>
        </w:rPr>
        <w:t xml:space="preserve">O QUE FOI FEITO</w:t>
      </w:r>
    </w:p>
    <w:p>
      <w:pPr>
        <w:keepNext/>
        <w:spacing w:after="0" w:line="252" w:lineRule="auto"/>
      </w:pPr>
    </w:p>
    <w:tbl>
      <w:tblPr>
        <w:tblStyle w:val="Tabelacomgrade"/>
        <w:tblW w:w="9631" w:type="dxa"/>
        <w:tblLayout w:type="fixed"/>
        <w:tblLook w:val="04A0" w:firstRow="1" w:lastRow="0" w:firstColumn="1" w:lastColumn="0" w:noHBand="0" w:noVBand="1"/>
      </w:tblPr>
      <w:tblGrid>
        <w:gridCol w:w="2385"/>
        <w:gridCol w:w="7246"/>
      </w:tblGrid>
      <w:tr>
        <w:trPr>
          <w:tblHeader/>
          <w:cantSplit/>
        </w:trPr>
        <w:tc>
          <w:tcPr>
            <w:tcW w:w="23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Atividade</w:t>
            </w:r>
          </w:p>
        </w:tc>
        <w:tc>
          <w:tcPr>
            <w:tcW w:w="72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r>
      <w:tr>
        <w:trPr>
          <w:cantSplit/>
        </w:trPr>
        <w:tc>
          <w:tcPr>
            <w:tcW w:w="2385" w:type="dxa"/>
          </w:tcPr>
          <w:p>
            <w:pPr>
              <w:widowControl/>
              <w:spacing w:after="0" w:line="276" w:lineRule="auto"/>
              <w:jc w:val="left"/>
              <w:rPr>
                <w:sz w:val="18"/>
                <w:szCs w:val="18"/>
              </w:rPr>
            </w:pPr>
            <w:r>
              <w:rPr>
                <w:sz w:val="18"/>
                <w:szCs w:val="20"/>
              </w:rPr>
              <w:t xml:space="preserve">Análise do código</w:t>
            </w:r>
          </w:p>
        </w:tc>
        <w:tc>
          <w:tcPr>
            <w:tcW w:w="7246" w:type="dxa"/>
          </w:tcPr>
          <w:p>
            <w:pPr>
              <w:widowControl/>
              <w:spacing w:after="0" w:line="276" w:lineRule="auto"/>
              <w:jc w:val="left"/>
              <w:rPr>
                <w:sz w:val="18"/>
                <w:szCs w:val="18"/>
              </w:rPr>
            </w:pPr>
            <w:r>
              <w:rPr>
                <w:sz w:val="18"/>
                <w:szCs w:val="20"/>
              </w:rPr>
              <w:t xml:space="preserve">Dez fluxos, 99 telas documentadas uma a uma, 1.291 regras de negócio, modelo de dados, 24 riscos, 18 achados de segurança e o modelo ideal</w:t>
            </w:r>
          </w:p>
        </w:tc>
      </w:tr>
      <w:tr>
        <w:trPr>
          <w:cantSplit/>
        </w:trPr>
        <w:tc>
          <w:tcPr>
            <w:tcW w:w="2385" w:type="dxa"/>
          </w:tcPr>
          <w:p>
            <w:pPr>
              <w:widowControl/>
              <w:spacing w:after="0" w:line="276" w:lineRule="auto"/>
              <w:jc w:val="left"/>
              <w:rPr>
                <w:sz w:val="18"/>
                <w:szCs w:val="18"/>
              </w:rPr>
            </w:pPr>
            <w:r>
              <w:rPr>
                <w:sz w:val="18"/>
                <w:szCs w:val="20"/>
              </w:rPr>
              <w:t xml:space="preserve">Testes no ambiente de teste</w:t>
            </w:r>
          </w:p>
        </w:tc>
        <w:tc>
          <w:tcPr>
            <w:tcW w:w="7246" w:type="dxa"/>
          </w:tcPr>
          <w:p>
            <w:pPr>
              <w:widowControl/>
              <w:spacing w:after="0" w:line="276" w:lineRule="auto"/>
              <w:jc w:val="left"/>
              <w:rPr>
                <w:sz w:val="18"/>
                <w:szCs w:val="18"/>
              </w:rPr>
            </w:pPr>
            <w:r>
              <w:rPr>
                <w:sz w:val="18"/>
                <w:b/>
                <w:bCs/>
                <w:szCs w:val="20"/>
              </w:rPr>
              <w:t xml:space="preserve">14 rodadas</w:t>
            </w:r>
            <w:r>
              <w:rPr>
                <w:sz w:val="18"/>
                <w:szCs w:val="20"/>
              </w:rPr>
              <w:t xml:space="preserve">; </w:t>
            </w:r>
            <w:r>
              <w:rPr>
                <w:sz w:val="18"/>
                <w:b/>
                <w:bCs/>
                <w:szCs w:val="20"/>
              </w:rPr>
              <w:t xml:space="preserve">552 de 601 linhas de resultado</w:t>
            </w:r>
            <w:r>
              <w:rPr>
                <w:sz w:val="18"/>
                <w:szCs w:val="20"/>
              </w:rPr>
              <w:t xml:space="preserve"> conclusivas (passos e casos); 44 dos 46 casos de prioridade alta do plano (os 2 restantes estão bloqueados)</w:t>
            </w:r>
          </w:p>
        </w:tc>
      </w:tr>
      <w:tr>
        <w:trPr>
          <w:cantSplit/>
        </w:trPr>
        <w:tc>
          <w:tcPr>
            <w:tcW w:w="2385" w:type="dxa"/>
          </w:tcPr>
          <w:p>
            <w:pPr>
              <w:widowControl/>
              <w:spacing w:after="0" w:line="276" w:lineRule="auto"/>
              <w:jc w:val="left"/>
              <w:rPr>
                <w:sz w:val="18"/>
                <w:szCs w:val="18"/>
              </w:rPr>
            </w:pPr>
            <w:r>
              <w:rPr>
                <w:sz w:val="18"/>
                <w:szCs w:val="20"/>
              </w:rPr>
              <w:t xml:space="preserve">Defeitos encontrados</w:t>
            </w:r>
          </w:p>
        </w:tc>
        <w:tc>
          <w:tcPr>
            <w:tcW w:w="7246" w:type="dxa"/>
          </w:tcPr>
          <w:p>
            <w:pPr>
              <w:widowControl/>
              <w:spacing w:after="0" w:line="276" w:lineRule="auto"/>
              <w:jc w:val="left"/>
              <w:rPr>
                <w:sz w:val="18"/>
                <w:szCs w:val="18"/>
              </w:rPr>
            </w:pPr>
            <w:r>
              <w:rPr>
                <w:sz w:val="18"/>
                <w:b/>
                <w:bCs/>
                <w:szCs w:val="20"/>
              </w:rPr>
              <w:t xml:space="preserve">150 registrados, 149 abertos</w:t>
            </w:r>
            <w:r>
              <w:rPr>
                <w:sz w:val="18"/>
                <w:szCs w:val="20"/>
              </w:rPr>
              <w:t xml:space="preserve">: 55 de gravidade alta, 74 média e 20 baixa; 14 de acesso e segurança. As 3 últimas rodadas acrescentaram 74</w:t>
            </w:r>
          </w:p>
        </w:tc>
      </w:tr>
      <w:tr>
        <w:trPr>
          <w:cantSplit/>
        </w:trPr>
        <w:tc>
          <w:tcPr>
            <w:tcW w:w="2385" w:type="dxa"/>
          </w:tcPr>
          <w:p>
            <w:pPr>
              <w:widowControl/>
              <w:spacing w:after="0" w:line="276" w:lineRule="auto"/>
              <w:jc w:val="left"/>
              <w:rPr>
                <w:sz w:val="18"/>
                <w:szCs w:val="18"/>
              </w:rPr>
            </w:pPr>
            <w:r>
              <w:rPr>
                <w:sz w:val="18"/>
                <w:szCs w:val="20"/>
              </w:rPr>
              <w:t xml:space="preserve">Telas do menu (99)</w:t>
            </w:r>
          </w:p>
        </w:tc>
        <w:tc>
          <w:tcPr>
            <w:tcW w:w="7246" w:type="dxa"/>
          </w:tcPr>
          <w:p>
            <w:pPr>
              <w:widowControl/>
              <w:spacing w:after="0" w:line="276" w:lineRule="auto"/>
              <w:jc w:val="left"/>
              <w:rPr>
                <w:sz w:val="18"/>
                <w:szCs w:val="18"/>
              </w:rPr>
            </w:pPr>
            <w:r>
              <w:rPr>
                <w:sz w:val="18"/>
                <w:szCs w:val="20"/>
              </w:rPr>
              <w:t xml:space="preserve">3 funcionam; 33 com falhas; 54 com falha grave; 3 bloqueadas no teste; 6 não testadas</w:t>
            </w:r>
          </w:p>
        </w:tc>
      </w:tr>
    </w:tbl>
    <w:p>
      <w:pPr>
        <w:spacing w:after="0" w:line="252"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200" w:after="0"/>
        <w:ind w:left="0" w:right="170" w:firstLine="0"/>
        <w:outlineLvl w:val="0"/>
        <w:rPr>
          <w:color w:val="000000" w:themeColor="text1"/>
        </w:rPr>
      </w:pPr>
      <w:r>
        <w:rPr>
          <w:rFonts w:eastAsia="Arial" w:cs="Arial"/>
          <w:b/>
          <w:color w:val="000000" w:themeColor="text1"/>
        </w:rPr>
        <w:t xml:space="preserve">PRINCIPAIS PROBLEMAS</w:t>
      </w:r>
    </w:p>
    <w:p>
      <w:pPr>
        <w:keepNext/>
        <w:spacing w:after="0" w:line="252" w:lineRule="auto"/>
      </w:pPr>
    </w:p>
    <w:tbl>
      <w:tblPr>
        <w:tblStyle w:val="Tabelacomgrade"/>
        <w:tblW w:w="9631" w:type="dxa"/>
        <w:tblLayout w:type="fixed"/>
        <w:tblLook w:val="04A0" w:firstRow="1" w:lastRow="0" w:firstColumn="1" w:lastColumn="0" w:noHBand="0" w:noVBand="1"/>
      </w:tblPr>
      <w:tblGrid>
        <w:gridCol w:w="5764"/>
        <w:gridCol w:w="3867"/>
      </w:tblGrid>
      <w:tr>
        <w:trPr>
          <w:tblHeader/>
          <w:cantSplit/>
        </w:trPr>
        <w:tc>
          <w:tcPr>
            <w:tcW w:w="576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Problema</w:t>
            </w:r>
          </w:p>
        </w:tc>
        <w:tc>
          <w:tcPr>
            <w:tcW w:w="38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Risco para a empresa (RDC 658/2022)</w:t>
            </w:r>
          </w:p>
        </w:tc>
      </w:tr>
      <w:tr>
        <w:trPr>
          <w:cantSplit/>
        </w:trPr>
        <w:tc>
          <w:tcPr>
            <w:tcW w:w="5764" w:type="dxa"/>
          </w:tcPr>
          <w:p>
            <w:pPr>
              <w:widowControl/>
              <w:spacing w:after="0" w:line="276" w:lineRule="auto"/>
              <w:jc w:val="left"/>
              <w:rPr>
                <w:sz w:val="18"/>
                <w:szCs w:val="18"/>
              </w:rPr>
            </w:pPr>
            <w:r>
              <w:rPr>
                <w:sz w:val="18"/>
                <w:szCs w:val="20"/>
              </w:rPr>
              <w:t xml:space="preserve">O Endereçamento diz "sucesso" e não grava, e a conferência dá erro: pelo recebimento, o lote não chega à quarentena nem ao CQ</w:t>
            </w:r>
          </w:p>
        </w:tc>
        <w:tc>
          <w:tcPr>
            <w:tcW w:w="3867" w:type="dxa"/>
          </w:tcPr>
          <w:p>
            <w:pPr>
              <w:widowControl/>
              <w:spacing w:after="0" w:line="276" w:lineRule="auto"/>
              <w:jc w:val="left"/>
              <w:rPr>
                <w:sz w:val="18"/>
                <w:szCs w:val="18"/>
              </w:rPr>
            </w:pPr>
            <w:r>
              <w:rPr>
                <w:sz w:val="18"/>
                <w:szCs w:val="20"/>
              </w:rPr>
              <w:t xml:space="preserve">O sistema afirma o que não aconteceu (art. 124); depende do DBA</w:t>
            </w:r>
          </w:p>
        </w:tc>
      </w:tr>
      <w:tr>
        <w:trPr>
          <w:cantSplit/>
        </w:trPr>
        <w:tc>
          <w:tcPr>
            <w:tcW w:w="5764" w:type="dxa"/>
          </w:tcPr>
          <w:p>
            <w:pPr>
              <w:widowControl/>
              <w:spacing w:after="0" w:line="276" w:lineRule="auto"/>
              <w:jc w:val="left"/>
              <w:rPr>
                <w:sz w:val="18"/>
                <w:szCs w:val="18"/>
              </w:rPr>
            </w:pPr>
            <w:r>
              <w:rPr>
                <w:sz w:val="18"/>
                <w:szCs w:val="20"/>
              </w:rPr>
              <w:t xml:space="preserve">Fornecedor reprovado e lote vencido são aceitos; a entrada de produto acabado aceita lote inventado; o CQ aprova o laudo de um lote vencido e ele é movimentado</w:t>
            </w:r>
          </w:p>
        </w:tc>
        <w:tc>
          <w:tcPr>
            <w:tcW w:w="3867" w:type="dxa"/>
          </w:tcPr>
          <w:p>
            <w:pPr>
              <w:widowControl/>
              <w:spacing w:after="0" w:line="276" w:lineRule="auto"/>
              <w:jc w:val="left"/>
              <w:rPr>
                <w:sz w:val="18"/>
                <w:szCs w:val="18"/>
              </w:rPr>
            </w:pPr>
            <w:r>
              <w:rPr>
                <w:sz w:val="18"/>
                <w:szCs w:val="20"/>
              </w:rPr>
              <w:t xml:space="preserve">Material de fonte não qualificada, fora da validade ou sem origem (arts. 8º VI, 121, 124, 164 e 189)</w:t>
            </w:r>
          </w:p>
        </w:tc>
      </w:tr>
      <w:tr>
        <w:trPr>
          <w:cantSplit/>
        </w:trPr>
        <w:tc>
          <w:tcPr>
            <w:tcW w:w="5764" w:type="dxa"/>
          </w:tcPr>
          <w:p>
            <w:pPr>
              <w:widowControl/>
              <w:spacing w:after="0" w:line="276" w:lineRule="auto"/>
              <w:jc w:val="left"/>
              <w:rPr>
                <w:sz w:val="18"/>
                <w:szCs w:val="18"/>
              </w:rPr>
            </w:pPr>
            <w:r>
              <w:rPr>
                <w:sz w:val="18"/>
                <w:szCs w:val="20"/>
              </w:rPr>
              <w:t xml:space="preserve">Ninguém aprova o lote padrão; a liberação do lote é a aprovação do laudo, por qualquer usuário, e reprovar não exige motivo</w:t>
            </w:r>
          </w:p>
        </w:tc>
        <w:tc>
          <w:tcPr>
            <w:tcW w:w="3867" w:type="dxa"/>
          </w:tcPr>
          <w:p>
            <w:pPr>
              <w:widowControl/>
              <w:spacing w:after="0" w:line="276" w:lineRule="auto"/>
              <w:jc w:val="left"/>
              <w:rPr>
                <w:sz w:val="18"/>
                <w:szCs w:val="18"/>
              </w:rPr>
            </w:pPr>
            <w:r>
              <w:rPr>
                <w:sz w:val="18"/>
                <w:szCs w:val="20"/>
              </w:rPr>
              <w:t xml:space="preserve">Produção sem lote padrão aprovado; decisão crítica sem a pessoa designada (arts. 8º XV e 133 a 135)</w:t>
            </w:r>
          </w:p>
        </w:tc>
      </w:tr>
      <w:tr>
        <w:trPr>
          <w:cantSplit/>
        </w:trPr>
        <w:tc>
          <w:tcPr>
            <w:tcW w:w="5764" w:type="dxa"/>
          </w:tcPr>
          <w:p>
            <w:pPr>
              <w:widowControl/>
              <w:spacing w:after="0" w:line="276" w:lineRule="auto"/>
              <w:jc w:val="left"/>
              <w:rPr>
                <w:sz w:val="18"/>
                <w:szCs w:val="18"/>
              </w:rPr>
            </w:pPr>
            <w:r>
              <w:rPr>
                <w:sz w:val="18"/>
                <w:szCs w:val="20"/>
              </w:rPr>
              <w:t xml:space="preserve">A Movimentação de Quarentena e o Endereçamento aceitam destino incompleto; a remessa da tela comum não finaliza</w:t>
            </w:r>
          </w:p>
        </w:tc>
        <w:tc>
          <w:tcPr>
            <w:tcW w:w="3867" w:type="dxa"/>
          </w:tcPr>
          <w:p>
            <w:pPr>
              <w:widowControl/>
              <w:spacing w:after="0" w:line="276" w:lineRule="auto"/>
              <w:jc w:val="left"/>
              <w:rPr>
                <w:sz w:val="18"/>
                <w:szCs w:val="18"/>
              </w:rPr>
            </w:pPr>
            <w:r>
              <w:rPr>
                <w:sz w:val="18"/>
                <w:szCs w:val="20"/>
              </w:rPr>
              <w:t xml:space="preserve">Material aprovado some do controle; sem registro para recolhimento (arts. 124, 346 e 347)</w:t>
            </w:r>
          </w:p>
        </w:tc>
      </w:tr>
      <w:tr>
        <w:trPr>
          <w:cantSplit/>
        </w:trPr>
        <w:tc>
          <w:tcPr>
            <w:tcW w:w="5764" w:type="dxa"/>
          </w:tcPr>
          <w:p>
            <w:pPr>
              <w:widowControl/>
              <w:spacing w:after="0" w:line="276" w:lineRule="auto"/>
              <w:jc w:val="left"/>
              <w:rPr>
                <w:sz w:val="18"/>
                <w:szCs w:val="18"/>
              </w:rPr>
            </w:pPr>
            <w:r>
              <w:rPr>
                <w:sz w:val="18"/>
                <w:szCs w:val="20"/>
              </w:rPr>
              <w:t xml:space="preserve">A amostra de retenção sai antes do vencimento; o atendimento não ordena os lotes por validade; no inventário a mesma pessoa conta, justifica e executa o ajuste, sem motivo nem registro</w:t>
            </w:r>
          </w:p>
        </w:tc>
        <w:tc>
          <w:tcPr>
            <w:tcW w:w="3867" w:type="dxa"/>
          </w:tcPr>
          <w:p>
            <w:pPr>
              <w:widowControl/>
              <w:spacing w:after="0" w:line="276" w:lineRule="auto"/>
              <w:jc w:val="left"/>
              <w:rPr>
                <w:sz w:val="18"/>
                <w:szCs w:val="18"/>
              </w:rPr>
            </w:pPr>
            <w:r>
              <w:rPr>
                <w:sz w:val="18"/>
                <w:szCs w:val="20"/>
              </w:rPr>
              <w:t xml:space="preserve">Amostras sem prazo; lote de validade curta passado adiante; ajuste sem separação de funções (arts. 14 VIII, 124 e 189)</w:t>
            </w:r>
          </w:p>
        </w:tc>
      </w:tr>
      <w:tr>
        <w:trPr>
          <w:cantSplit/>
        </w:trPr>
        <w:tc>
          <w:tcPr>
            <w:tcW w:w="5764" w:type="dxa"/>
          </w:tcPr>
          <w:p>
            <w:pPr>
              <w:widowControl/>
              <w:spacing w:after="0" w:line="276" w:lineRule="auto"/>
              <w:jc w:val="left"/>
              <w:rPr>
                <w:sz w:val="18"/>
                <w:szCs w:val="18"/>
              </w:rPr>
            </w:pPr>
            <w:r>
              <w:rPr>
                <w:sz w:val="18"/>
                <w:szCs w:val="20"/>
              </w:rPr>
              <w:t xml:space="preserve">Mudança de cadastro sem rastro (grupo, item, centro de custo, parâmetros); cadastro em uso pode ser excluído; histórico do lote sem usuário nem laudo</w:t>
            </w:r>
          </w:p>
        </w:tc>
        <w:tc>
          <w:tcPr>
            <w:tcW w:w="3867" w:type="dxa"/>
          </w:tcPr>
          <w:p>
            <w:pPr>
              <w:widowControl/>
              <w:spacing w:after="0" w:line="276" w:lineRule="auto"/>
              <w:jc w:val="left"/>
              <w:rPr>
                <w:sz w:val="18"/>
                <w:szCs w:val="18"/>
              </w:rPr>
            </w:pPr>
            <w:r>
              <w:rPr>
                <w:sz w:val="18"/>
                <w:szCs w:val="20"/>
              </w:rPr>
              <w:t xml:space="preserve">Trilha de auditoria incompleta (arts. 124 e 125)</w:t>
            </w:r>
          </w:p>
        </w:tc>
      </w:tr>
      <w:tr>
        <w:trPr>
          <w:cantSplit/>
        </w:trPr>
        <w:tc>
          <w:tcPr>
            <w:tcW w:w="5764" w:type="dxa"/>
          </w:tcPr>
          <w:p>
            <w:pPr>
              <w:widowControl/>
              <w:spacing w:after="0" w:line="276" w:lineRule="auto"/>
              <w:jc w:val="left"/>
              <w:rPr>
                <w:sz w:val="18"/>
                <w:szCs w:val="18"/>
              </w:rPr>
            </w:pPr>
            <w:r>
              <w:rPr>
                <w:sz w:val="18"/>
                <w:szCs w:val="20"/>
              </w:rPr>
              <w:t xml:space="preserve">Relatórios com números que não fecham (movimentação, mapa, inventário do mês, material reservado) e três com assinaturas de outra organização</w:t>
            </w:r>
          </w:p>
        </w:tc>
        <w:tc>
          <w:tcPr>
            <w:tcW w:w="3867" w:type="dxa"/>
          </w:tcPr>
          <w:p>
            <w:pPr>
              <w:widowControl/>
              <w:spacing w:after="0" w:line="276" w:lineRule="auto"/>
              <w:jc w:val="left"/>
              <w:rPr>
                <w:sz w:val="18"/>
                <w:szCs w:val="18"/>
              </w:rPr>
            </w:pPr>
            <w:r>
              <w:rPr>
                <w:sz w:val="18"/>
                <w:szCs w:val="20"/>
              </w:rPr>
              <w:t xml:space="preserve">O que a diretoria e o inspetor leem não se sustenta (arts. 124, 160 e 189)</w:t>
            </w:r>
          </w:p>
        </w:tc>
      </w:tr>
      <w:tr>
        <w:trPr>
          <w:cantSplit/>
        </w:trPr>
        <w:tc>
          <w:tcPr>
            <w:tcW w:w="5764" w:type="dxa"/>
          </w:tcPr>
          <w:p>
            <w:pPr>
              <w:widowControl/>
              <w:spacing w:after="0" w:line="276" w:lineRule="auto"/>
              <w:jc w:val="left"/>
              <w:rPr>
                <w:sz w:val="18"/>
                <w:szCs w:val="18"/>
              </w:rPr>
            </w:pPr>
            <w:r>
              <w:rPr>
                <w:sz w:val="18"/>
                <w:szCs w:val="20"/>
              </w:rPr>
              <w:t xml:space="preserve">O Item novo perde a marca de substância controlada (Portaria 344); a Natureza da Operação grava o IPI com o valor de Venda</w:t>
            </w:r>
          </w:p>
        </w:tc>
        <w:tc>
          <w:tcPr>
            <w:tcW w:w="3867" w:type="dxa"/>
          </w:tcPr>
          <w:p>
            <w:pPr>
              <w:widowControl/>
              <w:spacing w:after="0" w:line="276" w:lineRule="auto"/>
              <w:jc w:val="left"/>
              <w:rPr>
                <w:sz w:val="18"/>
                <w:szCs w:val="18"/>
              </w:rPr>
            </w:pPr>
            <w:r>
              <w:rPr>
                <w:sz w:val="18"/>
                <w:szCs w:val="20"/>
              </w:rPr>
              <w:t xml:space="preserve">Controlado fora dos relatórios especiais; imposto errado</w:t>
            </w:r>
          </w:p>
        </w:tc>
      </w:tr>
      <w:tr>
        <w:trPr>
          <w:cantSplit/>
        </w:trPr>
        <w:tc>
          <w:tcPr>
            <w:tcW w:w="5764" w:type="dxa"/>
          </w:tcPr>
          <w:p>
            <w:pPr>
              <w:widowControl/>
              <w:spacing w:after="0" w:line="276" w:lineRule="auto"/>
              <w:jc w:val="left"/>
              <w:rPr>
                <w:sz w:val="18"/>
                <w:szCs w:val="18"/>
              </w:rPr>
            </w:pPr>
            <w:r>
              <w:rPr>
                <w:sz w:val="18"/>
                <w:szCs w:val="20"/>
              </w:rPr>
              <w:t xml:space="preserve">Quem não tem permissão abre pelo endereço as 27 telas de cadastro e 14 telas operacionais, com o botão de gravar visível</w:t>
            </w:r>
          </w:p>
        </w:tc>
        <w:tc>
          <w:tcPr>
            <w:tcW w:w="3867" w:type="dxa"/>
          </w:tcPr>
          <w:p>
            <w:pPr>
              <w:widowControl/>
              <w:spacing w:after="0" w:line="276" w:lineRule="auto"/>
              <w:jc w:val="left"/>
              <w:rPr>
                <w:sz w:val="18"/>
                <w:szCs w:val="18"/>
              </w:rPr>
            </w:pPr>
            <w:r>
              <w:rPr>
                <w:sz w:val="18"/>
                <w:szCs w:val="20"/>
              </w:rPr>
              <w:t xml:space="preserve">Uso do sistema sem permissão (Guia 33/2020)</w:t>
            </w:r>
          </w:p>
        </w:tc>
      </w:tr>
    </w:tbl>
    <w:p>
      <w:pPr>
        <w:spacing w:after="0" w:line="252" w:lineRule="auto"/>
      </w:pPr>
    </w:p>
    <w:p>
      <w:pPr>
        <w:keepNext/>
        <w:spacing w:before="120" w:after="0" w:line="252" w:lineRule="auto"/>
        <w:rPr>
          <w:b/>
          <w:bCs/>
          <w:color w:val="1F497D" w:themeColor="text2"/>
          <w:szCs w:val="20"/>
        </w:rPr>
      </w:pPr>
      <w:r>
        <w:rPr>
          <w:b/>
          <w:bCs/>
          <w:color w:val="1F497D" w:themeColor="text2"/>
          <w:szCs w:val="20"/>
        </w:rPr>
        <w:t xml:space="preserve">O que já funciona bem</w:t>
      </w:r>
    </w:p>
    <w:p>
      <w:pPr>
        <w:spacing w:after="0" w:line="252" w:lineRule="auto"/>
        <w:rPr>
          <w:szCs w:val="20"/>
        </w:rPr>
      </w:pPr>
      <w:r>
        <w:rPr>
          <w:szCs w:val="20"/>
        </w:rPr>
        <w:t xml:space="preserve">Quem cadastra o recebimento não o autoriza; as entradas criam a quarentena e abrem a análise no CQ; reprovado e quarentena ficam fora do atendimento e da remessa; a movimentação recusa saldo insuficiente; o inventário ajusta o saldo.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200" w:after="0"/>
        <w:ind w:left="0" w:right="170" w:firstLine="0"/>
        <w:outlineLvl w:val="0"/>
        <w:rPr>
          <w:color w:val="000000" w:themeColor="text1"/>
        </w:rPr>
      </w:pPr>
      <w:r>
        <w:rPr>
          <w:rFonts w:eastAsia="Arial" w:cs="Arial"/>
          <w:b/>
          <w:color w:val="000000" w:themeColor="text1"/>
        </w:rPr>
        <w:t xml:space="preserve">QUINZE CORREÇÕES OBRIGATÓRIAS</w:t>
      </w:r>
    </w:p>
    <w:p>
      <w:pPr>
        <w:keepNext/>
        <w:spacing w:after="0" w:line="252" w:lineRule="auto"/>
      </w:pPr>
    </w:p>
    <w:p>
      <w:pPr>
        <w:spacing w:after="0" w:line="252" w:lineRule="auto"/>
        <w:rPr>
          <w:szCs w:val="20"/>
        </w:rPr>
      </w:pPr>
      <w:r>
        <w:rPr>
          <w:szCs w:val="20"/>
        </w:rPr>
        <w:t xml:space="preserve">(1) Gravar tudo ou nada: nenhuma tela mostra "sucesso" sem ter gravado; corrigir o Endereçamento. (2) Recebimento só de fornecedor qualificado, com decisão registrada da Qualidade para a exceção. (3) Recusar validade anterior a hoje em toda entrada e atender pelo lote que vence primeiro. (4) Entrada de produto acabado só com ordem de produção liberada. (5) Situação única do lote, mudada só pelo CQ, pela Pessoa Delegada ou pela Qualidade. (6) Liberação pela Pessoa Delegada, com assinatura eletrônica; reprovar exige motivo. (7) Histórico completo do lote. (8) Permissão conferida no servidor, em toda tela, e tela para aprovar o lote padrão. (9) Remessa (inclusive a de kit) que finaliza; quarentena com endereço completo. (10) Amostras de retenção com prazo de guarda e trava de saída. </w:t>
      </w:r>
      <w:r>
        <w:rPr>
          <w:b/>
          <w:bCs/>
          <w:szCs w:val="20"/>
        </w:rPr>
        <w:t xml:space="preserve">Das últimas rodadas:</w:t>
      </w:r>
      <w:r>
        <w:rPr>
          <w:szCs w:val="20"/>
        </w:rPr>
        <w:t xml:space="preserve"> (11) histórico de toda alteração e reversão, com valor antigo, novo e motivo; (12) cadastro em uso não se inativa nem se exclui, e o dado mestre grava certo; (13) relatórios que fecham com as telas e trazem a empresa certa; (14) inventário com separação de funções; (15) lote vencido não se aprova nem se movimenta sem decisão registrada da Qualidade.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200" w:after="0"/>
        <w:ind w:left="0" w:right="170" w:firstLine="0"/>
        <w:outlineLvl w:val="0"/>
        <w:rPr>
          <w:color w:val="000000" w:themeColor="text1"/>
        </w:rPr>
      </w:pPr>
      <w:r>
        <w:rPr>
          <w:rFonts w:eastAsia="Arial" w:cs="Arial"/>
          <w:b/>
          <w:color w:val="000000" w:themeColor="text1"/>
        </w:rPr>
        <w:t xml:space="preserve">FECHAMENTO DO MÓDULO (25/10/2026)</w:t>
      </w:r>
    </w:p>
    <w:p>
      <w:pPr>
        <w:keepNext/>
        <w:spacing w:after="0" w:line="252" w:lineRule="auto"/>
      </w:pPr>
    </w:p>
    <w:p>
      <w:pPr>
        <w:spacing w:after="0" w:line="252" w:lineRule="auto"/>
        <w:rPr>
          <w:szCs w:val="20"/>
        </w:rPr>
      </w:pPr>
      <w:r>
        <w:rPr>
          <w:b/>
          <w:bCs/>
          <w:szCs w:val="20"/>
        </w:rPr>
        <w:t xml:space="preserve">Veredito: o Estoque (legado, versão 3.5.1) não está apto para uso em ambiente regulado.</w:t>
      </w:r>
      <w:r>
        <w:rPr>
          <w:szCs w:val="20"/>
        </w:rPr>
        <w:t xml:space="preserve"> O critério de "apto" ainda não foi escrito com a Qualidade; o "não apto" vem só dos 55 defeitos de gravidade alta abertos e de nenhum dos 14 temas da norma ser atendido por completo.</w:t>
      </w:r>
    </w:p>
    <w:tbl>
      <w:tblPr>
        <w:tblStyle w:val="Tabelacomgrade"/>
        <w:tblW w:w="9631" w:type="dxa"/>
        <w:tblLayout w:type="fixed"/>
        <w:tblLook w:val="04A0" w:firstRow="1" w:lastRow="0" w:firstColumn="1" w:lastColumn="0" w:noHBand="0" w:noVBand="1"/>
      </w:tblPr>
      <w:tblGrid>
        <w:gridCol w:w="2095"/>
        <w:gridCol w:w="4656"/>
        <w:gridCol w:w="2880"/>
      </w:tblGrid>
      <w:tr>
        <w:trPr>
          <w:tblHeader/>
          <w:cantSplit/>
        </w:trPr>
        <w:tc>
          <w:tcPr>
            <w:tcW w:w="20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Quem</w:t>
            </w:r>
          </w:p>
        </w:tc>
        <w:tc>
          <w:tcPr>
            <w:tcW w:w="4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fazer</w:t>
            </w:r>
          </w:p>
        </w:tc>
        <w:tc>
          <w:tcPr>
            <w:tcW w:w="288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Destrava</w:t>
            </w:r>
          </w:p>
        </w:tc>
      </w:tr>
      <w:tr>
        <w:trPr>
          <w:cantSplit/>
        </w:trPr>
        <w:tc>
          <w:tcPr>
            <w:tcW w:w="2095" w:type="dxa"/>
          </w:tcPr>
          <w:p>
            <w:pPr>
              <w:widowControl/>
              <w:spacing w:after="0" w:line="276" w:lineRule="auto"/>
              <w:jc w:val="left"/>
              <w:rPr>
                <w:sz w:val="18"/>
                <w:szCs w:val="18"/>
              </w:rPr>
            </w:pPr>
            <w:r>
              <w:rPr>
                <w:sz w:val="18"/>
                <w:szCs w:val="20"/>
              </w:rPr>
              <w:t xml:space="preserve">DBA</w:t>
            </w:r>
          </w:p>
        </w:tc>
        <w:tc>
          <w:tcPr>
            <w:tcW w:w="4656" w:type="dxa"/>
          </w:tcPr>
          <w:p>
            <w:pPr>
              <w:widowControl/>
              <w:spacing w:after="0" w:line="276" w:lineRule="auto"/>
              <w:jc w:val="left"/>
              <w:rPr>
                <w:sz w:val="18"/>
                <w:szCs w:val="18"/>
              </w:rPr>
            </w:pPr>
            <w:r>
              <w:rPr>
                <w:sz w:val="18"/>
                <w:szCs w:val="20"/>
              </w:rPr>
              <w:t xml:space="preserve">Dizer qual instrução da rotina de finalização do recebimento falha (DV-EST-016) e o que há de diferente no lote TESTEPA001 (DV-EST-047)</w:t>
            </w:r>
          </w:p>
        </w:tc>
        <w:tc>
          <w:tcPr>
            <w:tcW w:w="2880" w:type="dxa"/>
          </w:tcPr>
          <w:p>
            <w:pPr>
              <w:widowControl/>
              <w:spacing w:after="0" w:line="276" w:lineRule="auto"/>
              <w:jc w:val="left"/>
              <w:rPr>
                <w:sz w:val="18"/>
                <w:szCs w:val="18"/>
              </w:rPr>
            </w:pPr>
            <w:r>
              <w:rPr>
                <w:sz w:val="18"/>
                <w:szCs w:val="20"/>
              </w:rPr>
              <w:t xml:space="preserve">Endereçamento do recebimento; saída da amostra</w:t>
            </w:r>
          </w:p>
        </w:tc>
      </w:tr>
      <w:tr>
        <w:trPr>
          <w:cantSplit/>
        </w:trPr>
        <w:tc>
          <w:tcPr>
            <w:tcW w:w="2095" w:type="dxa"/>
          </w:tcPr>
          <w:p>
            <w:pPr>
              <w:widowControl/>
              <w:spacing w:after="0" w:line="276" w:lineRule="auto"/>
              <w:jc w:val="left"/>
              <w:rPr>
                <w:sz w:val="18"/>
                <w:szCs w:val="18"/>
              </w:rPr>
            </w:pPr>
            <w:r>
              <w:rPr>
                <w:sz w:val="18"/>
                <w:szCs w:val="20"/>
              </w:rPr>
              <w:t xml:space="preserve">Produção</w:t>
            </w:r>
          </w:p>
        </w:tc>
        <w:tc>
          <w:tcPr>
            <w:tcW w:w="4656" w:type="dxa"/>
          </w:tcPr>
          <w:p>
            <w:pPr>
              <w:widowControl/>
              <w:spacing w:after="0" w:line="276" w:lineRule="auto"/>
              <w:jc w:val="left"/>
              <w:rPr>
                <w:sz w:val="18"/>
                <w:szCs w:val="18"/>
              </w:rPr>
            </w:pPr>
            <w:r>
              <w:rPr>
                <w:sz w:val="18"/>
                <w:szCs w:val="20"/>
              </w:rPr>
              <w:t xml:space="preserve">Ligar uma função à configuração 19 (e 28 e 29) para aprovar o Lote Padrão (DV-EST-076)</w:t>
            </w:r>
          </w:p>
        </w:tc>
        <w:tc>
          <w:tcPr>
            <w:tcW w:w="2880" w:type="dxa"/>
          </w:tcPr>
          <w:p>
            <w:pPr>
              <w:widowControl/>
              <w:spacing w:after="0" w:line="276" w:lineRule="auto"/>
              <w:jc w:val="left"/>
              <w:rPr>
                <w:sz w:val="18"/>
                <w:szCs w:val="18"/>
              </w:rPr>
            </w:pPr>
            <w:r>
              <w:rPr>
                <w:sz w:val="18"/>
                <w:szCs w:val="20"/>
              </w:rPr>
              <w:t xml:space="preserve">CT-EST-091 (alta), 082, 090 e 100</w:t>
            </w:r>
          </w:p>
        </w:tc>
      </w:tr>
      <w:tr>
        <w:trPr>
          <w:cantSplit/>
        </w:trPr>
        <w:tc>
          <w:tcPr>
            <w:tcW w:w="2095" w:type="dxa"/>
          </w:tcPr>
          <w:p>
            <w:pPr>
              <w:widowControl/>
              <w:spacing w:after="0" w:line="276" w:lineRule="auto"/>
              <w:jc w:val="left"/>
              <w:rPr>
                <w:sz w:val="18"/>
                <w:szCs w:val="18"/>
              </w:rPr>
            </w:pPr>
            <w:r>
              <w:rPr>
                <w:sz w:val="18"/>
                <w:szCs w:val="20"/>
              </w:rPr>
              <w:t xml:space="preserve">Desenvolvimento</w:t>
            </w:r>
          </w:p>
        </w:tc>
        <w:tc>
          <w:tcPr>
            <w:tcW w:w="4656" w:type="dxa"/>
          </w:tcPr>
          <w:p>
            <w:pPr>
              <w:widowControl/>
              <w:spacing w:after="0" w:line="276" w:lineRule="auto"/>
              <w:jc w:val="left"/>
              <w:rPr>
                <w:sz w:val="18"/>
                <w:szCs w:val="18"/>
              </w:rPr>
            </w:pPr>
            <w:r>
              <w:rPr>
                <w:sz w:val="18"/>
                <w:szCs w:val="20"/>
              </w:rPr>
              <w:t xml:space="preserve">Os 149 defeitos abertos, em especial os 55 de gravidade alta; antes, DV-EST-043, 005, 067, 077, 074 e 075</w:t>
            </w:r>
          </w:p>
        </w:tc>
        <w:tc>
          <w:tcPr>
            <w:tcW w:w="2880" w:type="dxa"/>
          </w:tcPr>
          <w:p>
            <w:pPr>
              <w:widowControl/>
              <w:spacing w:after="0" w:line="276" w:lineRule="auto"/>
              <w:jc w:val="left"/>
              <w:rPr>
                <w:sz w:val="18"/>
                <w:szCs w:val="18"/>
              </w:rPr>
            </w:pPr>
            <w:r>
              <w:rPr>
                <w:sz w:val="18"/>
                <w:szCs w:val="20"/>
              </w:rPr>
              <w:t xml:space="preserve">CT-EST-055 e 058 (alta), 192, 077, 164, 172 e 173</w:t>
            </w:r>
          </w:p>
        </w:tc>
      </w:tr>
    </w:tbl>
    <w:p>
      <w:pPr>
        <w:spacing w:after="0" w:line="252" w:lineRule="auto"/>
      </w:pPr>
    </w:p>
    <w:p>
      <w:pPr>
        <w:spacing w:after="0" w:line="252" w:lineRule="auto"/>
        <w:rPr>
          <w:szCs w:val="20"/>
        </w:rPr>
      </w:pPr>
      <w:r>
        <w:rPr>
          <w:b/>
          <w:bCs/>
          <w:szCs w:val="20"/>
        </w:rPr>
        <w:t xml:space="preserve">Decisão do responsável pelo projeto:</w:t>
      </w:r>
      <w:r>
        <w:rPr>
          <w:szCs w:val="20"/>
        </w:rPr>
        <w:t xml:space="preserve"> se o CT-EST-023 (acesso pelo endereço) volta ao escopo. </w:t>
      </w:r>
      <w:r>
        <w:rPr>
          <w:b/>
          <w:bCs/>
          <w:szCs w:val="20"/>
        </w:rPr>
        <w:t xml:space="preserve">Decisões pedidas à diretoria:</w:t>
      </w:r>
      <w:r>
        <w:rPr>
          <w:szCs w:val="20"/>
        </w:rPr>
        <w:t xml:space="preserve"> (1) aprovar as quinze correções como condição para o sistema entrar em uso; (2) definir quem é a Pessoa Delegada e se a liberação do lote é a aprovação do laudo ou uma etapa a mais; (3) decidir com a Qualidade o que é fornecedor aprovado, se a sobra devolvida precisa de nova análise e o prazo das amostras de retenção.</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Resumo Executivo do módulo Estoque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Resumo Executivo do módulo Estoque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