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Pré Avaliação Relatório Desvios: Anvisa</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ANVISA: O QUE A NORMA EXIGE DESTA TELA</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A ANVISA espera que, nesta etapa, a validade e a extensão do desvio sejam documentadas e avaliadas pelo risco, para decidir o nível de investigação, e que as decisões e as comunicações internas fiquem registradas.</w:t>
      </w:r>
    </w:p>
    <w:p>
      <w:pPr>
        <w:keepNext/>
        <w:spacing w:before="120" w:after="0" w:line="360" w:lineRule="auto"/>
        <w:rPr>
          <w:b/>
          <w:bCs/>
          <w:szCs w:val="20"/>
        </w:rPr>
      </w:pPr>
      <w:r>
        <w:rPr>
          <w:b/>
          <w:bCs/>
          <w:szCs w:val="20"/>
        </w:rPr>
        <w:t xml:space="preserve">O que a norma exige e o que a tela faz</w:t>
      </w:r>
    </w:p>
    <w:tbl>
      <w:tblPr>
        <w:tblStyle w:val="Tabelacomgrade"/>
        <w:tblW w:w="9631" w:type="dxa"/>
        <w:tblLayout w:type="fixed"/>
        <w:tblLook w:val="04A0" w:firstRow="1" w:lastRow="0" w:firstColumn="1" w:lastColumn="0" w:noHBand="0" w:noVBand="1"/>
      </w:tblPr>
      <w:tblGrid>
        <w:gridCol w:w="2698"/>
        <w:gridCol w:w="1239"/>
        <w:gridCol w:w="4445"/>
        <w:gridCol w:w="1249"/>
      </w:tblGrid>
      <w:tr>
        <w:trPr>
          <w:tblHeader/>
          <w:cantSplit/>
        </w:trPr>
        <w:tc>
          <w:tcPr>
            <w:tcW w:w="26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Exigência</w:t>
            </w:r>
          </w:p>
        </w:tc>
        <w:tc>
          <w:tcPr>
            <w:tcW w:w="12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Artigo</w:t>
            </w:r>
          </w:p>
        </w:tc>
        <w:tc>
          <w:tcPr>
            <w:tcW w:w="44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faz hoje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2698" w:type="dxa"/>
          </w:tcPr>
          <w:p>
            <w:pPr>
              <w:widowControl/>
              <w:spacing w:after="0" w:line="276" w:lineRule="auto"/>
              <w:jc w:val="left"/>
              <w:rPr>
                <w:sz w:val="18"/>
                <w:szCs w:val="18"/>
              </w:rPr>
            </w:pPr>
            <w:r>
              <w:rPr>
                <w:sz w:val="18"/>
                <w:szCs w:val="20"/>
              </w:rPr>
              <w:t xml:space="preserve">"A validade e a extensão de todos os desvios de qualidade relatados devem ser documentadas e avaliadas de acordo com os princípios do Gerenciamento de Riscos da Qualidade, a fim de apoiar decisões relativas ao nível das investigações e ações adotadas."</w:t>
            </w:r>
          </w:p>
        </w:tc>
        <w:tc>
          <w:tcPr>
            <w:tcW w:w="1239" w:type="dxa"/>
          </w:tcPr>
          <w:p>
            <w:pPr>
              <w:widowControl/>
              <w:spacing w:after="0" w:line="276" w:lineRule="auto"/>
              <w:jc w:val="left"/>
              <w:rPr>
                <w:sz w:val="18"/>
                <w:szCs w:val="18"/>
              </w:rPr>
            </w:pPr>
            <w:r>
              <w:rPr>
                <w:sz w:val="18"/>
                <w:szCs w:val="20"/>
              </w:rPr>
              <w:t xml:space="preserve">Art. 334</w:t>
            </w:r>
          </w:p>
        </w:tc>
        <w:tc>
          <w:tcPr>
            <w:tcW w:w="4445" w:type="dxa"/>
          </w:tcPr>
          <w:p>
            <w:pPr>
              <w:widowControl/>
              <w:spacing w:after="0" w:line="276" w:lineRule="auto"/>
              <w:jc w:val="left"/>
              <w:rPr>
                <w:sz w:val="18"/>
                <w:szCs w:val="18"/>
              </w:rPr>
            </w:pPr>
            <w:r>
              <w:rPr>
                <w:sz w:val="18"/>
                <w:szCs w:val="20"/>
              </w:rPr>
              <w:t xml:space="preserve">Registra o meio de detecção, a observação do chefe da GQ e as áreas envolvidas (RN-GQ-023; RN-GQ-024; RN-GQ-D03-007). Não há classificação de risco nem de criticidade; a tela de consulta antiga tem os botões de criticidade, mas nunca são preenchidos (RN-GQ-028). Em 21/10/2026: o meio Outros sem texto foi recusado (CT-GQ-009); continua sem classificação de risco ou de criticidade.</w:t>
            </w:r>
          </w:p>
        </w:tc>
        <w:tc>
          <w:tcPr>
            <w:tcW w:w="1249" w:type="dxa"/>
          </w:tcPr>
          <w:p>
            <w:pPr>
              <w:widowControl/>
              <w:spacing w:after="0" w:line="276" w:lineRule="auto"/>
              <w:jc w:val="left"/>
              <w:rPr>
                <w:sz w:val="18"/>
                <w:szCs w:val="18"/>
              </w:rPr>
            </w:pPr>
            <w:r>
              <w:rPr>
                <w:sz w:val="18"/>
                <w:szCs w:val="20"/>
              </w:rPr>
              <w:t xml:space="preserve">Atende em parte</w:t>
            </w:r>
          </w:p>
        </w:tc>
      </w:tr>
      <w:tr>
        <w:trPr>
          <w:cantSplit/>
        </w:trPr>
        <w:tc>
          <w:tcPr>
            <w:tcW w:w="2698" w:type="dxa"/>
          </w:tcPr>
          <w:p>
            <w:pPr>
              <w:widowControl/>
              <w:spacing w:after="0" w:line="276" w:lineRule="auto"/>
              <w:jc w:val="left"/>
              <w:rPr>
                <w:sz w:val="18"/>
                <w:szCs w:val="18"/>
              </w:rPr>
            </w:pPr>
            <w:r>
              <w:rPr>
                <w:sz w:val="18"/>
                <w:szCs w:val="20"/>
              </w:rPr>
              <w:t xml:space="preserve">"Os princípios de Gerenciamento de Risco da Qualidade devem ser aplicados à investigação e avaliação de desvios de qualidade, e ao processo de tomada de decisão para ações corretivas, preventivas e outras ações de redução de riscos em relação ao produto."</w:t>
            </w:r>
          </w:p>
        </w:tc>
        <w:tc>
          <w:tcPr>
            <w:tcW w:w="1239" w:type="dxa"/>
          </w:tcPr>
          <w:p>
            <w:pPr>
              <w:widowControl/>
              <w:spacing w:after="0" w:line="276" w:lineRule="auto"/>
              <w:jc w:val="left"/>
              <w:rPr>
                <w:sz w:val="18"/>
                <w:szCs w:val="18"/>
              </w:rPr>
            </w:pPr>
            <w:r>
              <w:rPr>
                <w:sz w:val="18"/>
                <w:szCs w:val="20"/>
              </w:rPr>
              <w:t xml:space="preserve">Art. 320</w:t>
            </w:r>
          </w:p>
        </w:tc>
        <w:tc>
          <w:tcPr>
            <w:tcW w:w="4445" w:type="dxa"/>
          </w:tcPr>
          <w:p>
            <w:pPr>
              <w:widowControl/>
              <w:spacing w:after="0" w:line="276" w:lineRule="auto"/>
              <w:jc w:val="left"/>
              <w:rPr>
                <w:sz w:val="18"/>
                <w:szCs w:val="18"/>
              </w:rPr>
            </w:pPr>
            <w:r>
              <w:rPr>
                <w:sz w:val="18"/>
                <w:szCs w:val="20"/>
              </w:rPr>
              <w:t xml:space="preserve">A pré-avaliação não pede risco, impacto no lote nem prazo (RN-GQ-028; Falhas e pontos de atenção da página)</w:t>
            </w:r>
          </w:p>
        </w:tc>
        <w:tc>
          <w:tcPr>
            <w:tcW w:w="1249" w:type="dxa"/>
          </w:tcPr>
          <w:p>
            <w:pPr>
              <w:widowControl/>
              <w:spacing w:after="0" w:line="276" w:lineRule="auto"/>
              <w:jc w:val="left"/>
              <w:rPr>
                <w:sz w:val="18"/>
                <w:szCs w:val="18"/>
              </w:rPr>
            </w:pPr>
            <w:r>
              <w:rPr>
                <w:sz w:val="18"/>
                <w:szCs w:val="20"/>
              </w:rPr>
              <w:t xml:space="preserve">Não atende</w:t>
            </w:r>
          </w:p>
        </w:tc>
      </w:tr>
      <w:tr>
        <w:trPr>
          <w:cantSplit/>
        </w:trPr>
        <w:tc>
          <w:tcPr>
            <w:tcW w:w="2698" w:type="dxa"/>
          </w:tcPr>
          <w:p>
            <w:pPr>
              <w:widowControl/>
              <w:spacing w:after="0" w:line="276" w:lineRule="auto"/>
              <w:jc w:val="left"/>
              <w:rPr>
                <w:sz w:val="18"/>
                <w:szCs w:val="18"/>
              </w:rPr>
            </w:pPr>
            <w:r>
              <w:rPr>
                <w:sz w:val="18"/>
                <w:szCs w:val="20"/>
              </w:rPr>
              <w:t xml:space="preserve">"comunicações internas e externas que devem ser realizadas em relação a um desvio de qualidade e sua investigação;"</w:t>
            </w:r>
          </w:p>
        </w:tc>
        <w:tc>
          <w:tcPr>
            <w:tcW w:w="1239" w:type="dxa"/>
          </w:tcPr>
          <w:p>
            <w:pPr>
              <w:widowControl/>
              <w:spacing w:after="0" w:line="276" w:lineRule="auto"/>
              <w:jc w:val="left"/>
              <w:rPr>
                <w:sz w:val="18"/>
                <w:szCs w:val="18"/>
              </w:rPr>
            </w:pPr>
            <w:r>
              <w:rPr>
                <w:sz w:val="18"/>
                <w:szCs w:val="20"/>
              </w:rPr>
              <w:t xml:space="preserve">Art. 332, VIII</w:t>
            </w:r>
          </w:p>
        </w:tc>
        <w:tc>
          <w:tcPr>
            <w:tcW w:w="4445" w:type="dxa"/>
          </w:tcPr>
          <w:p>
            <w:pPr>
              <w:widowControl/>
              <w:spacing w:after="0" w:line="276" w:lineRule="auto"/>
              <w:jc w:val="left"/>
              <w:rPr>
                <w:sz w:val="18"/>
                <w:szCs w:val="18"/>
              </w:rPr>
            </w:pPr>
            <w:r>
              <w:rPr>
                <w:sz w:val="18"/>
                <w:szCs w:val="20"/>
              </w:rPr>
              <w:t xml:space="preserve">A GQ marca as áreas que devem opinar e elas passam a ver o desvio na sua lista (RN-GQ-025). Não há aviso por e-mail nem mensagem (RN-GQ-009), nem comunicação externa. Confirmado em 21/10/2026 (CT-GQ-010 e CT-GQ-N03-014): com duas áreas marcadas, o desvio foi a Pendente Responsável Área e cada área o viu na sua lista.</w:t>
            </w:r>
          </w:p>
        </w:tc>
        <w:tc>
          <w:tcPr>
            <w:tcW w:w="1249" w:type="dxa"/>
          </w:tcPr>
          <w:p>
            <w:pPr>
              <w:widowControl/>
              <w:spacing w:after="0" w:line="276" w:lineRule="auto"/>
              <w:jc w:val="left"/>
              <w:rPr>
                <w:sz w:val="18"/>
                <w:szCs w:val="18"/>
              </w:rPr>
            </w:pPr>
            <w:r>
              <w:rPr>
                <w:sz w:val="18"/>
                <w:szCs w:val="20"/>
              </w:rPr>
              <w:t xml:space="preserve">Atende em parte</w:t>
            </w:r>
          </w:p>
        </w:tc>
      </w:tr>
      <w:tr>
        <w:trPr>
          <w:cantSplit/>
        </w:trPr>
        <w:tc>
          <w:tcPr>
            <w:tcW w:w="2698" w:type="dxa"/>
          </w:tcPr>
          <w:p>
            <w:pPr>
              <w:widowControl/>
              <w:spacing w:after="0" w:line="276" w:lineRule="auto"/>
              <w:jc w:val="left"/>
              <w:rPr>
                <w:sz w:val="18"/>
                <w:szCs w:val="18"/>
              </w:rPr>
            </w:pPr>
            <w:r>
              <w:rPr>
                <w:sz w:val="18"/>
                <w:szCs w:val="20"/>
              </w:rPr>
              <w:t xml:space="preserve">"As investigações sobre desvios de qualidade devem incluir revisão de registros de desvios de qualidade anteriores ou qualquer outra informação relevante para qualquer indicativo de problemas específicos ou recorrentes que exijam atenção e, possivelmente, outras ações regulamentares."</w:t>
            </w:r>
          </w:p>
        </w:tc>
        <w:tc>
          <w:tcPr>
            <w:tcW w:w="1239" w:type="dxa"/>
          </w:tcPr>
          <w:p>
            <w:pPr>
              <w:widowControl/>
              <w:spacing w:after="0" w:line="276" w:lineRule="auto"/>
              <w:jc w:val="left"/>
              <w:rPr>
                <w:sz w:val="18"/>
                <w:szCs w:val="18"/>
              </w:rPr>
            </w:pPr>
            <w:r>
              <w:rPr>
                <w:sz w:val="18"/>
                <w:szCs w:val="20"/>
              </w:rPr>
              <w:t xml:space="preserve">Art. 336</w:t>
            </w:r>
          </w:p>
        </w:tc>
        <w:tc>
          <w:tcPr>
            <w:tcW w:w="4445" w:type="dxa"/>
          </w:tcPr>
          <w:p>
            <w:pPr>
              <w:widowControl/>
              <w:spacing w:after="0" w:line="276" w:lineRule="auto"/>
              <w:jc w:val="left"/>
              <w:rPr>
                <w:sz w:val="18"/>
                <w:szCs w:val="18"/>
              </w:rPr>
            </w:pPr>
            <w:r>
              <w:rPr>
                <w:sz w:val="18"/>
                <w:szCs w:val="20"/>
              </w:rPr>
              <w:t xml:space="preserve">As páginas desta tela não registram consulta a desvios anteriores. O mapa 04 marca o tema como "A verificar" e não há teste a respeito</w:t>
            </w:r>
          </w:p>
        </w:tc>
        <w:tc>
          <w:tcPr>
            <w:tcW w:w="1249" w:type="dxa"/>
          </w:tcPr>
          <w:p>
            <w:pPr>
              <w:widowControl/>
              <w:spacing w:after="0" w:line="276" w:lineRule="auto"/>
              <w:jc w:val="left"/>
              <w:rPr>
                <w:sz w:val="18"/>
                <w:szCs w:val="18"/>
              </w:rPr>
            </w:pPr>
            <w:r>
              <w:rPr>
                <w:sz w:val="18"/>
                <w:szCs w:val="20"/>
              </w:rPr>
              <w:t xml:space="preserve">A verificar</w:t>
            </w:r>
          </w:p>
        </w:tc>
      </w:tr>
      <w:tr>
        <w:trPr>
          <w:cantSplit/>
        </w:trPr>
        <w:tc>
          <w:tcPr>
            <w:tcW w:w="2698" w:type="dxa"/>
          </w:tcPr>
          <w:p>
            <w:pPr>
              <w:widowControl/>
              <w:spacing w:after="0" w:line="276" w:lineRule="auto"/>
              <w:jc w:val="left"/>
              <w:rPr>
                <w:sz w:val="18"/>
                <w:szCs w:val="18"/>
              </w:rPr>
            </w:pPr>
            <w:r>
              <w:rPr>
                <w:sz w:val="18"/>
                <w:szCs w:val="20"/>
              </w:rPr>
              <w:t xml:space="preserve">"Todas as decisões e medidas tomadas como resultado de um desvio de qualidade devem ser documentadas."</w:t>
            </w:r>
          </w:p>
        </w:tc>
        <w:tc>
          <w:tcPr>
            <w:tcW w:w="1239" w:type="dxa"/>
          </w:tcPr>
          <w:p>
            <w:pPr>
              <w:widowControl/>
              <w:spacing w:after="0" w:line="276" w:lineRule="auto"/>
              <w:jc w:val="left"/>
              <w:rPr>
                <w:sz w:val="18"/>
                <w:szCs w:val="18"/>
              </w:rPr>
            </w:pPr>
            <w:r>
              <w:rPr>
                <w:sz w:val="18"/>
                <w:szCs w:val="20"/>
              </w:rPr>
              <w:t xml:space="preserve">Art. 337, § 3º</w:t>
            </w:r>
          </w:p>
        </w:tc>
        <w:tc>
          <w:tcPr>
            <w:tcW w:w="4445" w:type="dxa"/>
          </w:tcPr>
          <w:p>
            <w:pPr>
              <w:widowControl/>
              <w:spacing w:after="0" w:line="276" w:lineRule="auto"/>
              <w:jc w:val="left"/>
              <w:rPr>
                <w:sz w:val="18"/>
                <w:szCs w:val="18"/>
              </w:rPr>
            </w:pPr>
            <w:r>
              <w:rPr>
                <w:sz w:val="18"/>
                <w:szCs w:val="20"/>
              </w:rPr>
              <w:t xml:space="preserve">A decisão de quais áreas opinam é gravada em registro próprio por área, mas sem o usuário que marcou nem quando (RN-GQ-D03-007). Salvar de novo pode duplicar áreas. Não há como recusar o desvio por esta tela. Confirmado em 21/10/2026: o histórico do desvio não traz as áreas envolvidas marcadas (CT-GQ-F04; DV-GQ-036).</w:t>
            </w:r>
          </w:p>
        </w:tc>
        <w:tc>
          <w:tcPr>
            <w:tcW w:w="1249" w:type="dxa"/>
          </w:tcPr>
          <w:p>
            <w:pPr>
              <w:widowControl/>
              <w:spacing w:after="0" w:line="276" w:lineRule="auto"/>
              <w:jc w:val="left"/>
              <w:rPr>
                <w:sz w:val="18"/>
                <w:szCs w:val="18"/>
              </w:rPr>
            </w:pPr>
            <w:r>
              <w:rPr>
                <w:sz w:val="18"/>
                <w:szCs w:val="20"/>
              </w:rPr>
              <w:t xml:space="preserve">Atende em parte</w:t>
            </w:r>
          </w:p>
        </w:tc>
      </w:tr>
      <w:tr>
        <w:trPr>
          <w:cantSplit/>
        </w:trPr>
        <w:tc>
          <w:tcPr>
            <w:tcW w:w="2698" w:type="dxa"/>
          </w:tcPr>
          <w:p>
            <w:pPr>
              <w:widowControl/>
              <w:spacing w:after="0" w:line="276" w:lineRule="auto"/>
              <w:jc w:val="left"/>
              <w:rPr>
                <w:sz w:val="18"/>
                <w:szCs w:val="18"/>
              </w:rPr>
            </w:pPr>
            <w:r>
              <w:rPr>
                <w:sz w:val="18"/>
                <w:szCs w:val="20"/>
              </w:rPr>
              <w:t xml:space="preserve">"Toda a alteração feita no registro de um documento deve ser assinada e datada, devendo permitir a leitura da informação original."</w:t>
            </w:r>
          </w:p>
        </w:tc>
        <w:tc>
          <w:tcPr>
            <w:tcW w:w="1239" w:type="dxa"/>
          </w:tcPr>
          <w:p>
            <w:pPr>
              <w:widowControl/>
              <w:spacing w:after="0" w:line="276" w:lineRule="auto"/>
              <w:jc w:val="left"/>
              <w:rPr>
                <w:sz w:val="18"/>
                <w:szCs w:val="18"/>
              </w:rPr>
            </w:pPr>
            <w:r>
              <w:rPr>
                <w:sz w:val="18"/>
                <w:szCs w:val="20"/>
              </w:rPr>
              <w:t xml:space="preserve">Art. 125</w:t>
            </w:r>
          </w:p>
        </w:tc>
        <w:tc>
          <w:tcPr>
            <w:tcW w:w="4445" w:type="dxa"/>
          </w:tcPr>
          <w:p>
            <w:pPr>
              <w:widowControl/>
              <w:spacing w:after="0" w:line="276" w:lineRule="auto"/>
              <w:jc w:val="left"/>
              <w:rPr>
                <w:sz w:val="18"/>
                <w:szCs w:val="18"/>
              </w:rPr>
            </w:pPr>
            <w:r>
              <w:rPr>
                <w:sz w:val="18"/>
                <w:szCs w:val="20"/>
              </w:rPr>
              <w:t xml:space="preserve">Salvar grava um registro por campo alterado do desvio, com valor antigo e novo, usuário, data e hora (RN-GQ-D03-008; HSolutions.GQ.UI/Areas/Bloco2/Controllers/PreAvaliacaoRNCController.cs:370). A pré-avaliação nova e as áreas novas não deixam registro de inclusão (Inferência, a confirmar). Quem pré-avalia pode mudar o relato original sem aviso (RN-GQ-D03-010). Em 21/10/2026 o histórico de um desvio editado muitas vezes omitiu as áreas envolvidas e outros conteúdos das etapas (DV-GQ-036).</w:t>
            </w:r>
          </w:p>
        </w:tc>
        <w:tc>
          <w:tcPr>
            <w:tcW w:w="1249" w:type="dxa"/>
          </w:tcPr>
          <w:p>
            <w:pPr>
              <w:widowControl/>
              <w:spacing w:after="0" w:line="276" w:lineRule="auto"/>
              <w:jc w:val="left"/>
              <w:rPr>
                <w:sz w:val="18"/>
                <w:szCs w:val="18"/>
              </w:rPr>
            </w:pPr>
            <w:r>
              <w:rPr>
                <w:sz w:val="18"/>
                <w:szCs w:val="20"/>
              </w:rPr>
              <w:t xml:space="preserve">Atende em parte</w:t>
            </w:r>
          </w:p>
        </w:tc>
      </w:tr>
      <w:tr>
        <w:trPr>
          <w:cantSplit/>
        </w:trPr>
        <w:tc>
          <w:tcPr>
            <w:tcW w:w="2698" w:type="dxa"/>
          </w:tcPr>
          <w:p>
            <w:pPr>
              <w:widowControl/>
              <w:spacing w:after="0" w:line="276" w:lineRule="auto"/>
              <w:jc w:val="left"/>
              <w:rPr>
                <w:sz w:val="18"/>
                <w:szCs w:val="18"/>
              </w:rPr>
            </w:pPr>
            <w:r>
              <w:rPr>
                <w:sz w:val="18"/>
                <w:szCs w:val="20"/>
              </w:rPr>
              <w:t xml:space="preserve">"Quando apropriado, o motivo da alteração deve ser registrado."</w:t>
            </w:r>
          </w:p>
        </w:tc>
        <w:tc>
          <w:tcPr>
            <w:tcW w:w="1239" w:type="dxa"/>
          </w:tcPr>
          <w:p>
            <w:pPr>
              <w:widowControl/>
              <w:spacing w:after="0" w:line="276" w:lineRule="auto"/>
              <w:jc w:val="left"/>
              <w:rPr>
                <w:sz w:val="18"/>
                <w:szCs w:val="18"/>
              </w:rPr>
            </w:pPr>
            <w:r>
              <w:rPr>
                <w:sz w:val="18"/>
                <w:szCs w:val="20"/>
              </w:rPr>
              <w:t xml:space="preserve">Art. 125, parágrafo único</w:t>
            </w:r>
          </w:p>
        </w:tc>
        <w:tc>
          <w:tcPr>
            <w:tcW w:w="4445" w:type="dxa"/>
          </w:tcPr>
          <w:p>
            <w:pPr>
              <w:widowControl/>
              <w:spacing w:after="0" w:line="276" w:lineRule="auto"/>
              <w:jc w:val="left"/>
              <w:rPr>
                <w:sz w:val="18"/>
                <w:szCs w:val="18"/>
              </w:rPr>
            </w:pPr>
            <w:r>
              <w:rPr>
                <w:sz w:val="18"/>
                <w:szCs w:val="20"/>
              </w:rPr>
              <w:t xml:space="preserve">A justificativa é exigida já na primeira pré-avaliação, mas não aparece na coluna Justificativa do histórico (RN-GQ-D03-004)</w:t>
            </w:r>
          </w:p>
        </w:tc>
        <w:tc>
          <w:tcPr>
            <w:tcW w:w="1249" w:type="dxa"/>
          </w:tcPr>
          <w:p>
            <w:pPr>
              <w:widowControl/>
              <w:spacing w:after="0" w:line="276" w:lineRule="auto"/>
              <w:jc w:val="left"/>
              <w:rPr>
                <w:sz w:val="18"/>
                <w:szCs w:val="18"/>
              </w:rPr>
            </w:pPr>
            <w:r>
              <w:rPr>
                <w:sz w:val="18"/>
                <w:szCs w:val="20"/>
              </w:rPr>
              <w:t xml:space="preserve">Atende em parte</w:t>
            </w:r>
          </w:p>
        </w:tc>
      </w:tr>
      <w:tr>
        <w:trPr>
          <w:cantSplit/>
        </w:trPr>
        <w:tc>
          <w:tcPr>
            <w:tcW w:w="2698" w:type="dxa"/>
          </w:tcPr>
          <w:p>
            <w:pPr>
              <w:widowControl/>
              <w:spacing w:after="0" w:line="276" w:lineRule="auto"/>
              <w:jc w:val="left"/>
              <w:rPr>
                <w:sz w:val="18"/>
                <w:szCs w:val="18"/>
              </w:rPr>
            </w:pPr>
            <w:r>
              <w:rPr>
                <w:sz w:val="18"/>
                <w:szCs w:val="20"/>
              </w:rPr>
              <w:t xml:space="preserve">"Os registros devem ser realizados ou completados sempre que uma ação for realizada e de modo a permitir que todas as atividades significativas relativas à fabricação de medicamentos sejam rastreáveis."</w:t>
            </w:r>
          </w:p>
        </w:tc>
        <w:tc>
          <w:tcPr>
            <w:tcW w:w="1239" w:type="dxa"/>
          </w:tcPr>
          <w:p>
            <w:pPr>
              <w:widowControl/>
              <w:spacing w:after="0" w:line="276" w:lineRule="auto"/>
              <w:jc w:val="left"/>
              <w:rPr>
                <w:sz w:val="18"/>
                <w:szCs w:val="18"/>
              </w:rPr>
            </w:pPr>
            <w:r>
              <w:rPr>
                <w:sz w:val="18"/>
                <w:szCs w:val="20"/>
              </w:rPr>
              <w:t xml:space="preserve">Art. 124</w:t>
            </w:r>
          </w:p>
        </w:tc>
        <w:tc>
          <w:tcPr>
            <w:tcW w:w="4445" w:type="dxa"/>
          </w:tcPr>
          <w:p>
            <w:pPr>
              <w:widowControl/>
              <w:spacing w:after="0" w:line="276" w:lineRule="auto"/>
              <w:jc w:val="left"/>
              <w:rPr>
                <w:sz w:val="18"/>
                <w:szCs w:val="18"/>
              </w:rPr>
            </w:pPr>
            <w:r>
              <w:rPr>
                <w:sz w:val="18"/>
                <w:szCs w:val="20"/>
              </w:rPr>
              <w:t xml:space="preserve">A data e a hora da pré-avaliação vêm da tela, e não do relógio do servidor (RN-GQ-026; RN-GQ-007; HSolutions.GQ.UI/Areas/Bloco2/Controllers/PreAvaliacaoRNCController.cs:242). Ainda não testado (CT-GQ-N03-016). Em 21/10/2026 o caso CT-GQ-N03-016 ficou bloqueado: a data alterada foi salva sem erro, mas nenhuma tela mostra o valor gravado; a conclusão segue em aberto.</w:t>
            </w:r>
          </w:p>
        </w:tc>
        <w:tc>
          <w:tcPr>
            <w:tcW w:w="1249" w:type="dxa"/>
          </w:tcPr>
          <w:p>
            <w:pPr>
              <w:widowControl/>
              <w:spacing w:after="0" w:line="276" w:lineRule="auto"/>
              <w:jc w:val="left"/>
              <w:rPr>
                <w:sz w:val="18"/>
                <w:szCs w:val="18"/>
              </w:rPr>
            </w:pPr>
            <w:r>
              <w:rPr>
                <w:sz w:val="18"/>
                <w:szCs w:val="20"/>
              </w:rPr>
              <w:t xml:space="preserve">A verificar</w:t>
            </w:r>
          </w:p>
        </w:tc>
      </w:tr>
    </w:tbl>
    <w:p>
      <w:pPr>
        <w:spacing w:after="0" w:line="360" w:lineRule="auto"/>
      </w:pPr>
    </w:p>
    <w:p>
      <w:pPr>
        <w:spacing w:after="0" w:line="360" w:lineRule="auto"/>
        <w:rPr>
          <w:szCs w:val="20"/>
        </w:rPr>
      </w:pPr>
      <w:r>
        <w:rPr>
          <w:szCs w:val="20"/>
        </w:rPr>
        <w:t xml:space="preserve">Divergência: o mapa 04-conformidade-regulatoria.md classifica o Art. 334 e o Art. 320 como "Atende em parte" (criticidade só no CAPA). Aqui, o Art. 334 fica "Atende em parte" porque a etapa documenta validade e extensão sem risco, e o Art. 320 fica "Não atende" porque a tela não aplica nenhum princípio de gestão de risco. O mapa 04 marcava o motivo da alteração (Art. 125, parágrafo único) como "A verificar"; pela leitura do código, a justificativa é exigida, mas fica fora da coluna própria do histórico.</w:t>
      </w:r>
    </w:p>
    <w:p>
      <w:pPr>
        <w:keepNext/>
        <w:spacing w:before="120" w:after="0" w:line="360" w:lineRule="auto"/>
        <w:rPr>
          <w:b/>
          <w:bCs/>
          <w:szCs w:val="20"/>
        </w:rPr>
      </w:pPr>
      <w:r>
        <w:rPr>
          <w:b/>
          <w:bCs/>
          <w:szCs w:val="20"/>
        </w:rPr>
        <w:t xml:space="preserve">O que um inspetor perguntaria nesta etapa</w:t>
      </w:r>
    </w:p>
    <w:p>
      <w:pPr>
        <w:spacing w:after="0" w:line="360" w:lineRule="auto"/>
        <w:rPr>
          <w:szCs w:val="20"/>
        </w:rPr>
      </w:pPr>
      <w:r>
        <w:rPr>
          <w:szCs w:val="20"/>
        </w:rPr>
        <w:t xml:space="preserve">Inferência da análise, a validar com Assuntos Regulatórios.</w:t>
      </w:r>
    </w:p>
    <w:p>
      <w:pPr>
        <w:spacing w:after="0" w:line="360" w:lineRule="auto"/>
        <w:rPr>
          <w:szCs w:val="20"/>
        </w:rPr>
      </w:pPr>
      <w:r>
        <w:rPr>
          <w:szCs w:val="20"/>
        </w:rPr>
        <w:t xml:space="preserve">1. Como foi avaliada a gravidade deste desvio e quem decidiu o nível de investigação? O sistema mostra isso hoje? Não. Não há classificação de risco nem de criticidade nesta etapa. 2. Quais áreas foram chamadas a opinar, por quem e quando? O sistema mostra isso hoje? Em parte. Mostra as áreas marcadas, mas não quem as marcou nem quando (RN-GQ-D03-007). Em 21/10/2026 o histórico do desvio também não trouxe as áreas marcadas (DV-GQ-036). 3. Foram revistos desvios anteriores parecidos com este? O sistema mostra isso hoje? Não. A tela não tem consulta a desvios anteriores, e a revisão das páginas não achou outro lugar para isso nesta etapa. 4. Como o desvio foi detectado? O sistema mostra isso hoje? Sim. O meio de detecção é obrigatório e fica gravado no desvio (RN-GQ-023); em 21/10/2026, o meio Outros sem texto foi recusado (CT-GQ-009). A tela de consulta antiga mostra rótulos que não conferem (RN-GQ-D03-012). 5. Alguém mudou o relato original durante a pré-avaliação? O sistema mostra isso hoje? Em parte. O histórico registra a mudança, com valor antigo e novo, mas a tela não avisa e o responsável do desvio passa a ser quem pré-avaliou (RN-GQ-D03-009, RN-GQ-D03-010). Em 21/10/2026 o histórico do RD 048/26 omitiu parte do conteúdo (DV-GQ-036). 6. Quando a pré-avaliação foi feita? O sistema mostra isso hoje? Em parte. A data é a enviada pelo navegador (RN-GQ-026). Em 21/10/2026 o CT-GQ-N03-016 ficou bloqueado: a data alterada foi salva, mas nenhuma tela mostra o valor gravado.</w:t>
      </w:r>
    </w:p>
    <w:p>
      <w:pPr>
        <w:keepNext/>
        <w:spacing w:before="120" w:after="0" w:line="360" w:lineRule="auto"/>
        <w:rPr>
          <w:b/>
          <w:bCs/>
          <w:szCs w:val="20"/>
        </w:rPr>
      </w:pPr>
      <w:r>
        <w:rPr>
          <w:b/>
          <w:bCs/>
          <w:szCs w:val="20"/>
        </w:rPr>
        <w:t xml:space="preserve">Lacunas para a versão corrigida</w:t>
      </w:r>
    </w:p>
    <w:p>
      <w:pPr>
        <w:numPr>
          <w:ilvl w:val="0"/>
          <w:numId w:val="2"/>
        </w:numPr>
        <w:spacing w:after="0" w:line="360" w:lineRule="auto"/>
        <w:rPr>
          <w:szCs w:val="20"/>
        </w:rPr>
      </w:pPr>
      <w:r>
        <w:rPr>
          <w:szCs w:val="20"/>
        </w:rPr>
        <w:t xml:space="preserve">Incluir a classificação de risco e de criticidade na pré-avaliação, com a decisão sobre o nível de investigação (RN-GQ-028).</w:t>
      </w:r>
    </w:p>
    <w:p>
      <w:pPr>
        <w:numPr>
          <w:ilvl w:val="0"/>
          <w:numId w:val="2"/>
        </w:numPr>
        <w:spacing w:after="0" w:line="360" w:lineRule="auto"/>
        <w:rPr>
          <w:szCs w:val="20"/>
        </w:rPr>
      </w:pPr>
      <w:r>
        <w:rPr>
          <w:szCs w:val="20"/>
        </w:rPr>
        <w:t xml:space="preserve">Gravar a data e a hora pelo relógio do servidor (RN-GQ-026, RN-GQ-007).</w:t>
      </w:r>
    </w:p>
    <w:p>
      <w:pPr>
        <w:numPr>
          <w:ilvl w:val="0"/>
          <w:numId w:val="2"/>
        </w:numPr>
        <w:spacing w:after="0" w:line="360" w:lineRule="auto"/>
        <w:rPr>
          <w:szCs w:val="20"/>
        </w:rPr>
      </w:pPr>
      <w:r>
        <w:rPr>
          <w:szCs w:val="20"/>
        </w:rPr>
        <w:t xml:space="preserve">Gravar quem marcou cada área e quando, e impedir a duplicação ao salvar de novo (RN-GQ-D03-007).</w:t>
      </w:r>
    </w:p>
    <w:p>
      <w:pPr>
        <w:numPr>
          <w:ilvl w:val="0"/>
          <w:numId w:val="2"/>
        </w:numPr>
        <w:spacing w:after="0" w:line="360" w:lineRule="auto"/>
        <w:rPr>
          <w:szCs w:val="20"/>
        </w:rPr>
      </w:pPr>
      <w:r>
        <w:rPr>
          <w:szCs w:val="20"/>
        </w:rPr>
        <w:t xml:space="preserve">Avisar as áreas marcadas, em vez de depender só da lista (RN-GQ-009).</w:t>
      </w:r>
    </w:p>
    <w:p>
      <w:pPr>
        <w:numPr>
          <w:ilvl w:val="0"/>
          <w:numId w:val="2"/>
        </w:numPr>
        <w:spacing w:after="0" w:line="360" w:lineRule="auto"/>
        <w:rPr>
          <w:szCs w:val="20"/>
        </w:rPr>
      </w:pPr>
      <w:r>
        <w:rPr>
          <w:szCs w:val="20"/>
        </w:rPr>
        <w:t xml:space="preserve">Oferecer a consulta a desvios anteriores durante a avaliação, a validar com a GQ (mapa 04, tema Art. 336).</w:t>
      </w:r>
    </w:p>
    <w:p>
      <w:pPr>
        <w:numPr>
          <w:ilvl w:val="0"/>
          <w:numId w:val="2"/>
        </w:numPr>
        <w:spacing w:after="0" w:line="360" w:lineRule="auto"/>
        <w:rPr>
          <w:szCs w:val="20"/>
        </w:rPr>
      </w:pPr>
      <w:r>
        <w:rPr>
          <w:szCs w:val="20"/>
        </w:rPr>
        <w:t xml:space="preserve">Impedir a mudança silenciosa do relato original e do responsável do desvio (RN-GQ-D03-009, RN-GQ-D03-010).</w:t>
      </w:r>
    </w:p>
    <w:p>
      <w:pPr>
        <w:numPr>
          <w:ilvl w:val="0"/>
          <w:numId w:val="2"/>
        </w:numPr>
        <w:spacing w:after="0" w:line="360" w:lineRule="auto"/>
        <w:rPr>
          <w:szCs w:val="20"/>
        </w:rPr>
      </w:pPr>
      <w:r>
        <w:rPr>
          <w:szCs w:val="20"/>
        </w:rPr>
        <w:t xml:space="preserve">Gravar a justificativa na coluna própria do histórico (RN-GQ-D03-004) e permitir devolver ou recusar o desvio (Falhas e pontos de atenção da página).</w:t>
      </w:r>
    </w:p>
    <w:p>
      <w:pPr>
        <w:numPr>
          <w:ilvl w:val="0"/>
          <w:numId w:val="2"/>
        </w:numPr>
        <w:spacing w:after="0" w:line="360" w:lineRule="auto"/>
        <w:rPr>
          <w:szCs w:val="20"/>
        </w:rPr>
      </w:pPr>
      <w:r>
        <w:rPr>
          <w:szCs w:val="20"/>
        </w:rPr>
        <w:t xml:space="preserve">Atualizar a tela de consulta (lupa), que está desatualizada (RN-GQ-D03-012).</w:t>
      </w:r>
    </w:p>
    <w:p>
      <w:pPr>
        <w:numPr>
          <w:ilvl w:val="0"/>
          <w:numId w:val="2"/>
        </w:numPr>
        <w:spacing w:after="0" w:line="360" w:lineRule="auto"/>
        <w:rPr>
          <w:szCs w:val="20"/>
        </w:rPr>
      </w:pPr>
      <w:r>
        <w:rPr>
          <w:szCs w:val="20"/>
        </w:rPr>
        <w:t xml:space="preserve">Gravar no histórico as áreas envolvidas marcadas e o conteúdo das demais etapas (RN-GQ-D03-018; DV-GQ-036).</w:t>
      </w:r>
    </w:p>
    <w:p>
      <w:pPr>
        <w:numPr>
          <w:ilvl w:val="0"/>
          <w:numId w:val="2"/>
        </w:numPr>
        <w:spacing w:after="0" w:line="360" w:lineRule="auto"/>
        <w:rPr>
          <w:szCs w:val="20"/>
        </w:rPr>
      </w:pPr>
      <w:r>
        <w:rPr>
          <w:szCs w:val="20"/>
        </w:rPr>
        <w:t xml:space="preserve">Fazer o filtro RD/Nº aceitar o número com o ano (RN-GQ-D03-002; DV-GQ-026) e avisar data inválida nos filtros (DV-GQ-027).</w:t>
      </w:r>
    </w:p>
    <w:p>
      <w:pPr>
        <w:keepNext/>
        <w:spacing w:before="120" w:after="0" w:line="360" w:lineRule="auto"/>
        <w:rPr>
          <w:b/>
          <w:bCs/>
          <w:szCs w:val="20"/>
        </w:rPr>
      </w:pPr>
      <w:r>
        <w:rPr>
          <w:b/>
          <w:bCs/>
          <w:szCs w:val="20"/>
        </w:rPr>
        <w:t xml:space="preserve">Guia 33/2020</w:t>
      </w:r>
    </w:p>
    <w:p>
      <w:pPr>
        <w:spacing w:after="0" w:line="360" w:lineRule="auto"/>
        <w:rPr>
          <w:szCs w:val="20"/>
        </w:rPr>
      </w:pPr>
      <w:r>
        <w:rPr>
          <w:szCs w:val="20"/>
        </w:rPr>
        <w:t xml:space="preserve">O Guia lista, no item 9.3.2.3 (Requisitos Operacionais), o que o documento de requisitos do usuário deve tratar. Três pontos se aplicam a esta tela:</w:t>
      </w:r>
    </w:p>
    <w:p>
      <w:pPr>
        <w:numPr>
          <w:ilvl w:val="0"/>
          <w:numId w:val="2"/>
        </w:numPr>
        <w:spacing w:after="0" w:line="360" w:lineRule="auto"/>
        <w:rPr>
          <w:szCs w:val="20"/>
        </w:rPr>
      </w:pPr>
      <w:r>
        <w:rPr>
          <w:szCs w:val="20"/>
        </w:rPr>
        <w:t xml:space="preserve">"Trilhas de auditoria;" (item 9.3.2.3, Funções). As áreas e a pré-avaliação novas sem registro de inclusão, e a justificativa fora da coluna do histórico.</w:t>
      </w:r>
    </w:p>
    <w:p>
      <w:pPr>
        <w:numPr>
          <w:ilvl w:val="0"/>
          <w:numId w:val="2"/>
        </w:numPr>
        <w:spacing w:after="0" w:line="360" w:lineRule="auto"/>
        <w:rPr>
          <w:szCs w:val="20"/>
        </w:rPr>
      </w:pPr>
      <w:r>
        <w:rPr>
          <w:szCs w:val="20"/>
        </w:rPr>
        <w:t xml:space="preserve">"Utilização de assinaturas eletrônicas;" (item 9.3.2.3, Funções). A pré-avaliação é uma decisão da GQ e não pede senha de novo (RN-GQ-009).</w:t>
      </w:r>
    </w:p>
    <w:p>
      <w:pPr>
        <w:numPr>
          <w:ilvl w:val="0"/>
          <w:numId w:val="2"/>
        </w:numPr>
        <w:spacing w:after="0" w:line="360" w:lineRule="auto"/>
        <w:rPr>
          <w:szCs w:val="20"/>
        </w:rPr>
      </w:pPr>
      <w:r>
        <w:rPr>
          <w:szCs w:val="20"/>
        </w:rPr>
        <w:t xml:space="preserve">"intervalo e formato de datas válidos" (item 9.3.2.3, Dados). A data e a hora da pré-avaliação vêm da tela (RN-GQ-026).</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Pré Avaliação Relatório Desvios: Anvisa</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Pré Avaliação Relatório Desvios: Anvisa</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