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sete rodadas de 07 a 13/10/2026 (resultado no Relatório de Testes do Estoque): 78 dos 162 casos do plano com resultado, cobrindo 37 dos 46 de prioridade alta.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3"/>
        <w:gridCol w:w="7238"/>
      </w:tblGrid>
      <w:tr>
        <w:trPr>
          <w:tblHeader/>
          <w:cantSplit/>
        </w:trPr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e ele está correto.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mas ele fere a norma ou a boa prática. O desvio (DV-EST-nnn) diz o que corrigir.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não pôde ser feito (o motivo está indicado).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código; ainda não foi verificada nas telas.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regras depois das sete rodadas de testes (07 a 13/10/2026):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6"/>
        <w:gridCol w:w="2365"/>
      </w:tblGrid>
      <w:tr>
        <w:trPr>
          <w:tblHeader/>
          <w:cantSplit/>
        </w:trPr>
        <w:tc>
          <w:tcPr>
            <w:tcW w:w="7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 com falha</w:t>
      </w:r>
      <w:r>
        <w:rPr>
          <w:szCs w:val="20"/>
        </w:rPr>
        <w:t xml:space="preserve">: corrigir conforme o desvio citado e a coluna "Como deveria funcionar" do Relatório de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não testado:</w:t>
      </w:r>
      <w:r>
        <w:rPr>
          <w:szCs w:val="20"/>
        </w:rPr>
        <w:t xml:space="preserve"> os testes pararam no endereçamento do lote recebido (DV-EST-016), à espera do DBA. Por isso a quarentena, a análise do Controle da Qualidade e todos os fluxos posteriores estão como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4"/>
        <w:gridCol w:w="2789"/>
        <w:gridCol w:w="3677"/>
        <w:gridCol w:w="1781"/>
      </w:tblGrid>
      <w:tr>
        <w:trPr>
          <w:tblHeader/>
          <w:cantSplit/>
        </w:trPr>
        <w:tc>
          <w:tcPr>
            <w:tcW w:w="1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(falta comparar com um usuário de outro grupo)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(DV-EST-001)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(DV-EST-002)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1902"/>
        <w:gridCol w:w="4597"/>
        <w:gridCol w:w="176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(CT-EST-014)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(DV-EST-006; o item salva sem almoxarifado padrão, exigido depois no recebimento: DV-EST-010)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(CT-EST-010): cria a apresentação sozinha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8"/>
        <w:gridCol w:w="1706"/>
        <w:gridCol w:w="4587"/>
        <w:gridCol w:w="1970"/>
      </w:tblGrid>
      <w:tr>
        <w:trPr>
          <w:tblHeader/>
          <w:cantSplit/>
        </w:trPr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(DV-EST-004, CT-EST-181)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(DV-EST-011, CT-EST-182)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(DV-EST-012, CT-EST-183)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(DV-EST-013,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(não isolada no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(CT-EST-187)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(CT-EST-185); o 31/12/2099 não foi testado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(DV-EST-014, CT-EST-186)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(CT-EST-188, 189)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(CT-EST-196: nenhum alerta; falta testar com fornecedor marcado como não qualificado)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falha, pelo código (CT-EST-192)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(CT-EST-191)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(DV-EST-015, CT-EST-193)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 (CT-EST-195: falta um local comum para comparar)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0"/>
        <w:gridCol w:w="1566"/>
        <w:gridCol w:w="5307"/>
        <w:gridCol w:w="1348"/>
      </w:tblGrid>
      <w:tr>
        <w:trPr>
          <w:tblHeader/>
          <w:cantSplit/>
        </w:trPr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8"/>
        <w:gridCol w:w="2004"/>
        <w:gridCol w:w="4260"/>
        <w:gridCol w:w="2009"/>
      </w:tblGrid>
      <w:tr>
        <w:trPr>
          <w:tblHeader/>
          <w:cantSplit/>
        </w:trPr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(CT-EST-031; a mensagem tem erro de grafia e não diz o campo repetido, DV-EST-017)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(CT-EST-032, 13/10): endereço com saldo não é excluído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(DV-EST-018: a exclusão do endereço pede só SIM/NÃO, sem justificativa)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(CT-EST-034 e 035,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(CT-EST-036, 13/10), com mensagem diferente da prevista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(CT-EST-037,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(CT-EST-038, 13/10)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(CT-EST-039 e 051, 13/10): lote em quarentena só vê locais de quarentena; reprovado só vê refugo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(CT-EST-034, 13/10): saldos de origem e destino atualizados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(CT-EST-044 e 209: o histórico não mostra usuário, hora, análise, laudo nem reprovação, DV-EST-034)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0"/>
        <w:gridCol w:w="1594"/>
        <w:gridCol w:w="4393"/>
        <w:gridCol w:w="2274"/>
      </w:tblGrid>
      <w:tr>
        <w:trPr>
          <w:tblHeader/>
          <w:cantSplit/>
        </w:trPr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(CT-EST-207, 12/10)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(CT-EST-207, 051 e rodadas 6 e 7): aprovado só vê locais comuns; reprovado só refugo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(rodada 6: a tela aceitou destino sem rua, coluna e andar e o saldo do lote sumiu, DV-EST-044; com destino completo funciona, rodada 7)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(CT-EST-052 e 053,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(CT-EST-055: a agenda ficou vazia, DV-EST-041; o cadastro do Item não mostra o campo da classificação de reanálise, DV-EST-043)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(CT-EST-056 e 057: recusa, mas com a mesma mensagem genérica, DV-EST-039)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(CT-EST-059 e 060: a reanálise tira o lote do disponível e, concluída no CQ, o devolve após "Atualizar resultado", DV-EST-029)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(CT-EST-059,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(CT-EST-059: a reanálise avulsa não pede justificativa, DV-EST-039)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(CT-EST-061: a lista só mostra lote vencido, DV-EST-040)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(rodadas 3 e 4: quarentena, bloqueado, reprovado, reanálise e retenção separados no saldo)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4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(CT-EST-053, 075 e 114: bloqueado, reprovado e em quarentena fora das listas de uso)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0"/>
        <w:gridCol w:w="1685"/>
        <w:gridCol w:w="4639"/>
        <w:gridCol w:w="1937"/>
      </w:tblGrid>
      <w:tr>
        <w:trPr>
          <w:tblHeader/>
          <w:cantSplit/>
        </w:trPr>
        <w:tc>
          <w:tcPr>
            <w:tcW w:w="1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(CT-EST-075 e 114, 13/10)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(CT-EST-073 e 074: o segundo lote de validade diferente foi perdido pelo DV-EST-044)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(CT-EST-079, 13/10): quantidade acima do saldo recusada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(CT-EST-079, 13/10): saldo do lote e do endereço baixados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(CT-EST-079: o atendimento não tem campo de justificativa, DV-EST-045)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1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451"/>
        <w:gridCol w:w="4743"/>
        <w:gridCol w:w="2058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7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(CT-EST-091: a tela só aceita lote saído por solicitação do tipo Produção, que exige Ordem de Produção)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(CT-EST-091); continua a validar com a área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(CT-EST-210, 12/10)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(CT-EST-097 e 210, 12/10): a análise abre no CQ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(CT-EST-097 a 099: aceita lote inventado sem ordem de produção e lote vencido, DV-EST-024 e 025)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(CT-EST-097, 12/10)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(CT-EST-097: a análise abre como tipo NORMAL, não produto acabado, DV-EST-026)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7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2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9"/>
        <w:gridCol w:w="1613"/>
        <w:gridCol w:w="4720"/>
        <w:gridCol w:w="1899"/>
      </w:tblGrid>
      <w:tr>
        <w:trPr>
          <w:tblHeader/>
          <w:cantSplit/>
        </w:trPr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(CT-EST-115: a remessa é criada e o item incluído, mas Finalizar nunca conclui, DV-EST-046)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(CT-EST-114, 13/10)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(CT-EST-115, rodadas 6 e 7: "Erro ao gerar a solicitação do material!", DV-EST-046)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(CT-EST-116: depende da remessa confirmada)</w:t>
            </w:r>
          </w:p>
        </w:tc>
      </w:tr>
      <w:tr>
        <w:trPr>
          <w:cantSplit/>
        </w:trPr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1"/>
        <w:gridCol w:w="1782"/>
        <w:gridCol w:w="4694"/>
        <w:gridCol w:w="1764"/>
      </w:tblGrid>
      <w:tr>
        <w:trPr>
          <w:tblHeader/>
          <w:cantSplit/>
        </w:trPr>
        <w:tc>
          <w:tcPr>
            <w:tcW w:w="1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(CT-EST-137, 13/10): recusa com solicitações pendentes, o que bloqueou o inventário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 e 138)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(CT-EST-137 e 138)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1768"/>
        <w:gridCol w:w="5171"/>
        <w:gridCol w:w="125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575"/>
        <w:gridCol w:w="4476"/>
        <w:gridCol w:w="2201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(CT-EST-160: aceita período no futuro, DV-EST-019)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(CT-EST-161: aceita 13 meses, a trava está comentada, DV-EST-020)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(CT-EST-162 e 163: quantidade 100 vira 0,100; pedido aberto não reabre pela lista, DV-EST-021)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(CT-EST-165 a 167: a avaliação não qualifica nem bloqueia; 350 pontos de não conformidade e o fornecedor recebe sem aviso, DV-EST-022)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(CT-EST-167: depois de gravada, a avaliação não pode ser alterada nem tem histórico, DV-EST-023)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(CT-EST-166, 12/10): o recebimento não consulta a avaliação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1625"/>
        <w:gridCol w:w="4654"/>
        <w:gridCol w:w="1985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(rodada 7: almoxarifado do tipo Retenção criado; nenhum existia no ambiente)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(CT-EST-171, 13/10): a entrada gravou e o saldo ficou no endereço de retenção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(CT-EST-171, 13/10)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(CT-EST-176: a saída não oferece nenhum endereço de origem, DV-EST-047)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(CT-EST-176: depende do DV-EST-047)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4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(CT-EST-171: a consulta não mostra a amostra gravada, DV-EST-047)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