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Notificações padrão: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estão na seção de segurança. A situação de cada regra vem do teste de 06/10/2026 (rodada 2), que </w:t>
      </w:r>
      <w:r>
        <w:rPr>
          <w:b/>
          <w:bCs/>
          <w:szCs w:val="20"/>
        </w:rPr>
        <w:t xml:space="preserve">só abriu a lista</w:t>
      </w:r>
      <w:r>
        <w:rPr>
          <w:szCs w:val="20"/>
        </w:rPr>
        <w:t xml:space="preserve"> (CT-PRI-069).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84"/>
        <w:gridCol w:w="2173"/>
        <w:gridCol w:w="3467"/>
        <w:gridCol w:w="2007"/>
      </w:tblGrid>
      <w:tr>
        <w:trPr>
          <w:tblHeader/>
          <w:cantSplit/>
        </w:trPr>
        <w:tc>
          <w:tcPr>
            <w:tcW w:w="19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RN-PRI-055</w:t>
            </w:r>
          </w:p>
        </w:tc>
        <w:tc>
          <w:tcPr>
            <w:tcW w:w="2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alterações ficam no histórico campo a campo, com valor antigo, valor novo, usuário, data, hora e justificativa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notificacao_padrao_ed.aspx.cs:181-300 (nenhuma chamada de histórico)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código: nenhuma gravação escreve histórico (não testada)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  <w:tc>
          <w:tcPr>
            <w:tcW w:w="2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alteração de cadastro exige justificativa, guardada no histórico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notificacao_padrao_ed.aspx (sem campo de justificativa)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código (não testada; o inventário já anota "o código não pede justificativa")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RN-PRI-077</w:t>
            </w:r>
          </w:p>
        </w:tc>
        <w:tc>
          <w:tcPr>
            <w:tcW w:w="2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tela verifica a permissão do usuário, inclusive quando aberta pelo endereço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ClassePaiLst.cs:65; notificacao_padrao_ed.aspx.cs:17-21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CT-PRI-069, 06/10/2026 (a lista foi negada); o formulário não confere no código e não foi aberto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RN-PRI-ADM08-001</w:t>
            </w:r>
          </w:p>
        </w:tc>
        <w:tc>
          <w:tcPr>
            <w:tcW w:w="2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mostra as notificações padrão do sistema (10 no script inicial: números 1 a 7, 9, 10 e 12), cada uma com número fixo, texto e destinatários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dml.sql:10416-10475; TBL_NOTIFICACAO_PADRAO.sql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RN-PRI-ADM08-002</w:t>
            </w:r>
          </w:p>
        </w:tc>
        <w:tc>
          <w:tcPr>
            <w:tcW w:w="2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destinatários são usuários, perfis e funções profissionais; todas as notificações do script inicial começam sem destinatário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notificacao_padrao_ed.aspx:55-93; dml.sql:10416-10475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RN-PRI-ADM08-003</w:t>
            </w:r>
          </w:p>
        </w:tc>
        <w:tc>
          <w:tcPr>
            <w:tcW w:w="2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envio cria um aviso para cada pessoa das três listas, sem repetir a mesma pessoa; sem destinatário, ninguém é avisado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EnviarNotificacaoService.cs (NotificarPorNotificacaoPadrao)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RN-PRI-ADM08-004</w:t>
            </w:r>
          </w:p>
        </w:tc>
        <w:tc>
          <w:tcPr>
            <w:tcW w:w="2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somente leitura no formulário; só os destinatários podem mudar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notificacao_padrao_ed.aspx:50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(ponto para validar: nova notificação ficaria sem texto)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RN-PRI-ADM08-005</w:t>
            </w:r>
          </w:p>
        </w:tc>
        <w:tc>
          <w:tcPr>
            <w:tcW w:w="2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gravar, os destinatários anteriores são substituídos pelos da tela e a descrição vai em maiúsculas e sem espaços repetidos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notificacao_padrao_ed.aspx.cs:194-196, 225-227 e 269-301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RN-PRI-ADM08-006</w:t>
            </w:r>
          </w:p>
        </w:tc>
        <w:tc>
          <w:tcPr>
            <w:tcW w:w="2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usa só um filtro por vez (código ou descrição); código não numérico quebra a lista; a descrição diferencia maiúsculas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notificacao_padrao_lst.aspx.cs:57-67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RN-PRI-ADM08-007</w:t>
            </w:r>
          </w:p>
        </w:tc>
        <w:tc>
          <w:tcPr>
            <w:tcW w:w="2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exclusão de notificação padrão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notificacao_padrao_lst.aspx.cs:134-137 (método vazio)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RN-PRI-ADM08-008</w:t>
            </w:r>
          </w:p>
        </w:tc>
        <w:tc>
          <w:tcPr>
            <w:tcW w:w="2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janela de histórico lê eventos da notificação, mas nenhuma gravação os escreve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notificacao_padrao_lst.aspx.cs:153-160 e 226-232; notificacao_padrao_ed.aspx.cs:181-300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RN-PRI-ADM08-009</w:t>
            </w:r>
          </w:p>
        </w:tc>
        <w:tc>
          <w:tcPr>
            <w:tcW w:w="2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módulos chamam as notificações pelo número: Principal 1; Produção 2 a 7; Estoque 9, 10 e 11 (a 11, "insumos separados", o script inicial deixa comentada; a 8 está declarada no Estoque e não é usada)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usuario_ed.aspx.cs:1300; 2.producao (produto_ed, insumo_principal_ed, start_producao_ed, geracao_lote_ed, final_producao_ed); 3.estoque bllNotificacao.cs:12-22 e 101; dml.sql:10451-10454 e 10466-10469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(ponto para validar com o DBA: a notificação 11 existe no banco real?)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RN-PRI-ADM08-010</w:t>
            </w:r>
          </w:p>
        </w:tc>
        <w:tc>
          <w:tcPr>
            <w:tcW w:w="2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um novo profissional dispara a notificação 1, que deveria avisar quem cria login e perfil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usuario_ed.aspx.cs:1300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testada; sem destinatário configurado, ninguém é avisado)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RN-PRI-ADM08-011</w:t>
            </w:r>
          </w:p>
        </w:tc>
        <w:tc>
          <w:tcPr>
            <w:tcW w:w="2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e Editar abrem o mesmo formulário, sem diferença de bloqueio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notificacao_padrao_lst.aspx.cs:145-151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RN-PRI-ADM08-012</w:t>
            </w:r>
          </w:p>
        </w:tc>
        <w:tc>
          <w:tcPr>
            <w:tcW w:w="2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módulos de destino dos avisos são identificados por um código numérico por notificação (0, 1, 2 ou 13 no script inicial)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TBL_NOTIFICACAO_PADRAO.sql (ID_MODULO); dml.sql:10416-10475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da rodada 2 (registrada como 06/10/2026). O plano de testes é o 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. Os casos de acesso estão na seção "Segurança e acesso".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do plano e das rodadas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72"/>
        <w:gridCol w:w="5160"/>
        <w:gridCol w:w="2999"/>
      </w:tblGrid>
      <w:tr>
        <w:trPr>
          <w:tblHeader/>
          <w:cantSplit/>
        </w:trPr>
        <w:tc>
          <w:tcPr>
            <w:tcW w:w="1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Resultado, defeito e data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CT-PRI-069</w:t>
            </w:r>
          </w:p>
        </w:tc>
        <w:tc>
          <w:tcPr>
            <w:tcW w:w="5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as telas de notificação (</w:t>
            </w:r>
            <w:r>
              <w:rPr>
                <w:sz w:val="18"/>
                <w:szCs w:val="20"/>
              </w:rPr>
              <w:t xml:space="preserve">notificacao_padrao_lst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gst_tipo_notificacao_lst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gst_notificacao_usuario_lst</w:t>
            </w:r>
            <w:r>
              <w:rPr>
                <w:sz w:val="18"/>
                <w:szCs w:val="20"/>
              </w:rPr>
              <w:t xml:space="preserve">) pelo endereço com </w:t>
            </w:r>
            <w:r>
              <w:rPr>
                <w:sz w:val="18"/>
                <w:szCs w:val="20"/>
              </w:rPr>
              <w:t xml:space="preserve">t.semadmin</w:t>
            </w:r>
          </w:p>
        </w:tc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06/10/2026: as três foram negadas ("Acesso negado"); a tentativa registrada depende do DBA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outro caso do plano toca a tela. O formulário nunca foi aberto em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novos propostos (ainda não executados)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usar usuários </w:t>
      </w:r>
      <w:r>
        <w:rPr>
          <w:szCs w:val="20"/>
        </w:rPr>
        <w:t xml:space="preserve">t.*</w:t>
      </w:r>
      <w:r>
        <w:rPr>
          <w:szCs w:val="20"/>
        </w:rPr>
        <w:t xml:space="preserve">, o perfil </w:t>
      </w:r>
      <w:r>
        <w:rPr>
          <w:szCs w:val="20"/>
        </w:rPr>
        <w:t xml:space="preserve">TESTECONSULTA</w:t>
      </w:r>
      <w:r>
        <w:rPr>
          <w:szCs w:val="20"/>
        </w:rPr>
        <w:t xml:space="preserve"> e funções </w:t>
      </w:r>
      <w:r>
        <w:rPr>
          <w:szCs w:val="20"/>
        </w:rPr>
        <w:t xml:space="preserve">TESTE ...</w:t>
      </w:r>
      <w:r>
        <w:rPr>
          <w:szCs w:val="20"/>
        </w:rPr>
        <w:t xml:space="preserve"> como destinatários, e pedir ao DBA para confirmar o que existe na tabela de notificações padrão.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20"/>
        <w:gridCol w:w="1400"/>
        <w:gridCol w:w="2930"/>
        <w:gridCol w:w="3181"/>
      </w:tblGrid>
      <w:tr>
        <w:trPr>
          <w:tblHeader/>
          <w:cantSplit/>
        </w:trPr>
        <w:tc>
          <w:tcPr>
            <w:tcW w:w="21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29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1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21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CT-PRI-ADM08-01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a notificação 1: adicionar </w:t>
            </w:r>
            <w:r>
              <w:rPr>
                <w:sz w:val="18"/>
                <w:szCs w:val="20"/>
              </w:rPr>
              <w:t xml:space="preserve">t.admin</w:t>
            </w:r>
            <w:r>
              <w:rPr>
                <w:sz w:val="18"/>
                <w:szCs w:val="20"/>
              </w:rPr>
              <w:t xml:space="preserve"> como destinatário e salvar; cadastrar um profissional </w:t>
            </w:r>
            <w:r>
              <w:rPr>
                <w:sz w:val="18"/>
                <w:szCs w:val="20"/>
              </w:rPr>
              <w:t xml:space="preserve">TESTE ...</w:t>
            </w:r>
            <w:r>
              <w:rPr>
                <w:sz w:val="18"/>
                <w:szCs w:val="20"/>
              </w:rPr>
              <w:t xml:space="preserve">; entrar como </w:t>
            </w:r>
            <w:r>
              <w:rPr>
                <w:sz w:val="18"/>
                <w:szCs w:val="20"/>
              </w:rPr>
              <w:t xml:space="preserve">t.admin</w:t>
            </w:r>
          </w:p>
        </w:tc>
        <w:tc>
          <w:tcPr>
            <w:tcW w:w="3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t.admin</w:t>
            </w:r>
            <w:r>
              <w:rPr>
                <w:sz w:val="18"/>
                <w:szCs w:val="20"/>
              </w:rPr>
              <w:t xml:space="preserve"> recebe o aviso; registrar o texto e o horário (RN-PRI-ADM08-010)</w:t>
            </w:r>
          </w:p>
        </w:tc>
      </w:tr>
      <w:tr>
        <w:trPr>
          <w:cantSplit/>
        </w:trPr>
        <w:tc>
          <w:tcPr>
            <w:tcW w:w="21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CT-PRI-ADM08-02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</w:t>
            </w:r>
            <w:r>
              <w:rPr>
                <w:sz w:val="18"/>
                <w:szCs w:val="20"/>
              </w:rPr>
              <w:t xml:space="preserve">t.semadmin</w:t>
            </w:r>
            <w:r>
              <w:rPr>
                <w:sz w:val="18"/>
                <w:szCs w:val="20"/>
              </w:rPr>
              <w:t xml:space="preserve">, abrir o formulário pelo endereço e tentar salvar uma mudança</w:t>
            </w:r>
          </w:p>
        </w:tc>
        <w:tc>
          <w:tcPr>
            <w:tcW w:w="3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negado; registrar o que grava (RN-PRI-077)</w:t>
            </w:r>
          </w:p>
        </w:tc>
      </w:tr>
      <w:tr>
        <w:trPr>
          <w:cantSplit/>
        </w:trPr>
        <w:tc>
          <w:tcPr>
            <w:tcW w:w="21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CT-PRI-ADM08-03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Mudar os destinatários e abrir o Log</w:t>
            </w:r>
          </w:p>
        </w:tc>
        <w:tc>
          <w:tcPr>
            <w:tcW w:w="3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que o Log fica vazio e, com o DBA, se algo foi gravado (RN-PRI-ADM08-008)</w:t>
            </w:r>
          </w:p>
        </w:tc>
      </w:tr>
      <w:tr>
        <w:trPr>
          <w:cantSplit/>
        </w:trPr>
        <w:tc>
          <w:tcPr>
            <w:tcW w:w="21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CT-PRI-ADM08-04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DBA, conferir se a notificação 11 existe e executar uma separação de insumos no Estoque</w:t>
            </w:r>
          </w:p>
        </w:tc>
        <w:tc>
          <w:tcPr>
            <w:tcW w:w="3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criado ou erro registrado (RN-PRI-ADM08-009)</w:t>
            </w:r>
          </w:p>
        </w:tc>
      </w:tr>
      <w:tr>
        <w:trPr>
          <w:cantSplit/>
        </w:trPr>
        <w:tc>
          <w:tcPr>
            <w:tcW w:w="21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CT-PRI-ADM08-05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por código com texto e por descrição em minúsculas e maiúsculas</w:t>
            </w:r>
          </w:p>
        </w:tc>
        <w:tc>
          <w:tcPr>
            <w:tcW w:w="3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erro do código e a diferença de caixa (RN-PRI-ADM08-006)</w:t>
            </w:r>
          </w:p>
        </w:tc>
      </w:tr>
      <w:tr>
        <w:trPr>
          <w:cantSplit/>
        </w:trPr>
        <w:tc>
          <w:tcPr>
            <w:tcW w:w="21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CT-PRI-ADM08-06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Novo, preencher e salvar</w:t>
            </w:r>
          </w:p>
        </w:tc>
        <w:tc>
          <w:tcPr>
            <w:tcW w:w="3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grava e com que número e texto (RN-PRI-ADM08-004)</w:t>
            </w:r>
          </w:p>
        </w:tc>
      </w:tr>
      <w:tr>
        <w:trPr>
          <w:cantSplit/>
        </w:trPr>
        <w:tc>
          <w:tcPr>
            <w:tcW w:w="21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CT-PRI-ADM08-07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Colocar o mesmo usuário em usuário, perfil e função</w:t>
            </w:r>
          </w:p>
        </w:tc>
        <w:tc>
          <w:tcPr>
            <w:tcW w:w="3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só aviso para a pessoa (RN-PRI-ADM08-003)</w:t>
            </w:r>
          </w:p>
        </w:tc>
      </w:tr>
      <w:tr>
        <w:trPr>
          <w:cantSplit/>
        </w:trPr>
        <w:tc>
          <w:tcPr>
            <w:tcW w:w="21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CT-PRI-ADM08-08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um destinatário e disparar o aviso</w:t>
            </w:r>
          </w:p>
        </w:tc>
        <w:tc>
          <w:tcPr>
            <w:tcW w:w="3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a pessoa inativa recebe</w:t>
            </w:r>
          </w:p>
        </w:tc>
      </w:tr>
      <w:tr>
        <w:trPr>
          <w:cantSplit/>
        </w:trPr>
        <w:tc>
          <w:tcPr>
            <w:tcW w:w="21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CT-PRI-ADM08-09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Remover todos os destinatários e disparar o evento</w:t>
            </w:r>
          </w:p>
        </w:tc>
        <w:tc>
          <w:tcPr>
            <w:tcW w:w="3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aviso; registrar se há erro</w:t>
            </w:r>
          </w:p>
        </w:tc>
      </w:tr>
      <w:tr>
        <w:trPr>
          <w:cantSplit/>
        </w:trPr>
        <w:tc>
          <w:tcPr>
            <w:tcW w:w="21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CT-PRI-ADM08-10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se o sino mostra o aviso e se há uma tela com o histórico de envios</w:t>
            </w:r>
          </w:p>
        </w:tc>
        <w:tc>
          <w:tcPr>
            <w:tcW w:w="3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visível; registrar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Notificações padrão: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Notificações padrão: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