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Principal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Principal: por que não está apto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1.2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16/10/2026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1.1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Motivos do parecer não apto, o que corrigir e o que se pede ao DBA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26/10/2026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1.2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Rodada 3 e fechamento: 51 defeitos, 32 telas e o que muda na reabertura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Em uma frase:</w:t>
      </w:r>
      <w:r>
        <w:rPr>
          <w:szCs w:val="20"/>
        </w:rPr>
        <w:t xml:space="preserve"> o módulo Principal (versão 3.5.1, como foi entregue pelo fornecedor) </w:t>
      </w:r>
      <w:r>
        <w:rPr>
          <w:b/>
          <w:bCs/>
          <w:szCs w:val="20"/>
        </w:rPr>
        <w:t xml:space="preserve">funciona na maior parte das tarefas, mas não está em conformidade com as normas da ANVISA</w:t>
      </w:r>
      <w:r>
        <w:rPr>
          <w:szCs w:val="20"/>
        </w:rPr>
        <w:t xml:space="preserve">. O parecer é </w:t>
      </w:r>
      <w:r>
        <w:rPr>
          <w:b/>
          <w:bCs/>
          <w:szCs w:val="20"/>
        </w:rPr>
        <w:t xml:space="preserve">"não apto para uso em ambiente regulado"</w:t>
      </w:r>
      <w:r>
        <w:rPr>
          <w:szCs w:val="20"/>
        </w:rPr>
        <w:t xml:space="preserve"> até as correções obrigatórias. Os mecanismos essenciais existem, então as falhas podem ser corrigidas sem reconstruir o módulo.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Atualização de 26/10/2026:</w:t>
      </w:r>
      <w:r>
        <w:rPr>
          <w:szCs w:val="20"/>
        </w:rPr>
        <w:t xml:space="preserve"> com a terceira rodada de testes, as 32 telas do módulo passaram a ter resultado e o módulo foi fechado (decisão do responsável). O parecer não mudou, e o registro de defeitos cresceu de 26 para 51.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1. POR QUE O PRINCIPAL PESA TANTO NO PARECER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É a porta de entrada dos nove módulos.</w:t>
      </w:r>
      <w:r>
        <w:rPr>
          <w:szCs w:val="20"/>
        </w:rPr>
        <w:t xml:space="preserve"> O login, os usuários, os perfis e as permissões definidos nele valem para a produção, o estoque, a qualidade e os demais.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É a base da trilha de auditoria</w:t>
      </w:r>
      <w:r>
        <w:rPr>
          <w:szCs w:val="20"/>
        </w:rPr>
        <w:t xml:space="preserve">, o registro de quem fez cada alteração, quando e por quê. A ANVISA exige esse registro (RDC 658/2022, art. 125) e o verifica nas inspeções.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Uma falha nele afeta o sistema inteiro. Por isso foi o primeiro módulo homologado.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2. OS NÚMEROS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85"/>
        <w:gridCol w:w="6946"/>
      </w:tblGrid>
      <w:tr>
        <w:trPr>
          <w:tblHeader/>
          <w:cantSplit/>
        </w:trPr>
        <w:tc>
          <w:tcPr>
            <w:tcW w:w="26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Medida</w:t>
            </w:r>
          </w:p>
        </w:tc>
        <w:tc>
          <w:tcPr>
            <w:tcW w:w="69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</w:tr>
      <w:tr>
        <w:trPr>
          <w:cantSplit/>
        </w:trPr>
        <w:tc>
          <w:tcPr>
            <w:tcW w:w="2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do módulo</w:t>
            </w:r>
          </w:p>
        </w:tc>
        <w:tc>
          <w:tcPr>
            <w:tcW w:w="69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32</w:t>
            </w:r>
            <w:r>
              <w:rPr>
                <w:sz w:val="18"/>
                <w:szCs w:val="20"/>
              </w:rPr>
              <w:t xml:space="preserve">: 1 funciona (as páginas de erro), 11 funcionam com falhas e 20 têm falha grave. Nenhuma ficou sem teste</w:t>
            </w:r>
          </w:p>
        </w:tc>
      </w:tr>
      <w:tr>
        <w:trPr>
          <w:cantSplit/>
        </w:trPr>
        <w:tc>
          <w:tcPr>
            <w:tcW w:w="2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Testes nas telas</w:t>
            </w:r>
          </w:p>
        </w:tc>
        <w:tc>
          <w:tcPr>
            <w:tcW w:w="69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3 rodadas</w:t>
            </w:r>
            <w:r>
              <w:rPr>
                <w:sz w:val="18"/>
                <w:szCs w:val="20"/>
              </w:rPr>
              <w:t xml:space="preserve"> (05, 06 e 26/10/2026): 197 de 216 linhas de resultado conclusivas. A rodada 3 teve 140 passos: 48 passaram, 40 com ressalva, 33 falharam e 19 ficaram bloqueados</w:t>
            </w:r>
          </w:p>
        </w:tc>
      </w:tr>
      <w:tr>
        <w:trPr>
          <w:cantSplit/>
        </w:trPr>
        <w:tc>
          <w:tcPr>
            <w:tcW w:w="2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Defeitos encontrados</w:t>
            </w:r>
          </w:p>
        </w:tc>
        <w:tc>
          <w:tcPr>
            <w:tcW w:w="69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51</w:t>
            </w:r>
            <w:r>
              <w:rPr>
                <w:sz w:val="18"/>
                <w:szCs w:val="20"/>
              </w:rPr>
              <w:t xml:space="preserve"> registrados, 50 abertos e 1 já explicado. Dos abertos, </w:t>
            </w:r>
            <w:r>
              <w:rPr>
                <w:sz w:val="18"/>
                <w:b/>
                <w:bCs/>
                <w:szCs w:val="20"/>
              </w:rPr>
              <w:t xml:space="preserve">16 são de gravidade alta</w:t>
            </w:r>
            <w:r>
              <w:rPr>
                <w:sz w:val="18"/>
                <w:szCs w:val="20"/>
              </w:rPr>
              <w:t xml:space="preserve">, 18 média e 16 baixa</w:t>
            </w:r>
          </w:p>
        </w:tc>
      </w:tr>
      <w:tr>
        <w:trPr>
          <w:cantSplit/>
        </w:trPr>
        <w:tc>
          <w:tcPr>
            <w:tcW w:w="2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Requisitos corrigidos para a nova versão</w:t>
            </w:r>
          </w:p>
        </w:tc>
        <w:tc>
          <w:tcPr>
            <w:tcW w:w="69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90</w:t>
            </w:r>
            <w:r>
              <w:rPr>
                <w:sz w:val="18"/>
                <w:szCs w:val="20"/>
              </w:rPr>
              <w:t xml:space="preserve"> do sistema atual (77 anteriores e 13 novos), com origem e prioridade</w:t>
            </w:r>
          </w:p>
        </w:tc>
      </w:tr>
      <w:tr>
        <w:trPr>
          <w:cantSplit/>
        </w:trPr>
        <w:tc>
          <w:tcPr>
            <w:tcW w:w="2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Documentação por tela</w:t>
            </w:r>
          </w:p>
        </w:tc>
        <w:tc>
          <w:tcPr>
            <w:tcW w:w="69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Cinco páginas para cada uma das 32 telas (análise, manual, fluxos, regras e Anvisa)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"Falha grave" quer dizer que a tela tem defeito de gravidade alta, de segurança, de senha ou de trilha de auditoria.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3. POR QUE NÃO ESTÁ APTO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1"/>
        <w:gridCol w:w="4500"/>
        <w:gridCol w:w="1868"/>
        <w:gridCol w:w="1652"/>
      </w:tblGrid>
      <w:tr>
        <w:trPr>
          <w:tblHeader/>
          <w:cantSplit/>
        </w:trPr>
        <w:tc>
          <w:tcPr>
            <w:tcW w:w="16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Área</w:t>
            </w:r>
          </w:p>
        </w:tc>
        <w:tc>
          <w:tcPr>
            <w:tcW w:w="45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foi encontrado</w:t>
            </w:r>
          </w:p>
        </w:tc>
        <w:tc>
          <w:tcPr>
            <w:tcW w:w="18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Risco</w:t>
            </w:r>
          </w:p>
        </w:tc>
        <w:tc>
          <w:tcPr>
            <w:tcW w:w="16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</w:t>
            </w:r>
          </w:p>
        </w:tc>
      </w:tr>
      <w:tr>
        <w:trPr>
          <w:cantSplit/>
        </w:trPr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Trilha de auditoria: sem motivo</w:t>
            </w:r>
          </w:p>
        </w:tc>
        <w:tc>
          <w:tcPr>
            <w:tcW w:w="4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um registro não pede justificativa em 10 cadastros: Ambiente, Equipamento, Grupo de usuários, Categoria de equipamento, Centro de custo, Pontos de água, Instrumentos, Utensílios, Utilidades e Estrutura funcional. Alterar e inativar também não pedem na Estrutura funcional. O Grau de contaminação mostra o jeito certo</w:t>
            </w:r>
          </w:p>
        </w:tc>
        <w:tc>
          <w:tcPr>
            <w:tcW w:w="18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sem motivo, item clássico de inspeção</w:t>
            </w:r>
          </w:p>
        </w:tc>
        <w:tc>
          <w:tcPr>
            <w:tcW w:w="1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125</w:t>
            </w:r>
          </w:p>
        </w:tc>
      </w:tr>
      <w:tr>
        <w:trPr>
          <w:cantSplit/>
        </w:trPr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Trilha de auditoria: sem histórico</w:t>
            </w:r>
          </w:p>
        </w:tc>
        <w:tc>
          <w:tcPr>
            <w:tcW w:w="4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Configuração, o Configurar notificação e as Notificações padrão gravam sem confirmação, sem justificativa e sem histórico. As alterações da Conta contábil e a troca de Grupo do profissional não entram no histórico. O histórico de um registro excluído não pode ser consultado</w:t>
            </w:r>
          </w:p>
        </w:tc>
        <w:tc>
          <w:tcPr>
            <w:tcW w:w="18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sabe quem mudou o quê</w:t>
            </w:r>
          </w:p>
        </w:tc>
        <w:tc>
          <w:tcPr>
            <w:tcW w:w="1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</w:tr>
      <w:tr>
        <w:trPr>
          <w:cantSplit/>
        </w:trPr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Assinatura eletrônica desligada</w:t>
            </w:r>
          </w:p>
        </w:tc>
        <w:tc>
          <w:tcPr>
            <w:tcW w:w="4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gravação da Administração pede a senha de novo</w:t>
            </w:r>
          </w:p>
        </w:tc>
        <w:tc>
          <w:tcPr>
            <w:tcW w:w="18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crítica sem confirmação da identidade</w:t>
            </w:r>
          </w:p>
        </w:tc>
        <w:tc>
          <w:tcPr>
            <w:tcW w:w="1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</w:t>
            </w:r>
          </w:p>
        </w:tc>
      </w:tr>
      <w:tr>
        <w:trPr>
          <w:cantSplit/>
        </w:trPr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Acesso ao sistema</w:t>
            </w:r>
          </w:p>
        </w:tc>
        <w:tc>
          <w:tcPr>
            <w:tcW w:w="4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telas de edição, de configuração e de relatório abrem digitando o endereço, sem permissão. O administrador vê a senha provisória na tela. A troca obrigatória de senha pode ser pulada. O login leva o token da sessão a qualquer endereço informado em um parâmetro de desenvolvimento</w:t>
            </w:r>
          </w:p>
        </w:tc>
        <w:tc>
          <w:tcPr>
            <w:tcW w:w="18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pessoa age como outra; a autoria perde valor</w:t>
            </w:r>
          </w:p>
        </w:tc>
        <w:tc>
          <w:tcPr>
            <w:tcW w:w="1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itens 9.3.2.3 e 9.7.7.1.2</w:t>
            </w:r>
          </w:p>
        </w:tc>
      </w:tr>
      <w:tr>
        <w:trPr>
          <w:cantSplit/>
        </w:trPr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Cadastros gerais</w:t>
            </w:r>
          </w:p>
        </w:tc>
        <w:tc>
          <w:tcPr>
            <w:tcW w:w="4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Incluem, editam e excluem, mas aceitam nomes e códigos repetidos em alguns cadastros, perdem letras e números digitados sem avisar e dão mensagens genéricas</w:t>
            </w:r>
          </w:p>
        </w:tc>
        <w:tc>
          <w:tcPr>
            <w:tcW w:w="18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 de referência com erro</w:t>
            </w:r>
          </w:p>
        </w:tc>
        <w:tc>
          <w:tcPr>
            <w:tcW w:w="1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Integridade de dados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ponto levantado antes </w:t>
      </w:r>
      <w:r>
        <w:rPr>
          <w:b/>
          <w:bCs/>
          <w:szCs w:val="20"/>
        </w:rPr>
        <w:t xml:space="preserve">não se confirmou</w:t>
      </w:r>
      <w:r>
        <w:rPr>
          <w:szCs w:val="20"/>
        </w:rPr>
        <w:t xml:space="preserve">: abrir o relatório de outro profissional trocando o número no endereço. O endereço do relatório não leva número.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4. O QUE JÁ FUNCIONA (E VALE MANTER)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Bloqueio da conta após tentativas erradas.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Validade de senha e de conta.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Perfis de acesso por função, com botões que respeitam as permissões.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Exclusão sem apagar o dado.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 campo a campo na maior parte dos cadastros, com justificativa em Conta gerencial, Local físico e Grau de contaminação (este é o modelo para os outros).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5. O QUE PRECISA SER CORRIGIDO PARA UMA NOVA HOMOLOGAÇÃO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Exigir justificativa</w:t>
      </w:r>
      <w:r>
        <w:rPr>
          <w:szCs w:val="20"/>
        </w:rPr>
        <w:t xml:space="preserve"> em toda alteração e exclusão de cadastro, e manter consultável o histórico do registro excluído (RF-PRI-042, 044, 096 e 097).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Gravar o histórico de todo campo alterado</w:t>
      </w:r>
      <w:r>
        <w:rPr>
          <w:szCs w:val="20"/>
        </w:rPr>
        <w:t xml:space="preserve">, com o valor antigo e o novo, inclusive na Configuração e nas notificações (RF-PRI-099 e 100).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Pedir a senha de novo</w:t>
      </w:r>
      <w:r>
        <w:rPr>
          <w:szCs w:val="20"/>
        </w:rPr>
        <w:t xml:space="preserve"> nas gravações críticas da Administração (RF-PRI-101).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Aceitar no login só endereços do próprio sistema</w:t>
      </w:r>
      <w:r>
        <w:rPr>
          <w:szCs w:val="20"/>
        </w:rPr>
        <w:t xml:space="preserve"> e nunca colocar o token no endereço (RNF-PRI-027 e 004).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Conferir a permissão no servidor</w:t>
      </w:r>
      <w:r>
        <w:rPr>
          <w:szCs w:val="20"/>
        </w:rPr>
        <w:t xml:space="preserve"> em todas as telas e ações, e deixar somente leitura a tela de quem só consulta (RF-PRI-032 e 033).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mostrar a senha provisória</w:t>
      </w:r>
      <w:r>
        <w:rPr>
          <w:szCs w:val="20"/>
        </w:rPr>
        <w:t xml:space="preserve"> ao administrador e exigir a troca antes de qualquer tela (RF-PRI-013 e 007).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modelo de como o Principal deve funcionar está em </w:t>
      </w:r>
      <w:r>
        <w:rPr>
          <w:b/>
          <w:bCs/>
          <w:szCs w:val="20"/>
        </w:rPr>
        <w:t xml:space="preserve">"O Principal ideal"</w:t>
      </w:r>
      <w:r>
        <w:rPr>
          <w:szCs w:val="20"/>
        </w:rPr>
        <w:t xml:space="preserve"> (passo 4 do roteiro).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6. LIMITAÇÕES DESTA HOMOLOGAÇÃO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Só o administrador foi usado na rodada 3.</w:t>
      </w:r>
      <w:r>
        <w:rPr>
          <w:szCs w:val="20"/>
        </w:rPr>
        <w:t xml:space="preserve"> Entrar como outro usuário exige o Reset de senha, e a senha provisória aparece na tela e não pode ser gravada. O acesso por perfil nas telas abertas só na rodada 3 ficou sem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Casos que dependem do DBA</w:t>
      </w:r>
      <w:r>
        <w:rPr>
          <w:szCs w:val="20"/>
        </w:rPr>
        <w:t xml:space="preserve"> (CT-PRI-012, 083 e 084): sem as respostas, a trilha de auditoria não pode ser dada como conforme.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feitos:</w:t>
      </w:r>
      <w:r>
        <w:rPr>
          <w:szCs w:val="20"/>
        </w:rPr>
        <w:t xml:space="preserve"> excluir e inativar registro "em uso" nos cadastros, relacionamentos com Produção e CQ, relatório Usuário × Perfil, conteúdo de Imprimir e Excel, segurança da aplicação e carga de dados.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defeito do login (DV-PRI-050) foi observado só com destino dentro do próprio sistema.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7. O QUE PRECISO DO DBA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96"/>
        <w:gridCol w:w="6653"/>
        <w:gridCol w:w="2482"/>
      </w:tblGrid>
      <w:tr>
        <w:trPr>
          <w:tblHeader/>
          <w:cantSplit/>
        </w:trPr>
        <w:tc>
          <w:tcPr>
            <w:tcW w:w="4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66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Pedido</w:t>
            </w:r>
          </w:p>
        </w:tc>
        <w:tc>
          <w:tcPr>
            <w:tcW w:w="24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 que destrava</w:t>
            </w:r>
          </w:p>
        </w:tc>
      </w:tr>
      <w:tr>
        <w:trPr>
          <w:cantSplit/>
        </w:trPr>
        <w:tc>
          <w:tcPr>
            <w:tcW w:w="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6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Mostrar o registro de acessos</w:t>
            </w:r>
            <w:r>
              <w:rPr>
                <w:sz w:val="18"/>
                <w:szCs w:val="20"/>
              </w:rPr>
              <w:t xml:space="preserve"> (login, data, hora, origem e resultado) de uma tentativa recusada e de uma aceita, do usuário administrador de teste</w:t>
            </w:r>
          </w:p>
        </w:tc>
        <w:tc>
          <w:tcPr>
            <w:tcW w:w="2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CT-PRI-005 e CT-PRI-012</w:t>
            </w:r>
          </w:p>
        </w:tc>
      </w:tr>
      <w:tr>
        <w:trPr>
          <w:cantSplit/>
        </w:trPr>
        <w:tc>
          <w:tcPr>
            <w:tcW w:w="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6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Completude e proteção do histórico de alterações</w:t>
            </w:r>
            <w:r>
              <w:rPr>
                <w:sz w:val="18"/>
                <w:szCs w:val="20"/>
              </w:rPr>
              <w:t xml:space="preserve">: consultas no banco e uma alteração em registro de teste. O roteiro de consultas é passado ao DBA em separado</w:t>
            </w:r>
          </w:p>
        </w:tc>
        <w:tc>
          <w:tcPr>
            <w:tcW w:w="2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CT-PRI-083, CT-PRI-084 e DV-PRI-014</w:t>
            </w:r>
          </w:p>
        </w:tc>
      </w:tr>
      <w:tr>
        <w:trPr>
          <w:cantSplit/>
        </w:trPr>
        <w:tc>
          <w:tcPr>
            <w:tcW w:w="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6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Ajustar a validade da senha</w:t>
            </w:r>
            <w:r>
              <w:rPr>
                <w:sz w:val="18"/>
                <w:szCs w:val="20"/>
              </w:rPr>
              <w:t xml:space="preserve"> de um usuário de teste para ontem, para testar a senha vencida</w:t>
            </w:r>
          </w:p>
        </w:tc>
        <w:tc>
          <w:tcPr>
            <w:tcW w:w="2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CT-PRI-036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São consultas, exceto o pedido 2 (alteração em registro de teste) e o 3 (usuário de teste).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8. O QUE MUDA NA REABERTURA E COMO O MÓDULO PASSA A "APTO"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módulo está fechado. Ele só volta a ser testado quando houver fato novo: o DBA responder, o desenvolvimento corrigir os defeitos de gravidade alta ou houver um segundo usuário de teste. Na reabertura, repetem-se os 16 defeitos de gravidade alta, executa-se o acesso por perfil e as exclusões em uso e, por risco, os casos novos propostos por tela.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passar a "apto": executar novamente o plano de testes completo na nova versão, como teste de aceite. A aprovação exige </w:t>
      </w:r>
      <w:r>
        <w:rPr>
          <w:b/>
          <w:bCs/>
          <w:szCs w:val="20"/>
        </w:rPr>
        <w:t xml:space="preserve">100% dos casos de prioridade alta aprovados</w:t>
      </w:r>
      <w:r>
        <w:rPr>
          <w:szCs w:val="20"/>
        </w:rPr>
        <w:t xml:space="preserve">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Principal – Principal: por que não está apto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Principal – Principal: por que não está apto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