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92"/>
            </w:pPr>
          </w:p>
          <w:p>
            <w:pPr>
              <w:pBdr>
                <w:bottom w:val="single" w:color="37DCF2" w:sz="6" w:space="8"/>
              </w:pBdr>
              <w:spacing w:after="500"/>
              <w:ind w:left="1200" w:right="800"/>
            </w:pPr>
            <w:r>
              <w:rPr>
                <w:rFonts w:ascii="Calibri" w:eastAsia="SimHei"/>
                <w:color w:val="37DCF2"/>
                <w:spacing w:val="40"/>
                <w:sz w:val="18"/>
                <w:szCs w:val="18"/>
              </w:rPr>
              <w:t xml:space="preserve">C  O  S  T  P  R  O     4     M  U  L  T  I  T  I  E  N  D  A</w:t>
            </w:r>
          </w:p>
          <w:p>
            <w:pPr>
              <w:spacing w:after="100" w:line="920" w:lineRule="atLeast"/>
              <w:ind w:left="1200"/>
            </w:pPr>
            <w:r>
              <w:rPr>
                <w:rFonts w:ascii="Arial" w:eastAsia="SimHei"/>
                <w:b/>
                <w:bCs/>
                <w:color w:val="FFFFFF"/>
                <w:sz w:val="80"/>
                <w:szCs w:val="80"/>
              </w:rPr>
              <w:t xml:space="preserve">Paquete de ejecución</w:t>
            </w:r>
          </w:p>
          <w:p>
            <w:pPr>
              <w:spacing w:after="300" w:line="920" w:lineRule="atLeast"/>
              <w:ind w:left="1200"/>
            </w:pPr>
            <w:r>
              <w:rPr>
                <w:rFonts w:ascii="Arial" w:eastAsia="SimHei"/>
                <w:b/>
                <w:bCs/>
                <w:color w:val="FFFFFF"/>
                <w:sz w:val="80"/>
                <w:szCs w:val="80"/>
              </w:rPr>
              <w:t xml:space="preserve">CP-SEC-027</w:t>
            </w:r>
          </w:p>
          <w:p>
            <w:pPr>
              <w:spacing w:after="800"/>
              <w:ind w:left="1200"/>
            </w:pPr>
            <w:r>
              <w:rPr>
                <w:rFonts w:ascii="Arial" w:eastAsia="Microsoft YaHei"/>
                <w:color w:val="B0B8C0"/>
                <w:sz w:val="24"/>
                <w:szCs w:val="24"/>
              </w:rPr>
              <w:t xml:space="preserve">Catálogo público sin exposición de costos (P1): Fases A-B-C exactas, verificaciones obligatorias, reversión por fase y plan de despliegue</w:t>
            </w:r>
          </w:p>
          <w:p>
            <w:pPr>
              <w:pBdr>
                <w:left w:val="single" w:color="37DCF2" w:sz="8" w:space="12"/>
              </w:pBdr>
              <w:spacing w:after="80"/>
              <w:ind w:left="1400"/>
            </w:pPr>
            <w:r>
              <w:rPr>
                <w:rFonts w:ascii="Arial" w:eastAsia="Microsoft YaHei"/>
                <w:color w:val="90989F"/>
                <w:sz w:val="24"/>
                <w:szCs w:val="24"/>
              </w:rPr>
              <w:t xml:space="preserve">Base: main 98e0d31e (fusión PR #1424, 2026-10-19T10:51:49Z)</w:t>
            </w:r>
          </w:p>
          <w:p>
            <w:pPr>
              <w:pBdr>
                <w:left w:val="single" w:color="37DCF2" w:sz="8" w:space="12"/>
              </w:pBdr>
              <w:spacing w:after="80"/>
              <w:ind w:left="1400"/>
            </w:pPr>
            <w:r>
              <w:rPr>
                <w:rFonts w:ascii="Arial" w:eastAsia="Microsoft YaHei"/>
                <w:color w:val="90989F"/>
                <w:sz w:val="24"/>
                <w:szCs w:val="24"/>
              </w:rPr>
              <w:t xml:space="preserve">Migración exclusiva: 20261019000001_cp_sec_027_catalogo_publico.sql</w:t>
            </w:r>
          </w:p>
          <w:p>
            <w:pPr>
              <w:pBdr>
                <w:left w:val="single" w:color="37DCF2" w:sz="8" w:space="12"/>
              </w:pBdr>
              <w:spacing w:after="80"/>
              <w:ind w:left="1400"/>
            </w:pPr>
            <w:r>
              <w:rPr>
                <w:rFonts w:ascii="Arial" w:eastAsia="Microsoft YaHei"/>
                <w:color w:val="90989F"/>
                <w:sz w:val="24"/>
                <w:szCs w:val="24"/>
              </w:rPr>
              <w:t xml:space="preserve">Estado: preparado y detenido para autorización expresa de ejecución</w:t>
            </w:r>
          </w:p>
          <w:p>
            <w:pPr>
              <w:pBdr>
                <w:left w:val="single" w:color="37DCF2" w:sz="8" w:space="12"/>
              </w:pBdr>
              <w:spacing w:after="80"/>
              <w:ind w:left="1400"/>
            </w:pPr>
            <w:r>
              <w:rPr>
                <w:rFonts w:ascii="Arial" w:eastAsia="Microsoft YaHei"/>
                <w:color w:val="90989F"/>
                <w:sz w:val="24"/>
                <w:szCs w:val="24"/>
              </w:rPr>
              <w:t xml:space="preserve">Fecha del paquete: 19 de octubre de 2026</w:t>
            </w:r>
          </w:p>
          <w:p>
            <w:pPr>
              <w:spacing w:before="4092"/>
            </w:pPr>
          </w:p>
          <w:p>
            <w:pPr>
              <w:pBdr>
                <w:top w:val="single" w:color="37DCF2" w:sz="2" w:space="8"/>
              </w:pBdr>
              <w:spacing w:before="200"/>
              <w:ind w:left="1200" w:right="800"/>
            </w:pPr>
            <w:r>
              <w:rPr>
                <w:rFonts w:ascii="Arial"/>
                <w:color w:val="687078"/>
                <w:sz w:val="16"/>
                <w:szCs w:val="16"/>
              </w:rPr>
              <w:t xml:space="preserve">COSTPRO 4 Multitienda</w:t>
            </w:r>
            <w:r>
              <w:t xml:space="preserve">                                        </w:t>
            </w:r>
            <w:r>
              <w:rPr>
                <w:rFonts w:ascii="Arial"/>
                <w:color w:val="687078"/>
                <w:sz w:val="16"/>
                <w:szCs w:val="16"/>
              </w:rPr>
              <w:t xml:space="preserve">2026-10-19 · Confidencial</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62235"/>
          <w:sz w:val="32"/>
          <w:szCs w:val="32"/>
        </w:rPr>
        <w:t xml:space="preserve">Índice</w:t>
      </w:r>
    </w:p>
    <w:sdt>
      <w:sdtPr>
        <w:alias w:val="Tabla de contenido"/>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Resumen ejecutivo y límites de esta autorización</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Resumen ejecutivo y límites de esta autorización</w:t>
          </w:r>
          <w:r>
            <w:tab/>
          </w:r>
          <w:r>
            <w:t>1</w:t>
          </w:r>
        </w:p>
        <w:p>
          <w:pPr>
            <w:pStyle w:val="9"/>
            <w:tabs>
              <w:tab w:val="right" w:leader="dot" w:pos="9026"/>
            </w:tabs>
            <w:spacing w:before="120" w:after="60"/>
          </w:pPr>
          <w:r>
            <w:t>2. Estado base verificado: GitHub y producción</w:t>
          </w:r>
          <w:r>
            <w:tab/>
          </w:r>
          <w:r>
            <w:t>2</w:t>
          </w:r>
        </w:p>
        <w:p>
          <w:pPr>
            <w:pStyle w:val="11"/>
            <w:ind w:left="360"/>
            <w:tabs>
              <w:tab w:val="right" w:leader="dot" w:pos="9026"/>
            </w:tabs>
            <w:spacing w:before="120" w:after="60"/>
          </w:pPr>
          <w:r>
            <w:t>2.1 Identificadores verificados sobre GitHub</w:t>
          </w:r>
          <w:r>
            <w:tab/>
          </w:r>
          <w:r>
            <w:t>2</w:t>
          </w:r>
        </w:p>
        <w:p>
          <w:pPr>
            <w:pStyle w:val="11"/>
            <w:ind w:left="360"/>
            <w:tabs>
              <w:tab w:val="right" w:leader="dot" w:pos="9026"/>
            </w:tabs>
            <w:spacing w:before="120" w:after="60"/>
          </w:pPr>
          <w:r>
            <w:t>2.2 El avance de main tras la base y su tratamiento en la Fase B</w:t>
          </w:r>
          <w:r>
            <w:tab/>
          </w:r>
          <w:r>
            <w:t>2</w:t>
          </w:r>
        </w:p>
        <w:p>
          <w:pPr>
            <w:pStyle w:val="11"/>
            <w:ind w:left="360"/>
            <w:tabs>
              <w:tab w:val="right" w:leader="dot" w:pos="9026"/>
            </w:tabs>
            <w:spacing w:before="120" w:after="60"/>
          </w:pPr>
          <w:r>
            <w:t>2.3 Estado previo de la producción: vistas, políticas y privilegios</w:t>
          </w:r>
          <w:r>
            <w:tab/>
          </w:r>
          <w:r>
            <w:t>2</w:t>
          </w:r>
        </w:p>
        <w:p>
          <w:pPr>
            <w:pStyle w:val="11"/>
            <w:ind w:left="360"/>
            <w:tabs>
              <w:tab w:val="right" w:leader="dot" w:pos="9026"/>
            </w:tabs>
            <w:spacing w:before="120" w:after="60"/>
          </w:pPr>
          <w:r>
            <w:t>2.4 Consumidores del catálogo público: quién lee qué y con qué clave</w:t>
          </w:r>
          <w:r>
            <w:tab/>
          </w:r>
          <w:r>
            <w:t>3</w:t>
          </w:r>
        </w:p>
        <w:p>
          <w:pPr>
            <w:pStyle w:val="9"/>
            <w:tabs>
              <w:tab w:val="right" w:leader="dot" w:pos="9026"/>
            </w:tabs>
            <w:spacing w:before="120" w:after="60"/>
          </w:pPr>
          <w:r>
            <w:t>3. La migración 20261019000001 y su despliegue en tres fases</w:t>
          </w:r>
          <w:r>
            <w:tab/>
          </w:r>
          <w:r>
            <w:t>3</w:t>
          </w:r>
        </w:p>
        <w:p>
          <w:pPr>
            <w:pStyle w:val="9"/>
            <w:tabs>
              <w:tab w:val="right" w:leader="dot" w:pos="9026"/>
            </w:tabs>
            <w:spacing w:before="120" w:after="60"/>
          </w:pPr>
          <w:r>
            <w:t>4. Fase A — Aditiva: SQL exacto y verificación de consumidores</w:t>
          </w:r>
          <w:r>
            <w:tab/>
          </w:r>
          <w:r>
            <w:t>4</w:t>
          </w:r>
        </w:p>
        <w:p>
          <w:pPr>
            <w:pStyle w:val="11"/>
            <w:ind w:left="360"/>
            <w:tabs>
              <w:tab w:val="right" w:leader="dot" w:pos="9026"/>
            </w:tabs>
            <w:spacing w:before="120" w:after="60"/>
          </w:pPr>
          <w:r>
            <w:t>4.1 SQL íntegro de la Fase A (verbatim, secciones 1 a 4)</w:t>
          </w:r>
          <w:r>
            <w:tab/>
          </w:r>
          <w:r>
            <w:t>4</w:t>
          </w:r>
        </w:p>
        <w:p>
          <w:pPr>
            <w:pStyle w:val="11"/>
            <w:ind w:left="360"/>
            <w:tabs>
              <w:tab w:val="right" w:leader="dot" w:pos="9026"/>
            </w:tabs>
            <w:spacing w:before="120" w:after="60"/>
          </w:pPr>
          <w:r>
            <w:t>4.2 Ventana sin impacto y semántica de cada objeto</w:t>
          </w:r>
          <w:r>
            <w:tab/>
          </w:r>
          <w:r>
            <w:t>16</w:t>
          </w:r>
        </w:p>
        <w:p>
          <w:pPr>
            <w:pStyle w:val="11"/>
            <w:ind w:left="360"/>
            <w:tabs>
              <w:tab w:val="right" w:leader="dot" w:pos="9026"/>
            </w:tabs>
            <w:spacing w:before="120" w:after="60"/>
          </w:pPr>
          <w:r>
            <w:t>4.3 Verificación de que los consumidores pueden consultar las vistas</w:t>
          </w:r>
          <w:r>
            <w:tab/>
          </w:r>
          <w:r>
            <w:t>16</w:t>
          </w:r>
        </w:p>
        <w:p>
          <w:pPr>
            <w:pStyle w:val="11"/>
            <w:ind w:left="360"/>
            <w:tabs>
              <w:tab w:val="right" w:leader="dot" w:pos="9026"/>
            </w:tabs>
            <w:spacing w:before="120" w:after="60"/>
          </w:pPr>
          <w:r>
            <w:t>4.4 Resultado esperado al cierre de la Fase A</w:t>
          </w:r>
          <w:r>
            <w:tab/>
          </w:r>
          <w:r>
            <w:t>19</w:t>
          </w:r>
        </w:p>
        <w:p>
          <w:pPr>
            <w:pStyle w:val="9"/>
            <w:tabs>
              <w:tab w:val="right" w:leader="dot" w:pos="9026"/>
            </w:tabs>
            <w:spacing w:before="120" w:after="60"/>
          </w:pPr>
          <w:r>
            <w:t>5. Fase B — Aplicación: commit, entorno, salud del servidor y endpoints</w:t>
          </w:r>
          <w:r>
            <w:tab/>
          </w:r>
          <w:r>
            <w:t>19</w:t>
          </w:r>
        </w:p>
        <w:p>
          <w:pPr>
            <w:pStyle w:val="11"/>
            <w:ind w:left="360"/>
            <w:tabs>
              <w:tab w:val="right" w:leader="dot" w:pos="9026"/>
            </w:tabs>
            <w:spacing w:before="120" w:after="60"/>
          </w:pPr>
          <w:r>
            <w:t>5.1 Commit de código que se desplegará</w:t>
          </w:r>
          <w:r>
            <w:tab/>
          </w:r>
          <w:r>
            <w:t>19</w:t>
          </w:r>
        </w:p>
        <w:p>
          <w:pPr>
            <w:pStyle w:val="11"/>
            <w:ind w:left="360"/>
            <w:tabs>
              <w:tab w:val="right" w:leader="dot" w:pos="9026"/>
            </w:tabs>
            <w:spacing w:before="120" w:after="60"/>
          </w:pPr>
          <w:r>
            <w:t>5.2 Variables de entorno a comprobar antes del arranque</w:t>
          </w:r>
          <w:r>
            <w:tab/>
          </w:r>
          <w:r>
            <w:t>20</w:t>
          </w:r>
        </w:p>
        <w:p>
          <w:pPr>
            <w:pStyle w:val="11"/>
            <w:ind w:left="360"/>
            <w:tabs>
              <w:tab w:val="right" w:leader="dot" w:pos="9026"/>
            </w:tabs>
            <w:spacing w:before="120" w:after="60"/>
          </w:pPr>
          <w:r>
            <w:t>5.3 Salud del servidor con PM2 apagado: comprobaciones previas</w:t>
          </w:r>
          <w:r>
            <w:tab/>
          </w:r>
          <w:r>
            <w:t>20</w:t>
          </w:r>
        </w:p>
        <w:p>
          <w:pPr>
            <w:pStyle w:val="11"/>
            <w:ind w:left="360"/>
            <w:tabs>
              <w:tab w:val="right" w:leader="dot" w:pos="9026"/>
            </w:tabs>
            <w:spacing w:before="120" w:after="60"/>
          </w:pPr>
          <w:r>
            <w:t>5.4 Endpoints afectados y secuencia exacta de la Fase B</w:t>
          </w:r>
          <w:r>
            <w:tab/>
          </w:r>
          <w:r>
            <w:t>20</w:t>
          </w:r>
        </w:p>
        <w:p>
          <w:pPr>
            <w:pStyle w:val="9"/>
            <w:tabs>
              <w:tab w:val="right" w:leader="dot" w:pos="9026"/>
            </w:tabs>
            <w:spacing w:before="120" w:after="60"/>
          </w:pPr>
          <w:r>
            <w:t>6. Fase C — Restricción: SQL exacto y precondiciones</w:t>
          </w:r>
          <w:r>
            <w:tab/>
          </w:r>
          <w:r>
            <w:t>24</w:t>
          </w:r>
        </w:p>
        <w:p>
          <w:pPr>
            <w:pStyle w:val="9"/>
            <w:tabs>
              <w:tab w:val="right" w:leader="dot" w:pos="9026"/>
            </w:tabs>
            <w:spacing w:before="120" w:after="60"/>
          </w:pPr>
          <w:r>
            <w:t>7. Análisis de dependencias y conflictos entre las tres fases</w:t>
          </w:r>
          <w:r>
            <w:tab/>
          </w:r>
          <w:r>
            <w:t>28</w:t>
          </w:r>
        </w:p>
        <w:p>
          <w:pPr>
            <w:pStyle w:val="9"/>
            <w:tabs>
              <w:tab w:val="right" w:leader="dot" w:pos="9026"/>
            </w:tabs>
            <w:spacing w:before="120" w:after="60"/>
          </w:pPr>
          <w:r>
            <w:t>8. Procedimientos de reversión por fase, riesgos y limitaciones</w:t>
          </w:r>
          <w:r>
            <w:tab/>
          </w:r>
          <w:r>
            <w:t>29</w:t>
          </w:r>
        </w:p>
        <w:p>
          <w:pPr>
            <w:pStyle w:val="11"/>
            <w:ind w:left="360"/>
            <w:tabs>
              <w:tab w:val="right" w:leader="dot" w:pos="9026"/>
            </w:tabs>
            <w:spacing w:before="120" w:after="60"/>
          </w:pPr>
          <w:r>
            <w:t>8.1 Reversión de la Fase C (emergencia: reabre la superficie anon de tablas)</w:t>
          </w:r>
          <w:r>
            <w:tab/>
          </w:r>
          <w:r>
            <w:t>29</w:t>
          </w:r>
        </w:p>
        <w:p>
          <w:pPr>
            <w:pStyle w:val="11"/>
            <w:ind w:left="360"/>
            <w:tabs>
              <w:tab w:val="right" w:leader="dot" w:pos="9026"/>
            </w:tabs>
            <w:spacing w:before="120" w:after="60"/>
          </w:pPr>
          <w:r>
            <w:t>8.2 Reversión de la Fase B (vuelve al último código conocido bueno)</w:t>
          </w:r>
          <w:r>
            <w:tab/>
          </w:r>
          <w:r>
            <w:t>32</w:t>
          </w:r>
        </w:p>
        <w:p>
          <w:pPr>
            <w:pStyle w:val="11"/>
            <w:ind w:left="360"/>
            <w:tabs>
              <w:tab w:val="right" w:leader="dot" w:pos="9026"/>
            </w:tabs>
            <w:spacing w:before="120" w:after="60"/>
          </w:pPr>
          <w:r>
            <w:t>8.3 Reversión de la Fase A (solo si B no está desplegada)</w:t>
          </w:r>
          <w:r>
            <w:tab/>
          </w:r>
          <w:r>
            <w:t>33</w:t>
          </w:r>
        </w:p>
        <w:p>
          <w:pPr>
            <w:pStyle w:val="9"/>
            <w:tabs>
              <w:tab w:val="right" w:leader="dot" w:pos="9026"/>
            </w:tabs>
            <w:spacing w:before="120" w:after="60"/>
          </w:pPr>
          <w:r>
            <w:t>9. Matriz de pruebas de acceso con anon y authenticated</w:t>
          </w:r>
          <w:r>
            <w:tab/>
          </w:r>
          <w:r>
            <w:t>34</w:t>
          </w:r>
        </w:p>
        <w:p>
          <w:pPr>
            <w:pStyle w:val="9"/>
            <w:tabs>
              <w:tab w:val="right" w:leader="dot" w:pos="9026"/>
            </w:tabs>
            <w:spacing w:before="120" w:after="60"/>
          </w:pPr>
          <w:r>
            <w:t>10. Verificación post-migración: comandos y resultados esperados</w:t>
          </w:r>
          <w:r>
            <w:tab/>
          </w:r>
          <w:r>
            <w:t>38</w:t>
          </w:r>
        </w:p>
        <w:p>
          <w:pPr>
            <w:pStyle w:val="9"/>
            <w:tabs>
              <w:tab w:val="right" w:leader="dot" w:pos="9026"/>
            </w:tabs>
            <w:spacing w:before="120" w:after="60"/>
          </w:pPr>
          <w:r>
            <w:t>11. Plan de despliegue y recuperación del servicio (PM2 apagado)</w:t>
          </w:r>
          <w:r>
            <w:tab/>
          </w:r>
          <w:r>
            <w:t>39</w:t>
          </w:r>
        </w:p>
        <w:p>
          <w:pPr>
            <w:pStyle w:val="9"/>
            <w:tabs>
              <w:tab w:val="right" w:leader="dot" w:pos="9026"/>
            </w:tabs>
            <w:spacing w:before="120" w:after="60"/>
          </w:pPr>
          <w:r>
            <w:t>12. Criterios de aceptación y evidencia requerida</w:t>
          </w:r>
          <w:r>
            <w:tab/>
          </w:r>
          <w:r>
            <w:t>40</w:t>
          </w:r>
        </w:p>
        <w:p>
          <w:pPr>
            <w:pStyle w:val="9"/>
            <w:tabs>
              <w:tab w:val="right" w:leader="dot" w:pos="9026"/>
            </w:tabs>
            <w:spacing w:before="120" w:after="60"/>
          </w:pPr>
          <w:r>
            <w:t>13. Límites operativos, fuera de alcance y autorización solicitada</w:t>
          </w:r>
          <w:r>
            <w:tab/>
          </w:r>
          <w:r>
            <w:t>40</w:t>
          </w:r>
        </w:p>
        <w:p>
          <w:pPr>
            <w:pStyle w:val="9"/>
            <w:tabs>
              <w:tab w:val="right" w:leader="dot" w:pos="9026"/>
            </w:tabs>
            <w:spacing w:before="120" w:after="60"/>
          </w:pPr>
          <w:r>
            <w:t>Anexo A. Archivos SQL auxiliares entregados con este paquete</w:t>
          </w:r>
          <w:r>
            <w:tab/>
          </w:r>
          <w:r>
            <w:t>41</w:t>
          </w:r>
        </w:p>
        <w:p>
          <w:r>
            <w:fldChar w:fldCharType="end"/>
          </w:r>
        </w:p>
      </w:sdtContent>
    </w:sdt>
    <w:p>
      <w:pPr>
        <w:spacing w:before="200"/>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Nota: este índice se genera mediante códigos de campo. Para asegurar la exactitud de los números de página tras editar el documento, haga clic derecho sobre el índice y seleccione Actualizar campo.</w:t>
      </w:r>
    </w:p>
    <w:p>
      <w:pPr>
        <w:pStyle w:val="Heading1"/>
        <w:spacing w:after="160" w:before="360" w:line="312"/>
      </w:pPr>
      <w:bookmarkStart w:name="_Toc1" w:id="1"/>
      <w:r>
        <w:rPr>
          <w:rFonts w:ascii="Times New Roman" w:eastAsia="SimHei"/>
          <w:b/>
          <w:bCs/>
          <w:color w:val="162235"/>
          <w:sz w:val="32"/>
          <w:szCs w:val="32"/>
        </w:rPr>
        <w:t xml:space="preserve">1. Resumen ejecutivo y límites de esta autorización</w:t>
      </w:r>
      <w:bookmarkEnd w:id="1"/>
    </w:p>
    <w:p>
      <w:pPr>
        <w:spacing w:after="120" w:line="312"/>
        <w:jc w:val="both"/>
      </w:pPr>
      <w:r>
        <w:rPr>
          <w:rFonts w:ascii="Times New Roman"/>
          <w:color w:val="000000"/>
          <w:sz w:val="24"/>
          <w:szCs w:val="24"/>
        </w:rPr>
        <w:t xml:space="preserve">Este documento es el paquete de ejecución de </w:t>
      </w:r>
      <w:r>
        <w:rPr>
          <w:rFonts w:ascii="Times New Roman"/>
          <w:b/>
          <w:bCs/>
          <w:color w:val="000000"/>
          <w:sz w:val="24"/>
          <w:szCs w:val="24"/>
        </w:rPr>
        <w:t xml:space="preserve">CP-SEC-027 — catálogo público sin exposición de costos (P1)</w:t>
      </w:r>
      <w:r>
        <w:rPr>
          <w:rFonts w:ascii="Times New Roman"/>
          <w:color w:val="000000"/>
          <w:sz w:val="24"/>
          <w:szCs w:val="24"/>
        </w:rPr>
        <w:t xml:space="preserve">, preparado en respuesta a la orden operativa del 19 de octubre de 2026. Su contenido es exclusivamente preparatorio: presenta las tres fases de la migración </w:t>
      </w:r>
      <w:r>
        <w:rPr>
          <w:rFonts w:ascii="Courier New" w:eastAsia="Microsoft YaHei"/>
          <w:color w:val="162235"/>
          <w:sz w:val="21"/>
          <w:szCs w:val="21"/>
        </w:rPr>
        <w:t xml:space="preserve">20261019000001_cp_sec_027_catalogo_publico.sql</w:t>
      </w:r>
      <w:r>
        <w:rPr>
          <w:rFonts w:ascii="Times New Roman"/>
          <w:color w:val="000000"/>
          <w:sz w:val="24"/>
          <w:szCs w:val="24"/>
        </w:rPr>
        <w:t xml:space="preserve"> separadas y exactas, el estado previo verificado de la base de datos y de los consumidores, el análisis de dependencias, los procedimientos de reversión por fase, la matriz de pruebas de acceso con los roles anon y authenticated, los comandos de verificación post-migración con sus resultados esperados, y el plan de despliegue considerando que PM2 figura apagado en el último diagnóstico. Nada de lo aquí descrito ha sido ejecutado: durante la preparación no se ejecutó SQL de cambio alguno, no se modificó la producción y no se reinició ningún proceso.</w:t>
      </w:r>
    </w:p>
    <w:p>
      <w:pPr>
        <w:spacing w:after="120" w:line="312"/>
        <w:jc w:val="both"/>
      </w:pPr>
      <w:r>
        <w:rPr>
          <w:rFonts w:ascii="Times New Roman"/>
          <w:color w:val="000000"/>
          <w:sz w:val="24"/>
          <w:szCs w:val="24"/>
        </w:rPr>
        <w:t xml:space="preserve">La base declarada por el propietario es </w:t>
      </w:r>
      <w:r>
        <w:rPr>
          <w:rFonts w:ascii="Times New Roman"/>
          <w:b/>
          <w:bCs/>
          <w:color w:val="000000"/>
          <w:sz w:val="24"/>
          <w:szCs w:val="24"/>
        </w:rPr>
        <w:t xml:space="preserve">main en 98e0d31e</w:t>
      </w:r>
      <w:r>
        <w:rPr>
          <w:rFonts w:ascii="Times New Roman"/>
          <w:color w:val="000000"/>
          <w:sz w:val="24"/>
          <w:szCs w:val="24"/>
        </w:rPr>
        <w:t xml:space="preserve"> (fusión del PR #1424, 2026-10-19T10:51:49Z). La verificación de hoy confirma esa base y añade un hecho que el propietario debe conocer antes de autorizar: main avanzó después a </w:t>
      </w:r>
      <w:r>
        <w:rPr>
          <w:rFonts w:ascii="Times New Roman"/>
          <w:b/>
          <w:bCs/>
          <w:color w:val="000000"/>
          <w:sz w:val="24"/>
          <w:szCs w:val="24"/>
        </w:rPr>
        <w:t xml:space="preserve">2be38e21b</w:t>
      </w:r>
      <w:r>
        <w:rPr>
          <w:rFonts w:ascii="Times New Roman"/>
          <w:color w:val="000000"/>
          <w:sz w:val="24"/>
          <w:szCs w:val="24"/>
        </w:rPr>
        <w:t xml:space="preserve"> al fusionarse el PR #1423 (centro de control de fechas de trabajo) a las 11:34:48Z. El impacto se limita a la Fase B y está resuelto con una regla explícita: el despliegue de esta operación se fija al commit exacto 98e0d31e, sin adoptar el tip actual de main; el PR #1423 queda fuera de la ventana de CP-SEC-027 y su despliegue es una decisión posterior e independiente.</w:t>
      </w:r>
    </w:p>
    <w:p>
      <w:pPr>
        <w:spacing w:after="60" w:line="312"/>
        <w:jc w:val="both"/>
      </w:pPr>
      <w:r>
        <w:rPr>
          <w:rFonts w:ascii="Times New Roman"/>
          <w:color w:val="000000"/>
          <w:sz w:val="24"/>
          <w:szCs w:val="24"/>
        </w:rPr>
        <w:t xml:space="preserve">El paquete usa exclusivamente la migración fusionada: no reescribe ni una línea del SQL, no inventa SQL alternativo y ningún objeto ajeno al alcance es tocado. Los cinco archivos SQL auxiliares que acompañan a este documento son recortes mecánicos y literales del archivo fusionado, más un script de línea base de solo lectura; cada uno declara su origen exacto en su cabecera. La operación culmina con una solicitud de autorización concreta y se detiene ahí: </w:t>
      </w:r>
      <w:r>
        <w:rPr>
          <w:rFonts w:ascii="Times New Roman"/>
          <w:b/>
          <w:bCs/>
          <w:color w:val="000000"/>
          <w:sz w:val="24"/>
          <w:szCs w:val="24"/>
        </w:rPr>
        <w:t xml:space="preserve">no se ejecutará ninguna fase hasta que el propietario la autorice por escrito</w:t>
      </w:r>
      <w:r>
        <w:rPr>
          <w:rFonts w:ascii="Times New Roman"/>
          <w:color w:val="000000"/>
          <w:sz w:val="24"/>
          <w:szCs w:val="24"/>
        </w:rPr>
        <w:t xml:space="preserve">, y la operación no se declarará terminada hasta que los seis criterios de aceptación del capítulo 12 estén verificados con evidencia posterior a los cambios, no con resultados de CI.</w:t>
      </w:r>
    </w:p>
    <w:p>
      <w:pPr>
        <w:keepNext/>
        <w:spacing w:after="80" w:before="200" w:line="312"/>
        <w:jc w:val="left"/>
      </w:pPr>
      <w:r>
        <w:rPr>
          <w:rFonts w:ascii="Times New Roman"/>
          <w:b/>
          <w:bCs/>
          <w:color w:val="162235"/>
          <w:sz w:val="21"/>
          <w:szCs w:val="21"/>
        </w:rPr>
        <w:t xml:space="preserve">Tabla 1: Límites operativos vigentes durante la preparación (y hasta la autorización)</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285"/>
        <w:gridCol w:w="6503"/>
      </w:tblGrid>
      <w:tr>
        <w:trPr>
          <w:cantSplit/>
          <w:tblHeader/>
        </w:trPr>
        <w:tc>
          <w:tcPr>
            <w:tcW w:type="pct" w:w="13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Límite</w:t>
            </w:r>
          </w:p>
        </w:tc>
        <w:tc>
          <w:tcPr>
            <w:tcW w:type="pct" w:w="37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Alcance exacto de la restricción</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Sin SQL de cambio</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 ejecutar la migración ni ninguna fase (A, B o C) en producción; solo se permite SQL de solo lectura.</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SimSun"/>
                <w:b/>
                <w:bCs/>
                <w:color w:val="000000"/>
                <w:sz w:val="21"/>
                <w:szCs w:val="21"/>
              </w:rPr>
              <w:t xml:space="preserve">Sin escrituras en producción</w:t>
            </w:r>
          </w:p>
        </w:tc>
        <w:tc>
          <w:tcPr>
            <w:tcW w:type="pct" w:w="37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 aplicar 20261018000000, no ejecutar el backfill de david9999, no tocar policies de otros ámbitos (CP-SEC-025/026 intactos).</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Sin reinicio de PM2</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 arrancar ni reiniciar el servidor de aplicación; el arranque en frío de la Fase B queda descrito pero no ejecutado.</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SimSun"/>
                <w:b/>
                <w:bCs/>
                <w:color w:val="000000"/>
                <w:sz w:val="21"/>
                <w:szCs w:val="21"/>
              </w:rPr>
              <w:t xml:space="preserve">Sin duplicar fusiones</w:t>
            </w:r>
          </w:p>
        </w:tc>
        <w:tc>
          <w:tcPr>
            <w:tcW w:type="pct" w:w="37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 #1422 y #1424 ya están fusionados; no se crea ningún PR nuevo ni se repite ningún merge.</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21"/>
                <w:szCs w:val="21"/>
              </w:rPr>
              <w:t xml:space="preserve">Sin decisiones de negocio</w:t>
            </w:r>
          </w:p>
        </w:tc>
        <w:tc>
          <w:tcPr>
            <w:tcW w:type="pct" w:w="37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Decisiones A, B.1, C, D y E siguen sin resolver y no se toman por inferencia en este paquete.</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SimSun"/>
                <w:b/>
                <w:bCs/>
                <w:color w:val="000000"/>
                <w:sz w:val="21"/>
                <w:szCs w:val="21"/>
              </w:rPr>
              <w:t xml:space="preserve">Sin declarar éxito prematuro</w:t>
            </w:r>
          </w:p>
        </w:tc>
        <w:tc>
          <w:tcPr>
            <w:tcW w:type="pct" w:w="37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Ninguna exposición se declara corregida sin la prueba efectiva del rol anon con cero fallos y evidencia viva post-cambio.</w:t>
            </w:r>
          </w:p>
        </w:tc>
      </w:tr>
    </w:tbl>
    <w:p>
      <w:pPr>
        <w:pStyle w:val="Heading1"/>
        <w:spacing w:after="160" w:before="360" w:line="312"/>
      </w:pPr>
      <w:bookmarkStart w:name="_Toc2" w:id="2"/>
      <w:r>
        <w:rPr>
          <w:rFonts w:ascii="Times New Roman" w:eastAsia="SimHei"/>
          <w:b/>
          <w:bCs/>
          <w:color w:val="162235"/>
          <w:sz w:val="32"/>
          <w:szCs w:val="32"/>
        </w:rPr>
        <w:t xml:space="preserve">2. Estado base verificado: GitHub y producción</w:t>
      </w:r>
      <w:bookmarkEnd w:id="2"/>
    </w:p>
    <w:p>
      <w:pPr>
        <w:pStyle w:val="Heading2"/>
        <w:spacing w:after="120" w:before="240" w:line="312"/>
      </w:pPr>
      <w:bookmarkStart w:name="_Toc3" w:id="3"/>
      <w:r>
        <w:rPr>
          <w:rFonts w:ascii="Times New Roman" w:eastAsia="SimHei"/>
          <w:b/>
          <w:bCs/>
          <w:color w:val="162235"/>
          <w:sz w:val="28"/>
          <w:szCs w:val="28"/>
        </w:rPr>
        <w:t xml:space="preserve">2.1 Identificadores verificados sobre GitHub</w:t>
      </w:r>
      <w:bookmarkEnd w:id="3"/>
    </w:p>
    <w:p>
      <w:pPr>
        <w:spacing w:after="60" w:line="312"/>
        <w:jc w:val="both"/>
      </w:pPr>
      <w:r>
        <w:rPr>
          <w:rFonts w:ascii="Times New Roman"/>
          <w:color w:val="000000"/>
          <w:sz w:val="24"/>
          <w:szCs w:val="24"/>
        </w:rPr>
        <w:t xml:space="preserve">La trazabilidad parte de un clon limpio del repositorio oficial y de la API de GitHub. Los tres estados que deben distinguirse (PR fusionado, migración aplicada y corrección verificada) se verificaron hoy de forma independiente: ambos PR están fusionados, ninguna de las dos migraciones está aplicada en la base de datos viva, y la exposición P1 sigue activa. La Tabla 2 fija los identificadores exactos con los que toda la operación debe contrastarse en el momento de la ejecución.</w:t>
      </w:r>
    </w:p>
    <w:p>
      <w:pPr>
        <w:keepNext/>
        <w:spacing w:after="80" w:before="200" w:line="312"/>
        <w:jc w:val="left"/>
      </w:pPr>
      <w:r>
        <w:rPr>
          <w:rFonts w:ascii="Times New Roman"/>
          <w:b/>
          <w:bCs/>
          <w:color w:val="162235"/>
          <w:sz w:val="21"/>
          <w:szCs w:val="21"/>
        </w:rPr>
        <w:t xml:space="preserve">Tabla 2: Identificadores verificables (2026-10-19, hora UTC)</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5800"/>
      </w:tblGrid>
      <w:tr>
        <w:trPr>
          <w:cantSplit/>
          <w:tblHeader/>
        </w:trPr>
        <w:tc>
          <w:tcPr>
            <w:tcW w:type="pct" w:w="17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Elemento</w:t>
            </w:r>
          </w:p>
        </w:tc>
        <w:tc>
          <w:tcPr>
            <w:tcW w:type="pct" w:w="3300"/>
            <w:shd w:fill="1B6B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Valor verificado</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21"/>
                <w:szCs w:val="21"/>
              </w:rPr>
              <w:t xml:space="preserve">Base declarada por el propietario</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main en 98e0d31e — fusión del PR #1424 (CP-SEC-027)</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21"/>
                <w:szCs w:val="21"/>
              </w:rPr>
              <w:t xml:space="preserve">SHA completo de la base</w:t>
            </w:r>
          </w:p>
        </w:tc>
        <w:tc>
          <w:tcPr>
            <w:tcW w:type="pct" w:w="3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98e0d31e25005a6f657bef1e6b56989f203f560a (merge PR #1424, 10:51:49Z)</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21"/>
                <w:szCs w:val="21"/>
              </w:rPr>
              <w:t xml:space="preserve">Merge del PR #1422 (gate temporal)</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15eebf46bdd394ddd4bb314d149257838c1340ba (10:49:53Z); migración 20261018000000</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21"/>
                <w:szCs w:val="21"/>
              </w:rPr>
              <w:t xml:space="preserve">Merge del PR #1424 (CP-SEC-027)</w:t>
            </w:r>
          </w:p>
        </w:tc>
        <w:tc>
          <w:tcPr>
            <w:tcW w:type="pct" w:w="3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98e0d31e25005a6f657bef1e6b56989f203f560a; migración 20261019000001; 16 archivos</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21"/>
                <w:szCs w:val="21"/>
              </w:rPr>
              <w:t xml:space="preserve">main actual en GitHub (hecho nuevo)</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2be38e21bf7c7394e1831972938c8422f659bae1 — merge del PR #1423 (11:34:48Z)</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21"/>
                <w:szCs w:val="21"/>
              </w:rPr>
              <w:t xml:space="preserve">PR #1423 (fuera de esta ventana)</w:t>
            </w:r>
          </w:p>
        </w:tc>
        <w:tc>
          <w:tcPr>
            <w:tcW w:type="pct" w:w="3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Centro de control de fechas de trabajo; E2E 9/9; CI alineado; no se despliega aquí</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21"/>
                <w:szCs w:val="21"/>
              </w:rPr>
              <w:t xml:space="preserve">CI en 98e0d31e</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5/5 verificaciones en success (Security Audit, TypeCheck+Lint+Unit+Build, Unit &amp; Integration); E2E omitidas por configuración</w:t>
            </w:r>
          </w:p>
        </w:tc>
      </w:tr>
    </w:tbl>
    <w:p>
      <w:pPr>
        <w:pStyle w:val="Heading2"/>
        <w:spacing w:after="120" w:before="240" w:line="312"/>
      </w:pPr>
      <w:bookmarkStart w:name="_Toc4" w:id="4"/>
      <w:r>
        <w:rPr>
          <w:rFonts w:ascii="Times New Roman" w:eastAsia="SimHei"/>
          <w:b/>
          <w:bCs/>
          <w:color w:val="162235"/>
          <w:sz w:val="28"/>
          <w:szCs w:val="28"/>
        </w:rPr>
        <w:t xml:space="preserve">2.2 El avance de main tras la base y su tratamiento en la Fase B</w:t>
      </w:r>
      <w:bookmarkEnd w:id="4"/>
    </w:p>
    <w:p>
      <w:pPr>
        <w:spacing w:after="120" w:line="312"/>
        <w:jc w:val="both"/>
      </w:pPr>
      <w:r>
        <w:rPr>
          <w:rFonts w:ascii="Times New Roman"/>
          <w:color w:val="000000"/>
          <w:sz w:val="24"/>
          <w:szCs w:val="24"/>
        </w:rPr>
        <w:t xml:space="preserve">Dos minutos después de fusionarse el PR #1424 se fusionó el PR #1423, de modo que el tip de main ya no coincide con la base declarada. El PR #1423 añade una funcionalidad operativa (centro de control de fechas de trabajo y selector visible en todos los movimientos) con pruebas E2E propias en verde, y no comparte ningún archivo con el CP-SEC-027. La disciplina de alcance del programa indica que la ventana de ejecución de una corrección P1 no debe arrastrar funcionalidad nueva: por ello la Fase B de este paquete fija el despliegue al commit exacto </w:t>
      </w:r>
      <w:r>
        <w:rPr>
          <w:rFonts w:ascii="Courier New" w:eastAsia="Microsoft YaHei"/>
          <w:color w:val="162235"/>
          <w:sz w:val="21"/>
          <w:szCs w:val="21"/>
        </w:rPr>
        <w:t xml:space="preserve">98e0d31e</w:t>
      </w:r>
      <w:r>
        <w:rPr>
          <w:rFonts w:ascii="Times New Roman"/>
          <w:color w:val="000000"/>
          <w:sz w:val="24"/>
          <w:szCs w:val="24"/>
        </w:rPr>
        <w:t xml:space="preserve"> mediante checkout detached. Si el propietario prefiere desplegar el tip actual de main en el mismo arranque, es una decisión suya que debe marcarse expresamente al autorizar; el plan por defecto no lo hace.</w:t>
      </w:r>
    </w:p>
    <w:p>
      <w:pPr>
        <w:pStyle w:val="Heading2"/>
        <w:spacing w:after="120" w:before="240" w:line="312"/>
      </w:pPr>
      <w:bookmarkStart w:name="_Toc5" w:id="5"/>
      <w:r>
        <w:rPr>
          <w:rFonts w:ascii="Times New Roman" w:eastAsia="SimHei"/>
          <w:b/>
          <w:bCs/>
          <w:color w:val="162235"/>
          <w:sz w:val="28"/>
          <w:szCs w:val="28"/>
        </w:rPr>
        <w:t xml:space="preserve">2.3 Estado previo de la producción: vistas, políticas y privilegios</w:t>
      </w:r>
      <w:bookmarkEnd w:id="5"/>
    </w:p>
    <w:p>
      <w:pPr>
        <w:spacing w:after="60" w:line="312"/>
        <w:jc w:val="both"/>
      </w:pPr>
      <w:r>
        <w:rPr>
          <w:rFonts w:ascii="Times New Roman"/>
          <w:color w:val="000000"/>
          <w:sz w:val="24"/>
          <w:szCs w:val="24"/>
        </w:rPr>
        <w:t xml:space="preserve">El estado previo queda congelado por dos capturas de solo lectura del día de hoy: la introspección en crudo del PR #1424 (diez archivos en </w:t>
      </w:r>
      <w:r>
        <w:rPr>
          <w:rFonts w:ascii="Courier New" w:eastAsia="Microsoft YaHei"/>
          <w:color w:val="162235"/>
          <w:sz w:val="21"/>
          <w:szCs w:val="21"/>
        </w:rPr>
        <w:t xml:space="preserve">docs/audits/evidence/20261019-cp-sec-027-publico/raw/</w:t>
      </w:r>
      <w:r>
        <w:rPr>
          <w:rFonts w:ascii="Times New Roman"/>
          <w:color w:val="000000"/>
          <w:sz w:val="24"/>
          <w:szCs w:val="24"/>
        </w:rPr>
        <w:t xml:space="preserve"> en main) y la captura de recuperación de las 11:07:28Z (</w:t>
      </w:r>
      <w:r>
        <w:rPr>
          <w:rFonts w:ascii="Courier New" w:eastAsia="Microsoft YaHei"/>
          <w:color w:val="162235"/>
          <w:sz w:val="21"/>
          <w:szCs w:val="21"/>
        </w:rPr>
        <w:t xml:space="preserve">raw_estado_produccion_readonly.json</w:t>
      </w:r>
      <w:r>
        <w:rPr>
          <w:rFonts w:ascii="Times New Roman"/>
          <w:color w:val="000000"/>
          <w:sz w:val="24"/>
          <w:szCs w:val="24"/>
        </w:rPr>
        <w:t xml:space="preserve"> del dossier de diagnóstico de hoy). Ninguna de las dos migraciones de hoy consta en el registro de migraciones, cuyo último asiento sigue siendo 20260615000003 de junio de 2026; por ello el estado previo se definió por comportamiento observable, no por registro. La Tabla 3 resume ese estado con los predicados exactos de las políticas vivas, que son además la materia prima del rollback de la Fase C.</w:t>
      </w:r>
    </w:p>
    <w:p>
      <w:pPr>
        <w:keepNext/>
        <w:spacing w:after="80" w:before="200" w:line="312"/>
        <w:jc w:val="left"/>
      </w:pPr>
      <w:r>
        <w:rPr>
          <w:rFonts w:ascii="Times New Roman"/>
          <w:b/>
          <w:bCs/>
          <w:color w:val="162235"/>
          <w:sz w:val="21"/>
          <w:szCs w:val="21"/>
        </w:rPr>
        <w:t xml:space="preserve">Tabla 3: Estado previo verificado de la superficie pública (capturas del 2026-10-19)</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5800"/>
      </w:tblGrid>
      <w:tr>
        <w:trPr>
          <w:cantSplit/>
          <w:tblHeader/>
        </w:trPr>
        <w:tc>
          <w:tcPr>
            <w:tcW w:type="pct" w:w="1700"/>
            <w:shd w:fill="1B6B7A" w:val="clear"/>
            <w:tcMar>
              <w:top w:type="dxa" w:w="60"/>
              <w:left w:type="dxa" w:w="120"/>
              <w:bottom w:type="dxa" w:w="60"/>
              <w:right w:type="dxa" w:w="120"/>
            </w:tcMar>
          </w:tcPr>
          <w:p>
            <w:pPr>
              <w:spacing w:line="312"/>
              <w:jc w:val="left"/>
            </w:pPr>
            <w:r>
              <w:rPr>
                <w:rFonts w:ascii="Times New Roman" w:eastAsia="SimSun"/>
                <w:b/>
                <w:bCs/>
                <w:color w:val="FFFFFF"/>
                <w:sz w:val="19"/>
                <w:szCs w:val="19"/>
              </w:rPr>
              <w:t xml:space="preserve">Objeto</w:t>
            </w:r>
          </w:p>
        </w:tc>
        <w:tc>
          <w:tcPr>
            <w:tcW w:type="pct" w:w="3300"/>
            <w:shd w:fill="1B6B7A" w:val="clear"/>
            <w:tcMar>
              <w:top w:type="dxa" w:w="60"/>
              <w:left w:type="dxa" w:w="120"/>
              <w:bottom w:type="dxa" w:w="60"/>
              <w:right w:type="dxa" w:w="120"/>
            </w:tcMar>
          </w:tcPr>
          <w:p>
            <w:pPr>
              <w:spacing w:line="312"/>
              <w:jc w:val="left"/>
            </w:pPr>
            <w:r>
              <w:rPr>
                <w:rFonts w:ascii="Times New Roman" w:eastAsia="SimSun"/>
                <w:b/>
                <w:bCs/>
                <w:color w:val="FFFFFF"/>
                <w:sz w:val="19"/>
                <w:szCs w:val="19"/>
              </w:rPr>
              <w:t xml:space="preserve">Estado vivo previo (T-0 esperado)</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9"/>
                <w:szCs w:val="19"/>
              </w:rPr>
              <w:t xml:space="preserve">Vistas public_catalog_v / public_storefronts_v / public_variants_v</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NO EXISTEN (PostgREST responde 404 en las tres)</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9"/>
                <w:szCs w:val="19"/>
              </w:rPr>
              <w:t xml:space="preserve">products.products_public_read_anon</w:t>
            </w:r>
          </w:p>
        </w:tc>
        <w:tc>
          <w:tcPr>
            <w:tcW w:type="pct" w:w="3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Viva. SELECT TO {anon} USING (is_active = true) AND (visible_en_tienda = true). Creada en 20260726000032; expone TODAS las columnas de products, incluidas cost_average, cost_price, precio_empresa, supplier, min_stock y tenant_id</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9"/>
                <w:szCs w:val="19"/>
              </w:rPr>
              <w:t xml:space="preserve">stores.stores_select_anon</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Viva. SELECT TO {anon} USING (is_active = true). Creada en 20260614000001; expone TODAS las columnas de stores, incluidas tenant_id, bank_account, nit, signature_url y stamp_url</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9"/>
                <w:szCs w:val="19"/>
              </w:rPr>
              <w:t xml:space="preserve">product_variants.«Variantes públicas - lectura»</w:t>
            </w:r>
          </w:p>
        </w:tc>
        <w:tc>
          <w:tcPr>
            <w:tcW w:type="pct" w:w="3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Viva. SELECT TO {anon,authenticated} USING EXISTS (SELECT 1 FROM products WHERE products.id = product_variants.product_id AND products.visible_en_tienda = true). Creada OUT-OF-BAND, sin representación previa en migraciones</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9"/>
                <w:szCs w:val="19"/>
              </w:rPr>
              <w:t xml:space="preserve">GRANT SELECT de anon</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Vivo sobre las tablas products, stores y product_variants (paquete de privilegios por defecto de Supabase)</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9"/>
                <w:szCs w:val="19"/>
              </w:rPr>
              <w:t xml:space="preserve">RLS</w:t>
            </w:r>
          </w:p>
        </w:tc>
        <w:tc>
          <w:tcPr>
            <w:tcW w:type="pct" w:w="3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Habilitado en las tres tablas; las policies son la única defensa de filas y NO existe defensa de columnas</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9"/>
                <w:szCs w:val="19"/>
              </w:rPr>
              <w:t xml:space="preserve">Exposición empírica</w:t>
            </w:r>
          </w:p>
        </w:tc>
        <w:tc>
          <w:tcPr>
            <w:tcW w:type="pct" w:w="3300"/>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103 de 103 productos públicos con cost_average real legibles por anon vía PostgREST con la clave publishable; 10 tiendas activas con tenant_id legible; 18/18 fallos en el script oficial de verificación</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9"/>
                <w:szCs w:val="19"/>
              </w:rPr>
              <w:t xml:space="preserve">david9999 y perfiles NULL</w:t>
            </w:r>
          </w:p>
        </w:tc>
        <w:tc>
          <w:tcPr>
            <w:tcW w:type="pct" w:w="3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9"/>
                <w:szCs w:val="19"/>
              </w:rPr>
              <w:t xml:space="preserve">Sin escrituras: tenant_id sigue NULL, cero rastros dt03_backfill en audit_logs, 11 perfiles con tenant nulo intactos</w:t>
            </w:r>
          </w:p>
        </w:tc>
      </w:tr>
    </w:tbl>
    <w:p>
      <w:pPr>
        <w:pStyle w:val="Heading2"/>
        <w:spacing w:after="120" w:before="240" w:line="312"/>
      </w:pPr>
      <w:bookmarkStart w:name="_Toc6" w:id="6"/>
      <w:r>
        <w:rPr>
          <w:rFonts w:ascii="Times New Roman" w:eastAsia="SimHei"/>
          <w:b/>
          <w:bCs/>
          <w:color w:val="162235"/>
          <w:sz w:val="28"/>
          <w:szCs w:val="28"/>
        </w:rPr>
        <w:t xml:space="preserve">2.4 Consumidores del catálogo público: quién lee qué y con qué clave</w:t>
      </w:r>
      <w:bookmarkEnd w:id="6"/>
    </w:p>
    <w:p>
      <w:pPr>
        <w:spacing w:after="60" w:line="312"/>
        <w:jc w:val="both"/>
      </w:pPr>
      <w:r>
        <w:rPr>
          <w:rFonts w:ascii="Times New Roman"/>
          <w:color w:val="000000"/>
          <w:sz w:val="24"/>
          <w:szCs w:val="24"/>
        </w:rPr>
        <w:t xml:space="preserve">La investigación de consumidores fusionada en main corrige la conclusión previa de que la policy anon carecía de consumidor activo: el factory </w:t>
      </w:r>
      <w:r>
        <w:rPr>
          <w:rFonts w:ascii="Courier New" w:eastAsia="Microsoft YaHei"/>
          <w:color w:val="162235"/>
          <w:sz w:val="21"/>
          <w:szCs w:val="21"/>
        </w:rPr>
        <w:t xml:space="preserve">createServerClient()</w:t>
      </w:r>
      <w:r>
        <w:rPr>
          <w:rFonts w:ascii="Times New Roman"/>
          <w:color w:val="000000"/>
          <w:sz w:val="24"/>
          <w:szCs w:val="24"/>
        </w:rPr>
        <w:t xml:space="preserve"> de src/lib/supabaseClient.ts usa la clave publishable sin JWT de usuario, de modo que todo render del lado del servidor que lo emplea consulta PostgREST exactamente como el rol anon. Eso acota el universo del cambio a dos consumidores anon reales — la vitrina SSR y la API pública de vitrina —, ya migrados a las vistas en el mismo PR #1424. Todos los demás caminos usan service-role o sesión authenticated y no atraviesan la superficie que la Fase C retira.</w:t>
      </w:r>
    </w:p>
    <w:p>
      <w:pPr>
        <w:keepNext/>
        <w:spacing w:after="80" w:before="200" w:line="312"/>
        <w:jc w:val="left"/>
      </w:pPr>
      <w:r>
        <w:rPr>
          <w:rFonts w:ascii="Times New Roman"/>
          <w:b/>
          <w:bCs/>
          <w:color w:val="162235"/>
          <w:sz w:val="21"/>
          <w:szCs w:val="21"/>
        </w:rPr>
        <w:t xml:space="preserve">Tabla 4: Consumidores del catálogo público y efecto del cambio por rol</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285"/>
        <w:gridCol w:w="2636"/>
        <w:gridCol w:w="2285"/>
        <w:gridCol w:w="1582"/>
      </w:tblGrid>
      <w:tr>
        <w:trPr>
          <w:cantSplit/>
          <w:tblHeader/>
        </w:trPr>
        <w:tc>
          <w:tcPr>
            <w:tcW w:type="pct" w:w="13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Consumidor</w:t>
            </w:r>
          </w:p>
        </w:tc>
        <w:tc>
          <w:tcPr>
            <w:tcW w:type="pct" w:w="15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Lee hoy (previo)</w:t>
            </w:r>
          </w:p>
        </w:tc>
        <w:tc>
          <w:tcPr>
            <w:tcW w:type="pct" w:w="13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Tras Fase B</w:t>
            </w:r>
          </w:p>
        </w:tc>
        <w:tc>
          <w:tcPr>
            <w:tcW w:type="pct" w:w="9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Clave usada</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18"/>
                <w:szCs w:val="18"/>
              </w:rPr>
              <w:t xml:space="preserve">Vitrina SSR src/app/tienda/[slug]/page.tsx</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stores (3 consultas), products (fallback con costos en el fetch), product_variants, inventory (siempre 0 por RLS)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public_storefronts_v (3), public_catalog_v, public_variants_v</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anon (createServerClient)</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API pública src/app/api/storefront/[slug]/route.ts</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stores, products, product_variants (embed)</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public_storefronts_v, public_catalog_v, public_variants_v</w:t>
            </w:r>
          </w:p>
        </w:tc>
        <w:tc>
          <w:tcPr>
            <w:tcW w:type="pct" w:w="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anon (createServerClient)</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18"/>
                <w:szCs w:val="18"/>
              </w:rPr>
              <w:t xml:space="preserve">Ruta RPC de la vitrina (get_paginated_products)</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products vía RPC</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Sin cambios</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service-role (getSupabaseAdminSafe)</w:t>
            </w:r>
          </w:p>
        </w:tc>
      </w:tr>
      <w:tr>
        <w:trPr>
          <w:cantSplit/>
        </w:trPr>
        <w:tc>
          <w:tcPr>
            <w:tcW w:type="pct" w:w="13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Publish flows de WhatsApp/Telegram</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tablas directamente</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Sin cambios</w:t>
            </w:r>
          </w:p>
        </w:tc>
        <w:tc>
          <w:tcPr>
            <w:tcW w:type="pct" w:w="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service-role</w:t>
            </w:r>
          </w:p>
        </w:tc>
      </w:tr>
      <w:tr>
        <w:trPr>
          <w:cantSplit/>
        </w:trPr>
        <w:tc>
          <w:tcPr>
            <w:tcW w:type="pct" w:w="1300"/>
            <w:tcMar>
              <w:top w:type="dxa" w:w="60"/>
              <w:left w:type="dxa" w:w="120"/>
              <w:bottom w:type="dxa" w:w="60"/>
              <w:right w:type="dxa" w:w="120"/>
            </w:tcMar>
          </w:tcPr>
          <w:p>
            <w:pPr>
              <w:spacing w:line="312"/>
              <w:jc w:val="left"/>
            </w:pPr>
            <w:r>
              <w:rPr>
                <w:rFonts w:ascii="Times New Roman" w:eastAsia="SimSun"/>
                <w:b/>
                <w:bCs/>
                <w:color w:val="000000"/>
                <w:sz w:val="18"/>
                <w:szCs w:val="18"/>
              </w:rPr>
              <w:t xml:space="preserve">Rutas internas con sesión</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tablas bajo RLS por sesión</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Sin cambios (la policy de variantes se recrea con el MISMO predicado solo para authenticated)</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authenticated</w:t>
            </w:r>
          </w:p>
        </w:tc>
      </w:tr>
    </w:tbl>
    <w:p>
      <w:pPr>
        <w:spacing w:after="120" w:line="312"/>
        <w:jc w:val="both"/>
      </w:pPr>
      <w:r>
        <w:rPr>
          <w:rFonts w:ascii="Times New Roman"/>
          <w:color w:val="000000"/>
          <w:sz w:val="24"/>
          <w:szCs w:val="24"/>
        </w:rPr>
        <w:t xml:space="preserve">El código fusionado corrige además dos fallos silenciosos previos, documentados en la evidencia del PR: el stock del fallback de la vitrina consultaba inventory, tabla a la que anon nunca tuvo acceso, por lo que siempre devolvía cero (la vista aporta stock_current real), y el filtro de variantes refería una columna is_active inexistente en product_variants, por lo que las variantes nunca llegaban a renderizarse (la vista filtra por producto público). Ambas correcciones amplían la paridad funcional con el estado previo, no la reducen.</w:t>
      </w:r>
    </w:p>
    <w:p>
      <w:pPr>
        <w:pStyle w:val="Heading1"/>
        <w:spacing w:after="160" w:before="360" w:line="312"/>
      </w:pPr>
      <w:bookmarkStart w:name="_Toc7" w:id="7"/>
      <w:r>
        <w:rPr>
          <w:rFonts w:ascii="Times New Roman" w:eastAsia="SimHei"/>
          <w:b/>
          <w:bCs/>
          <w:color w:val="162235"/>
          <w:sz w:val="32"/>
          <w:szCs w:val="32"/>
        </w:rPr>
        <w:t xml:space="preserve">3. La migración 20261019000001 y su despliegue en tres fases</w:t>
      </w:r>
      <w:bookmarkEnd w:id="7"/>
    </w:p>
    <w:p>
      <w:pPr>
        <w:spacing w:after="120" w:line="312"/>
        <w:jc w:val="both"/>
      </w:pPr>
      <w:r>
        <w:rPr>
          <w:rFonts w:ascii="Times New Roman"/>
          <w:color w:val="000000"/>
          <w:sz w:val="24"/>
          <w:szCs w:val="24"/>
        </w:rPr>
        <w:t xml:space="preserve">El archivo fusionado (238 líneas) estructura la corrección como una única superficie pública: tres vistas de solo lectura con </w:t>
      </w:r>
      <w:r>
        <w:rPr>
          <w:rFonts w:ascii="Times New Roman"/>
          <w:b/>
          <w:bCs/>
          <w:color w:val="000000"/>
          <w:sz w:val="24"/>
          <w:szCs w:val="24"/>
        </w:rPr>
        <w:t xml:space="preserve">security_barrier</w:t>
      </w:r>
      <w:r>
        <w:rPr>
          <w:rFonts w:ascii="Times New Roman"/>
          <w:color w:val="000000"/>
          <w:sz w:val="24"/>
          <w:szCs w:val="24"/>
        </w:rPr>
        <w:t xml:space="preserve">, GRANT SELECT de las vistas solo al rol anon, retirada de las policies anon de las tablas, recreación de la policy de variantes únicamente para authenticated con el mismo predicado, y revocación del privilegio SELECT sobre las tablas como defensa en profundidad. El propio encabezado de la migración define el despliegue recomendado en tres fases con ventana corta y cero interrupción, que es exactamente la estructura que el propietario ordenó preparar: Fase A aditiva (secciones 1 a 4 del archivo), Fase B de aplicación del código ya fusionado, y Fase C de restricción (secciones 5a a 5c).</w:t>
      </w:r>
    </w:p>
    <w:p>
      <w:pPr>
        <w:spacing w:after="120" w:line="312"/>
        <w:jc w:val="both"/>
      </w:pPr>
      <w:r>
        <w:rPr>
          <w:rFonts w:ascii="Times New Roman"/>
          <w:color w:val="000000"/>
          <w:sz w:val="24"/>
          <w:szCs w:val="24"/>
        </w:rPr>
        <w:t xml:space="preserve">El mecanismo de seguridad merece mención explícita porque define dónde vive la frontera. Las vistas se ejecutan con los privilegios de su propietario (postgres, dueño de las tablas, sin FORCE RLS), de modo que el </w:t>
      </w:r>
      <w:r>
        <w:rPr>
          <w:rFonts w:ascii="Times New Roman"/>
          <w:b/>
          <w:bCs/>
          <w:color w:val="000000"/>
          <w:sz w:val="24"/>
          <w:szCs w:val="24"/>
        </w:rPr>
        <w:t xml:space="preserve">WHERE de cada vista es la frontera pública</w:t>
      </w:r>
      <w:r>
        <w:rPr>
          <w:rFonts w:ascii="Times New Roman"/>
          <w:color w:val="000000"/>
          <w:sz w:val="24"/>
          <w:szCs w:val="24"/>
        </w:rPr>
        <w:t xml:space="preserve">: las filas devueltas son exactamente las que la policy retirada permitía (paridad de filas: is_active y visible_en_tienda en products; is_active en stores; producto padre público en variantes), y la lista de columnas es la única información alcanzable. El atributo security_barrier impide que el planificador empuje predicados del cliente dentro de la vista, bloqueando ataques de inferencia por predicados laterales. La consecuencia deliberada de ejecutar con privilegios de dueño es que la vista no atraviesa RLS de las tablas: es el diseño decidido por el propietario (enfoque vista public_catalog_v, orden operativa DT-03 del 2026-10-19), y por eso la revisión de columnas excluidas es exhaustiva y está congelada en la prueba de integración de 26 invariantes.</w:t>
      </w:r>
    </w:p>
    <w:p>
      <w:pPr>
        <w:spacing w:after="120" w:line="312"/>
        <w:jc w:val="both"/>
      </w:pPr>
      <w:r>
        <w:rPr>
          <w:rFonts w:ascii="Times New Roman"/>
          <w:color w:val="000000"/>
          <w:sz w:val="24"/>
          <w:szCs w:val="24"/>
        </w:rPr>
        <w:t xml:space="preserve">Columnas deliberadamente excluidas de public_catalog_v: cost_price, cost_average, precio_empresa, precio_empresa_currency, supplier, min_stock, tenant_id, cost_sheet_id, status, is_complete, has_movements, fc_auto_enabled, barcode, barcode_type, category_id, search_vector, created_at y updated_at. De public_storefronts_v: tenant_id, bank_account, nit, signature_url, stamp_url, created_by, latitude, longitude, is_archived, archived_at, archived_by, backup_restore_protected y created_at. De public_variants_v: precio_empresa (comercialmente sensible según el propio FIX-SEC-H6), created_at y updated_at. La vista de variantes es además más estricta que la policy previa al exigir que el producto padre esté activo, no solo visible.</w:t>
      </w:r>
    </w:p>
    <w:p>
      <w:pPr>
        <w:spacing w:after="120" w:line="312"/>
        <w:jc w:val="both"/>
      </w:pPr>
      <w:r>
        <w:rPr>
          <w:rFonts w:ascii="Times New Roman"/>
          <w:color w:val="000000"/>
          <w:sz w:val="24"/>
          <w:szCs w:val="24"/>
        </w:rPr>
        <w:t xml:space="preserve">Sin efecto alguno sobre: authenticated (sus policies quedan intactas y la de variantes se recrea con idempencia de predicado), service-role (los publish flows y la ruta RPC de la vitrina consultan las tablas directamente y no atraviesan la superficie anon), y RPCs (ningún GRANT EXECUTE se crea ni se revoca). La migración es DDL y DCL puros: cero DML, cero cambios de columnas, cero triggers y cero datos modificados, lo que acota el peor escenario posible a la disponibilidad de la superficie pública, nunca a la integridad de los datos.</w:t>
      </w:r>
    </w:p>
    <w:p>
      <w:pPr>
        <w:pStyle w:val="Heading1"/>
        <w:spacing w:after="160" w:before="360" w:line="312"/>
      </w:pPr>
      <w:bookmarkStart w:name="_Toc8" w:id="8"/>
      <w:r>
        <w:rPr>
          <w:rFonts w:ascii="Times New Roman" w:eastAsia="SimHei"/>
          <w:b/>
          <w:bCs/>
          <w:color w:val="162235"/>
          <w:sz w:val="32"/>
          <w:szCs w:val="32"/>
        </w:rPr>
        <w:t xml:space="preserve">4. Fase A — Aditiva: SQL exacto y verificación de consumidores</w:t>
      </w:r>
      <w:bookmarkEnd w:id="8"/>
    </w:p>
    <w:p>
      <w:pPr>
        <w:pStyle w:val="Heading2"/>
        <w:spacing w:after="120" w:before="240" w:line="312"/>
      </w:pPr>
      <w:bookmarkStart w:name="_Toc9" w:id="9"/>
      <w:r>
        <w:rPr>
          <w:rFonts w:ascii="Times New Roman" w:eastAsia="SimHei"/>
          <w:b/>
          <w:bCs/>
          <w:color w:val="162235"/>
          <w:sz w:val="28"/>
          <w:szCs w:val="28"/>
        </w:rPr>
        <w:t xml:space="preserve">4.1 SQL íntegro de la Fase A (verbatim, secciones 1 a 4)</w:t>
      </w:r>
      <w:bookmarkEnd w:id="9"/>
    </w:p>
    <w:p>
      <w:pPr>
        <w:spacing w:after="120" w:line="312"/>
        <w:jc w:val="both"/>
      </w:pPr>
      <w:r>
        <w:rPr>
          <w:rFonts w:ascii="Times New Roman"/>
          <w:color w:val="000000"/>
          <w:sz w:val="24"/>
          <w:szCs w:val="24"/>
        </w:rPr>
        <w:t xml:space="preserve">El siguiente SQL es el recorte literal de las secciones 1 a 4 del archivo fusionado, en el orden exacto del archivo: creación de las tres vistas y concesión de SELECT al rol anon. Se ejecuta completo, de una sola pasada, en el SQL editor de Supabase o vía psql con ON_ERROR_STOP. Todas las sentencias son idempotentes (CREATE OR REPLACE VIEW y GRANT), por lo que una re-ejecución accidental es inocua. El archivo auxiliar </w:t>
      </w:r>
      <w:r>
        <w:rPr>
          <w:rFonts w:ascii="Courier New" w:eastAsia="Microsoft YaHei"/>
          <w:color w:val="162235"/>
          <w:sz w:val="21"/>
          <w:szCs w:val="21"/>
        </w:rPr>
        <w:t xml:space="preserve">fase_a_aditiva.sql</w:t>
      </w:r>
      <w:r>
        <w:rPr>
          <w:rFonts w:ascii="Times New Roman"/>
          <w:color w:val="000000"/>
          <w:sz w:val="24"/>
          <w:szCs w:val="24"/>
        </w:rPr>
        <w:t xml:space="preserve"> del paquete contiene este mismo bloque con su cabecera de trazabilidad.</w:t>
      </w:r>
    </w:p>
    <w:p>
      <w:pPr>
        <w:keepNext/>
        <w:spacing w:after="40" w:before="160" w:line="276"/>
        <w:jc w:val="left"/>
      </w:pPr>
      <w:r>
        <w:rPr>
          <w:rFonts w:ascii="Courier New" w:eastAsia="Microsoft YaHei"/>
          <w:b/>
          <w:bCs/>
          <w:color w:val="1B6B7A"/>
          <w:sz w:val="19"/>
          <w:szCs w:val="19"/>
        </w:rPr>
        <w:t xml:space="preserve">fase_a_aditiva.sql — VERBATIM de 20261019000001, secciones 1-4</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CREATE OR REPLACE VIEW public.public_catalog_v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WITH (security_barrier = true) AS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SELECT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p.store_id,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p.name,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p.description,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p.sku,</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p.price,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p.price_currency,</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p.price_visible,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p.stock_visible,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p.stock_current,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p.on_promotion,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p.unit_of_measure,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p.image_url,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p.public_image_url,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p.category,</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p.is_active,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p.visible_en_tienda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FROM public.products p</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WHERE p.is_active = true AND p.visible_en_tienda = true;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-- 2. VISTA DE TIENDAS PÚBLICAS — public_storefronts_v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Columnas de vitrina EXACTAS que consulta hoy la vitrina SSR</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(generateStaticParams, generateMetadata, TiendaPublicPage) y la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storefront API pública.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EXCLUIDAS deliberadamente: tenant_id, bank_account, nit, signature_url,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stamp_url, created_by, latitude, longitude, is_archived, archived_at,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archived_by, backup_restore_protected, created_at.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CREATE OR REPLACE VIEW public.public_storefronts_v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WITH (security_barrier = true) AS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SELECT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s.name,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s.address,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s.phone,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s.email,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s.logo_url,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s.slug,</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s.plantilla,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s.reeup,</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s.is_active,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s.banner_url,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s.store_tagline,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s.whatsapp_group_url,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s.telegram_url,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s.services,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s.promo_images,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s.opening_hours,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s.banner_cta_text,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s.banner_cta_link</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FROM public.stores 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WHERE s.is_active = true;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-- 3. VISTA DE VARIANTES PÚBLICAS — public_variants_v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Presentación de variantes de productos PÚBLICOS (is_active AND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visible_en_tienda del producto padre — más estricta que la policy</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out-of-band anterior, que no verificaba is_active del padre).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EXCLUIDAS deliberadamente: precio_empresa (comercialmente sensible: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los propios flujos públicos la excluyen — FIX-SEC-H6), created_at,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updated_at.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CREATE OR REPLACE VIEW public.public_variants_v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WITH (security_barrier = true) AS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SELECT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v.product_id,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v.name,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v.sku,</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v.price,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v.conversion_factor</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FROM public.product_variants 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WHERE EXISTS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SELECT 1</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FROM public.products p</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WHERE p.id = v.product_id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AND p.is_active = true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AND p.visible_en_tienda = true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-- 4. GRANTS de la nueva superficie pública (solo lectura, solo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GRANT SELECT ON public.public_catalog_v TO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GRANT SELECT ON public.public_storefronts_v TO anon;</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GRANT SELECT ON public.public_variants_v TO anon;</w:t>
      </w:r>
    </w:p>
    <w:p>
      <w:pPr>
        <w:pStyle w:val="Heading2"/>
        <w:spacing w:after="120" w:before="240" w:line="312"/>
      </w:pPr>
      <w:bookmarkStart w:name="_Toc10" w:id="10"/>
      <w:r>
        <w:rPr>
          <w:rFonts w:ascii="Times New Roman" w:eastAsia="SimHei"/>
          <w:b/>
          <w:bCs/>
          <w:color w:val="162235"/>
          <w:sz w:val="28"/>
          <w:szCs w:val="28"/>
        </w:rPr>
        <w:t xml:space="preserve">4.2 Ventana sin impacto y semántica de cada objeto</w:t>
      </w:r>
      <w:bookmarkEnd w:id="10"/>
    </w:p>
    <w:p>
      <w:pPr>
        <w:spacing w:after="120" w:line="312"/>
        <w:jc w:val="both"/>
      </w:pPr>
      <w:r>
        <w:rPr>
          <w:rFonts w:ascii="Times New Roman"/>
          <w:color w:val="000000"/>
          <w:sz w:val="24"/>
          <w:szCs w:val="24"/>
        </w:rPr>
        <w:t xml:space="preserve">La Fase A es aditiva pura: el código vivo actual no consulta las vistas (el servidor figura apagado y, en cualquier caso, el código pre-fix lee las tablas), y las tablas siguen abiertas a anon hasta la Fase C. Entre el inicio de la Fase A y el despliegue de la Fase B no existe ningún cambio visible para ningún flujo; la exposición documentada persiste íntegra hasta la Fase C y eso es esperado. Tras ejecutar, PostgREST recarga su caché de esquema automáticamente: Supabase instala un disparador de eventos (pgrst_ddl_watch) que notifica la recarga al detectar DDL, de modo que las vistas suelen ser visibles en segundos. Si alguna consulta devolviera 404 con el mensaje de caché de esquema más de treinta segundos después, la corrección operativa documentada es ejecutar NOTIFY pgrst, 'reload schema'; (orden inofensiva, sin efecto sobre datos) y reintentar.</w:t>
      </w:r>
    </w:p>
    <w:p>
      <w:pPr>
        <w:pStyle w:val="Heading2"/>
        <w:spacing w:after="120" w:before="240" w:line="312"/>
      </w:pPr>
      <w:bookmarkStart w:name="_Toc11" w:id="11"/>
      <w:r>
        <w:rPr>
          <w:rFonts w:ascii="Times New Roman" w:eastAsia="SimHei"/>
          <w:b/>
          <w:bCs/>
          <w:color w:val="162235"/>
          <w:sz w:val="28"/>
          <w:szCs w:val="28"/>
        </w:rPr>
        <w:t xml:space="preserve">4.3 Verificación de que los consumidores pueden consultar las vistas</w:t>
      </w:r>
      <w:bookmarkEnd w:id="11"/>
    </w:p>
    <w:p>
      <w:pPr>
        <w:spacing w:after="120" w:line="312"/>
        <w:jc w:val="both"/>
      </w:pPr>
      <w:r>
        <w:rPr>
          <w:rFonts w:ascii="Times New Roman"/>
          <w:color w:val="000000"/>
          <w:sz w:val="24"/>
          <w:szCs w:val="24"/>
        </w:rPr>
        <w:t xml:space="preserve">La verificación de la Fase A replica, con la clave publishable, las consultas EXACTAS que el código desplegado en la Fase B realizará, más las cinco sondas de columnas sensibles que el script oficial utiliza. Ejecútelas en PowerShell con la clave anon del entorno ($env:SUPABASE_ANON_KEY). Resultados esperados: HTTP 200 con filas en las tres vistas (el catálogo debe devolver las mismas filas que hoy expone la tabla, con paridad de predicados), y HTTP 400 en los cinco intentos de columna sensible porque la columna no existe en la vista. Compruebe además que las tablas SIGUEN legibles en este punto: ese es el comportamiento correcto de la ventana A-B, no una anomalía.</w:t>
      </w:r>
    </w:p>
    <w:p>
      <w:pPr>
        <w:keepNext/>
        <w:spacing w:after="40" w:before="160" w:line="276"/>
        <w:jc w:val="left"/>
      </w:pPr>
      <w:r>
        <w:rPr>
          <w:rFonts w:ascii="Courier New" w:eastAsia="Microsoft YaHei"/>
          <w:b/>
          <w:bCs/>
          <w:color w:val="1B6B7A"/>
          <w:sz w:val="19"/>
          <w:szCs w:val="19"/>
        </w:rPr>
        <w:t xml:space="preserve">Verificacion Fase A con clave publishable (PowerShell, solo lectura)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$BASE = 'https://wthkddeleylijmonclxg.supabase.co'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$ANON = $env:SUPABASE_ANON_KEY</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$h = @{ apikey = $ANON; Authorization = "Bearer $ANON"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1. Vitrina: tienda real por slug (misma consulta del codigo, generateStaticParams/generateMetadata/pagina)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Invoke-RestMethod -Headers $h "$BASE/rest/v1/public_storefronts_v?select=slug,name,is_active&amp;slug=eq.puerto-padre-vitallcons"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2. Catalogo por tienda (misma consulta del fallback de la vitrina y del storefront API)</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$storeId = (Invoke-RestMethod -Headers $h "$BASE/rest/v1/public_storefronts_v?select=id&amp;slug=eq.puerto-padre-vitallcons").id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Invoke-RestMethod -Headers $h "$BASE/rest/v1/public_catalog_v?select=id,name,price,price_currency,stock_current,visible_en_tienda&amp;store_id=eq.$storeId&amp;is_active=eq.true&amp;visible_en_tienda=eq.true&amp;order=name.asc&amp;limit=3"</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3. Variantes de esos productos (misma consulta de la API, product_id in)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Invoke-RestMethod -Headers $h "$BASE/rest/v1/public_variants_v?select=id,product_id,name,sku,price&amp;limit=3"</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4. Sondas de columnas sensibles: TODAS deben devolver HTTP 400 (columna inexistente en la vista)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Invoke-WebRequest -Headers $h "$BASE/rest/v1/public_catalog_v?select=cost_average&amp;limit=1"   | % StatusCode   # 400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Invoke-WebRequest -Headers $h "$BASE/rest/v1/public_catalog_v?select=cost_price&amp;limit=1"   | % StatusCode   # 400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Invoke-WebRequest -Headers $h "$BASE/rest/v1/public_variants_v?select=precio_empresa&amp;limit=1" | % StatusCode # 400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Invoke-WebRequest -Headers $h "$BASE/rest/v1/public_storefronts_v?select=tenant_id" | % StatusCode          # 400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Invoke-WebRequest -Headers $h "$BASE/rest/v1/public_storefronts_v?select=bank_account" | % StatusCode        # 400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5. Las TABLAS siguen abiertas en la ventana A-B (esperado hasta la Fase C):</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(Invoke-WebRequest -Headers $h "$BASE/rest/v1/products?select=id&amp;limit=1").StatusCode              # 200</w:t>
      </w:r>
    </w:p>
    <w:p>
      <w:pPr>
        <w:pStyle w:val="Heading2"/>
        <w:spacing w:after="120" w:before="240" w:line="312"/>
      </w:pPr>
      <w:bookmarkStart w:name="_Toc12" w:id="12"/>
      <w:r>
        <w:rPr>
          <w:rFonts w:ascii="Times New Roman" w:eastAsia="SimHei"/>
          <w:b/>
          <w:bCs/>
          <w:color w:val="162235"/>
          <w:sz w:val="28"/>
          <w:szCs w:val="28"/>
        </w:rPr>
        <w:t xml:space="preserve">4.4 Resultado esperado al cierre de la Fase A</w:t>
      </w:r>
      <w:bookmarkEnd w:id="12"/>
    </w:p>
    <w:p>
      <w:pPr>
        <w:spacing w:after="120" w:line="312"/>
        <w:jc w:val="both"/>
      </w:pPr>
      <w:r>
        <w:rPr>
          <w:rFonts w:ascii="Times New Roman"/>
          <w:color w:val="000000"/>
          <w:sz w:val="24"/>
          <w:szCs w:val="24"/>
        </w:rPr>
        <w:t xml:space="preserve">Cierre de la Fase A cuando las tres vistas respondan 200 con datos coherentes y las cinco sondas de columnas sensibles respondan 400. En ese estado la base de datos contiene la superficie pública nueva completa y el sistema no ha cambiado de comportamiento en absoluto: la vitrina y la API siguen leyendo las tablas (o siguen apagadas, según el estado del servidor), y el rol anon mantiene el acceso a las tablas que la Fase C retirará. No procede archivar aún la evidencia final; basta conservar la salida de las verificaciones anteriores como evidencia de la Fase A.</w:t>
      </w:r>
    </w:p>
    <w:p>
      <w:pPr>
        <w:pStyle w:val="Heading1"/>
        <w:spacing w:after="160" w:before="360" w:line="312"/>
      </w:pPr>
      <w:bookmarkStart w:name="_Toc13" w:id="13"/>
      <w:r>
        <w:rPr>
          <w:rFonts w:ascii="Times New Roman" w:eastAsia="SimHei"/>
          <w:b/>
          <w:bCs/>
          <w:color w:val="162235"/>
          <w:sz w:val="32"/>
          <w:szCs w:val="32"/>
        </w:rPr>
        <w:t xml:space="preserve">5. Fase B — Aplicación: commit, entorno, salud del servidor y endpoints</w:t>
      </w:r>
      <w:bookmarkEnd w:id="13"/>
    </w:p>
    <w:p>
      <w:pPr>
        <w:pStyle w:val="Heading2"/>
        <w:spacing w:after="120" w:before="240" w:line="312"/>
      </w:pPr>
      <w:bookmarkStart w:name="_Toc14" w:id="14"/>
      <w:r>
        <w:rPr>
          <w:rFonts w:ascii="Times New Roman" w:eastAsia="SimHei"/>
          <w:b/>
          <w:bCs/>
          <w:color w:val="162235"/>
          <w:sz w:val="28"/>
          <w:szCs w:val="28"/>
        </w:rPr>
        <w:t xml:space="preserve">5.1 Commit de código que se desplegará</w:t>
      </w:r>
      <w:bookmarkEnd w:id="14"/>
    </w:p>
    <w:p>
      <w:pPr>
        <w:spacing w:after="120" w:line="312"/>
        <w:jc w:val="both"/>
      </w:pPr>
      <w:r>
        <w:rPr>
          <w:rFonts w:ascii="Times New Roman"/>
          <w:color w:val="000000"/>
          <w:sz w:val="24"/>
          <w:szCs w:val="24"/>
        </w:rPr>
        <w:t xml:space="preserve">El commit a desplegar es </w:t>
      </w:r>
      <w:r>
        <w:rPr>
          <w:rFonts w:ascii="Times New Roman"/>
          <w:b/>
          <w:bCs/>
          <w:color w:val="000000"/>
          <w:sz w:val="24"/>
          <w:szCs w:val="24"/>
        </w:rPr>
        <w:t xml:space="preserve">98e0d31e25005a6f657bef1e6b56989f203f560a</w:t>
      </w:r>
      <w:r>
        <w:rPr>
          <w:rFonts w:ascii="Times New Roman"/>
          <w:color w:val="000000"/>
          <w:sz w:val="24"/>
          <w:szCs w:val="24"/>
        </w:rPr>
        <w:t xml:space="preserve"> (fusión del PR #1424), fijado con checkout detached y verificado con rev-parse antes de arrancar. Contiene exactamente los dieciséis archivos del CP-SEC-027: la migración, los dos consumidores anon migrados a las vistas, la prueba de integración de 26 invariantes, el script de verificación post-migración y el dossier de evidencia; su CI está 5/5 en success. El tip actual de main (2be38e21b) añade el PR #1423 y NO se despliega en esta ventana: mezclar una funcionalidad nueva con el cierre de una exposición P1 ampliaría el alcance y el riesgo de una operación que el propietario pidió mínima. El PR #1424 no toca package.json, por lo que la instalación de dependencias es una verificación de seguridad, no un cambio esperado.</w:t>
      </w:r>
    </w:p>
    <w:p>
      <w:pPr>
        <w:pStyle w:val="Heading2"/>
        <w:spacing w:after="120" w:before="240" w:line="312"/>
      </w:pPr>
      <w:bookmarkStart w:name="_Toc15" w:id="15"/>
      <w:r>
        <w:rPr>
          <w:rFonts w:ascii="Times New Roman" w:eastAsia="SimHei"/>
          <w:b/>
          <w:bCs/>
          <w:color w:val="162235"/>
          <w:sz w:val="28"/>
          <w:szCs w:val="28"/>
        </w:rPr>
        <w:t xml:space="preserve">5.2 Variables de entorno a comprobar antes del arranque</w:t>
      </w:r>
      <w:bookmarkEnd w:id="15"/>
    </w:p>
    <w:p>
      <w:pPr>
        <w:spacing w:after="60" w:line="312"/>
        <w:jc w:val="both"/>
      </w:pPr>
      <w:r>
        <w:rPr>
          <w:rFonts w:ascii="Times New Roman"/>
          <w:color w:val="000000"/>
          <w:sz w:val="24"/>
          <w:szCs w:val="24"/>
        </w:rPr>
        <w:t xml:space="preserve">El proceso de PM2 (ecosystem.config.js, aplicación costpro) carga el archivo .env con dotenv y hereda explícitamente las variables del bloque env. Verifique PRESENCIA (no imprima valores de secretos) de la Tabla 5 antes de arrancar. Las cuatro primeras son las que la superficie pública consume realmente en el código desplegado: la clave publishable consulta las vistas; la service-role sostiene la ruta RPC de la vitrina y los publish flows; el token de acceso solo lo usan los scripts de verificación de solo lectura.</w:t>
      </w:r>
    </w:p>
    <w:p>
      <w:pPr>
        <w:keepNext/>
        <w:spacing w:after="80" w:before="200" w:line="312"/>
        <w:jc w:val="left"/>
      </w:pPr>
      <w:r>
        <w:rPr>
          <w:rFonts w:ascii="Times New Roman"/>
          <w:b/>
          <w:bCs/>
          <w:color w:val="162235"/>
          <w:sz w:val="21"/>
          <w:szCs w:val="21"/>
        </w:rPr>
        <w:t xml:space="preserve">Tabla 5: Variables de entorno requeridas por el proceso costpro (verificar presencia)</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2285"/>
        <w:gridCol w:w="3515"/>
      </w:tblGrid>
      <w:tr>
        <w:trPr>
          <w:cantSplit/>
          <w:tblHeader/>
        </w:trPr>
        <w:tc>
          <w:tcPr>
            <w:tcW w:type="pct" w:w="17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Variable</w:t>
            </w:r>
          </w:p>
        </w:tc>
        <w:tc>
          <w:tcPr>
            <w:tcW w:type="pct" w:w="13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La usa</w:t>
            </w:r>
          </w:p>
        </w:tc>
        <w:tc>
          <w:tcPr>
            <w:tcW w:type="pct" w:w="20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Papel en la ventana</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8"/>
                <w:szCs w:val="18"/>
              </w:rPr>
              <w:t xml:space="preserve">NEXT_PUBLIC_SUPABASE_URL</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Cliente anon y service-role</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URL base de PostgREST; debe apuntar al proyecto wthkddeleylijmonclxg</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NEXT_PUBLIC_SUPABASE_ANON_KEY</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createServerClient (vitrina + storefront API)</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Clave publishable con la que se consultarán las tres vistas tras el arranque</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8"/>
                <w:szCs w:val="18"/>
              </w:rPr>
              <w:t xml:space="preserve">SUPABASE_SERVICE_ROLE_KEY</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getSupabaseAdminSafe (RPC vitrina, publish flows)</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Camino principal de la vitrina; sin ella degrada al fallback por vistas (que ya existen tras la Fase A)</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SUPABASE_ACCESS_TOKEN</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scripts de verificación read-only</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Solo verificación por Management API; no la usa el servidor</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8"/>
                <w:szCs w:val="18"/>
              </w:rPr>
              <w:t xml:space="preserve">NEXTAUTH_SECRET / NEXTAUTH_URL</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Sesión interna</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Arranque normal del servidor</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NEXT_PUBLIC_APP_URL / NEXT_PUBLIC_SITE_URL</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Metadatos SSR</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Render de la vitrina y SEO</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8"/>
                <w:szCs w:val="18"/>
              </w:rPr>
              <w:t xml:space="preserve">DATABASE_URL</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Stack Prisma local</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Presente por el arranque establecido</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ENABLE_DEV_BYPASS</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Middleware</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DEBE ser false en producción (checklist de seguridad del programa)</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8"/>
                <w:szCs w:val="18"/>
              </w:rPr>
              <w:t xml:space="preserve">CSRF_ALLOWED_DOMAINS</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validateOrigin</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Debe cubrir el dominio real de la vitrina</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PORT</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ecosystem (fijado a 3000)</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Puerto de escucha</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8"/>
                <w:szCs w:val="18"/>
              </w:rPr>
              <w:t xml:space="preserve">UPSTASH_REDIS_REST_URL / _TOKEN</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rateLimit de la storefront API</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Límite de 60/min por IP en la API pública</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ZAI_API_KEY y demás claves de proveedores</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Funcionalidades AI</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Heredadas por el ecosystem; sin papel en esta ventana</w:t>
            </w:r>
          </w:p>
        </w:tc>
      </w:tr>
    </w:tbl>
    <w:p>
      <w:pPr>
        <w:pStyle w:val="Heading2"/>
        <w:spacing w:after="120" w:before="240" w:line="312"/>
      </w:pPr>
      <w:bookmarkStart w:name="_Toc16" w:id="16"/>
      <w:r>
        <w:rPr>
          <w:rFonts w:ascii="Times New Roman" w:eastAsia="SimHei"/>
          <w:b/>
          <w:bCs/>
          <w:color w:val="162235"/>
          <w:sz w:val="28"/>
          <w:szCs w:val="28"/>
        </w:rPr>
        <w:t xml:space="preserve">5.3 Salud del servidor con PM2 apagado: comprobaciones previas</w:t>
      </w:r>
      <w:bookmarkEnd w:id="16"/>
    </w:p>
    <w:p>
      <w:pPr>
        <w:spacing w:after="120" w:line="312"/>
        <w:jc w:val="both"/>
      </w:pPr>
      <w:r>
        <w:rPr>
          <w:rFonts w:ascii="Times New Roman"/>
          <w:color w:val="000000"/>
          <w:sz w:val="24"/>
          <w:szCs w:val="24"/>
        </w:rPr>
        <w:t xml:space="preserve">El último diagnóstico figura con PM2 apagado, de modo que la Fase B es un arranque en frío y las comprobaciones de salud previas se hacen contra el estado apagado, no contra un servicio vivo. Verifique en este orden: que el daemon responda (pm2 status y pm2 --version), que el puerto 3000 esté libre de procesos huérfanos (netstat; el propio scripts/start.sh limpia hijos huérfanos al arrancar, y el ecosystem usa treekill y restart_delay de 3000 ms precisamente para evitar EADDRINUSE), que la working tree del repositorio esté limpia y exactamente en 98e0d31e, y que el archivo .env exista junto al ecosystem.config.js. Si PM2 apareciera encendido con código pre-fix, la única variante es reemplazar el paso de arranque por pm2 restart costpro tras el checkout; todo lo demás es idéntico.</w:t>
      </w:r>
    </w:p>
    <w:p>
      <w:pPr>
        <w:pStyle w:val="Heading2"/>
        <w:spacing w:after="120" w:before="240" w:line="312"/>
      </w:pPr>
      <w:bookmarkStart w:name="_Toc17" w:id="17"/>
      <w:r>
        <w:rPr>
          <w:rFonts w:ascii="Times New Roman" w:eastAsia="SimHei"/>
          <w:b/>
          <w:bCs/>
          <w:color w:val="162235"/>
          <w:sz w:val="28"/>
          <w:szCs w:val="28"/>
        </w:rPr>
        <w:t xml:space="preserve">5.4 Endpoints afectados y secuencia exacta de la Fase B</w:t>
      </w:r>
      <w:bookmarkEnd w:id="17"/>
    </w:p>
    <w:p>
      <w:pPr>
        <w:spacing w:after="120" w:line="312"/>
        <w:jc w:val="both"/>
      </w:pPr>
      <w:r>
        <w:rPr>
          <w:rFonts w:ascii="Times New Roman"/>
          <w:color w:val="000000"/>
          <w:sz w:val="24"/>
          <w:szCs w:val="24"/>
        </w:rPr>
        <w:t xml:space="preserve">Los endpoints afectados son exactamente tres rutas públicas: /api/storefront/[slug] (API de vitrina), /tienda/[slug] (vitrina SSR) y /api/health (comprobación de vida). Las rutas internas con sesión no cambian de comportamiento. La secuencia siguiente se ejecuta íntegra y en orden; ningún paso escribe en la base de datos.</w:t>
      </w:r>
    </w:p>
    <w:p>
      <w:pPr>
        <w:keepNext/>
        <w:spacing w:after="40" w:before="160" w:line="276"/>
        <w:jc w:val="left"/>
      </w:pPr>
      <w:r>
        <w:rPr>
          <w:rFonts w:ascii="Courier New" w:eastAsia="Microsoft YaHei"/>
          <w:b/>
          <w:bCs/>
          <w:color w:val="1B6B7A"/>
          <w:sz w:val="19"/>
          <w:szCs w:val="19"/>
        </w:rPr>
        <w:t xml:space="preserve">Secuencia Fase B (PowerShell en el servidor de aplicacion)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0. Estado previo (registro de linea base para el acta de la ventana)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pm2 status; pm2 --version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netstat -ano | findstr :3000        # esperado: vacio o TIME_WAIT sin LISTENING</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1. Fijar el codigo al commit exacto de la base CP-SEC-027</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git fetch origin --prune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git status --short                 # esperado: limpio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git checkout --detach 98e0d31e25005a6f657bef1e6b56989f203f560a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git rev-parse HEAD                 # debe imprimir 98e0d31e25005a6f657bef1e6b56989f203f560a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2. Dependencias (el PR #1424 no toca package.json; verificacion de seguridad)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bun install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3. Arranque en frio de PM2 (app 'costpro'; dotenv carga .env; start.sh limpia el puerto)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pm2 start ecosystem.config.js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pm2 save                           # persiste la lista para resurrect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pm2 logs costpro --lines 30 --nostream   # buscar 'ready' / servidor escuchando en 3000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4. Compuertas de salud (todas deben pasar antes de continuar)</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(Invoke-WebRequest http://localhost:3000/api/health -UseBasicParsing).StatusCode          # 200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(Invoke-WebRequest http://localhost:3000/tienda/puerto-padre-vitallcons -UseBasicParsing).StatusCode  # 200</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$api = Invoke-RestMethod http://localhost:3000/api/storefront/puerto-padre-vitallcons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$api.store.name; $api.products.Count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La respuesta NO debe contener claves de costo: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($api.products | Get-Member -MemberType NoteProperty).Name -match 'cost|precio_empresa'   # esperado: vacio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5. E2E de storefront (compuerta funcional previa a la Fase C)</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npx playwright test e2e/flows/catalog-storefront.spec.ts --grep "E2E-SF"</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 esperado: E2E-SF-001, E2E-SF-002, E2E-SF-003 PASSED (base E2E_BASE_URL por defecto localhost:3000)</w:t>
      </w:r>
    </w:p>
    <w:p>
      <w:pPr>
        <w:spacing w:after="120" w:line="312"/>
        <w:jc w:val="both"/>
      </w:pPr>
      <w:r>
        <w:rPr>
          <w:rFonts w:ascii="Times New Roman"/>
          <w:color w:val="000000"/>
          <w:sz w:val="24"/>
          <w:szCs w:val="24"/>
        </w:rPr>
        <w:t xml:space="preserve">Nota operativa sobre las E2E: la especificación crea una tienda piloto y un producto de prueba vía service-role y los limpia en afterAll (delta neto cero esperado, con herramienta oficial reconcile-orphan-runs para residuos). Ejecutarlas forma parte de los criterios de aceptación definidos por el propietario, por lo que su ciclo de datos está dentro de la ventana autorizada; requieren las credenciales E2E (E2E_ADMIN_EMAIL/E2E_ADMIN_PASS o sus valores por defecto del entorno de pruebas) y no arrancan servidor propio (no hay webServer en playwright.config.ts: el servidor debe estar corriendo).</w:t>
      </w:r>
    </w:p>
    <w:p>
      <w:pPr>
        <w:pStyle w:val="Heading1"/>
        <w:spacing w:after="160" w:before="360" w:line="312"/>
      </w:pPr>
      <w:bookmarkStart w:name="_Toc18" w:id="18"/>
      <w:r>
        <w:rPr>
          <w:rFonts w:ascii="Times New Roman" w:eastAsia="SimHei"/>
          <w:b/>
          <w:bCs/>
          <w:color w:val="162235"/>
          <w:sz w:val="32"/>
          <w:szCs w:val="32"/>
        </w:rPr>
        <w:t xml:space="preserve">6. Fase C — Restricción: SQL exacto y precondiciones</w:t>
      </w:r>
      <w:bookmarkEnd w:id="18"/>
    </w:p>
    <w:p>
      <w:pPr>
        <w:spacing w:after="120" w:line="312"/>
        <w:jc w:val="both"/>
      </w:pPr>
      <w:r>
        <w:rPr>
          <w:rFonts w:ascii="Times New Roman"/>
          <w:color w:val="000000"/>
          <w:sz w:val="24"/>
          <w:szCs w:val="24"/>
        </w:rPr>
        <w:t xml:space="preserve">La Fase C ejecuta las secciones 5a a 5c del archivo fusionado y es el momento en que la exposición P1 se cierra efectivamente. Sus precondiciones son explícitas y verificables: la Fase A está aplicada (las tres vistas responden 200 con la clave publishable) y la Fase B está desplegada y verificada en vivo (vitrina y storefront API responden 200 con productos, y E2E-SF-001/002/003 constan aprobadas). Si cualquiera de esas compuertas no está verde, la Fase C no se ejecuta; con PM2 apagado o con código pre-fix vivo, retirar el acceso anon a las tablas derribaría la superficie pública.</w:t>
      </w:r>
    </w:p>
    <w:p>
      <w:pPr>
        <w:keepNext/>
        <w:spacing w:after="40" w:before="160" w:line="276"/>
        <w:jc w:val="left"/>
      </w:pPr>
      <w:r>
        <w:rPr>
          <w:rFonts w:ascii="Courier New" w:eastAsia="Microsoft YaHei"/>
          <w:b/>
          <w:bCs/>
          <w:color w:val="1B6B7A"/>
          <w:sz w:val="19"/>
          <w:szCs w:val="19"/>
        </w:rPr>
        <w:t xml:space="preserve">fase_c_restriccion.sql — VERBATIM de 20261019000001, secciones 5a-5c</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POLICY IF EXISTS "products_public_read_anon" ON public.products;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POLICY IF EXISTS "stores_select_anon" ON public.stores;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-- 5b. La policy de variantes se recrea SIN anon. Mismo predicado para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authenticated (cero cambio de comportamiento con sesión). Primera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representación en el stream de migraciones de esta policy que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previamente existía solo out-of-band en la BD viva.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POLICY IF EXISTS "Variantes públicas - lectura" ON public.product_variants;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POLICY IF EXISTS "Variantes públicas - lectura autenticada" ON public.product_variants;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CREATE POLICY "Variantes públicas - lectura autenticada" ON public.product_variants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FOR SELECT TO authenticated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USING (EXISTS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SELECT 1</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FROM public.products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WHERE products.id = product_variants.product_id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AND products.visible_en_tienda = true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-- 5c. Revocación del privilegio de tabla al rol anon (defensa en profundidad: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aunque una policy anon reapareciera por despliegue parcial, sin GRANT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no hay lectura posible vía PostgREST).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REVOKE SELECT ON public.products FROM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REVOKE SELECT ON public.stores FROM anon;</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REVOKE SELECT ON public.product_variants FROM anon;</w:t>
      </w:r>
    </w:p>
    <w:p>
      <w:pPr>
        <w:spacing w:after="120" w:line="312"/>
        <w:jc w:val="both"/>
      </w:pPr>
      <w:r>
        <w:rPr>
          <w:rFonts w:ascii="Times New Roman"/>
          <w:color w:val="000000"/>
          <w:sz w:val="24"/>
          <w:szCs w:val="24"/>
        </w:rPr>
        <w:t xml:space="preserve">Semántica exacta del bloque: 5a elimina las dos policies anon de tabla (products_public_read_anon y stores_select_anon); 5b retira la policy out-of-band de variantes y la recrea con el mismo predicado solo para authenticated — primera representación en el stream de migraciones de una policy que existía solo en la base de datos viva, con cero cambio de comportamiento para usuarios con sesión —; y 5c revoca SELECT sobre las tres tablas al rol anon, de modo que incluso la reaparición accidental de una policy anon por un despliegue parcial no bastaría para leer. Resultados esperados comando a comando: DROP POLICY IF EXISTS sobre policies vivas elimina exactamente dos policies en 5a (más la de variantes en 5b), CREATE POLICY crea una, y los tres REVOKE sustraen el privilegio SELECT efectivo inmediatamente (PostgREST verifica privilegios por consulta, sin conexiones que conserven estado antiguo).</w:t>
      </w:r>
    </w:p>
    <w:p>
      <w:pPr>
        <w:spacing w:after="120" w:line="312"/>
        <w:jc w:val="both"/>
      </w:pPr>
      <w:r>
        <w:rPr>
          <w:rFonts w:ascii="Times New Roman"/>
          <w:color w:val="000000"/>
          <w:sz w:val="24"/>
          <w:szCs w:val="24"/>
        </w:rPr>
        <w:t xml:space="preserve">Observación documentada, sin acción en esta ventana: el rol anon conserva del paquete por defecto de Supabase los privilegios no-SELECT sobre estas tablas (INSERT/UPDATE/DELETE), pero RLS está habilitado y no existe ninguna policy de escritura para anon, por lo que toda escritura queda denegada por RLS con independencia del privilegio. La migración revoca deliberadamente solo SELECT, que es la superficie del hallazgo P1; ampliar la revocación sería SQL alternativo y queda fuera del alcance que el propietario fijó. Cierre de la Fase C: ejecutar la verificación post-migración completa del capítulo 10 y no declarar la ventana terminada hasta sus cero fallos.</w:t>
      </w:r>
    </w:p>
    <w:p>
      <w:pPr>
        <w:pStyle w:val="Heading1"/>
        <w:spacing w:after="160" w:before="360" w:line="312"/>
      </w:pPr>
      <w:bookmarkStart w:name="_Toc19" w:id="19"/>
      <w:r>
        <w:rPr>
          <w:rFonts w:ascii="Times New Roman" w:eastAsia="SimHei"/>
          <w:b/>
          <w:bCs/>
          <w:color w:val="162235"/>
          <w:sz w:val="32"/>
          <w:szCs w:val="32"/>
        </w:rPr>
        <w:t xml:space="preserve">7. Análisis de dependencias y conflictos entre las tres fases</w:t>
      </w:r>
      <w:bookmarkEnd w:id="19"/>
    </w:p>
    <w:p>
      <w:pPr>
        <w:spacing w:after="60" w:line="312"/>
        <w:jc w:val="both"/>
      </w:pPr>
      <w:r>
        <w:rPr>
          <w:rFonts w:ascii="Times New Roman"/>
          <w:color w:val="000000"/>
          <w:sz w:val="24"/>
          <w:szCs w:val="24"/>
        </w:rPr>
        <w:t xml:space="preserve">El orden A → B → C no es una preferencia: es la única secuencia que mantiene la superficie pública disponible durante toda la ventana. La Fase A es aditiva y beneficia a cualquiera de los dos códigos sin romper ninguno; la Fase B cambia el código que consume la base de datos y por eso exige que las vistas existieran antes; la Fase C retira el acceso antiguo y por eso exige que el código nuevo esté desplegado y verificado. La Tabla 6 resume el modo de fallo exacto de cada permutación incorrecta y su recuperación, que nunca pasa por pérdida de datos: la migración no contiene DML.</w:t>
      </w:r>
    </w:p>
    <w:p>
      <w:pPr>
        <w:keepNext/>
        <w:spacing w:after="80" w:before="200" w:line="312"/>
        <w:jc w:val="left"/>
      </w:pPr>
      <w:r>
        <w:rPr>
          <w:rFonts w:ascii="Times New Roman"/>
          <w:b/>
          <w:bCs/>
          <w:color w:val="162235"/>
          <w:sz w:val="21"/>
          <w:szCs w:val="21"/>
        </w:rPr>
        <w:t xml:space="preserve">Tabla 6: Matriz de dependencias entre fases y modos de fallo por orden incorrecto</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1494"/>
        <w:gridCol w:w="2197"/>
        <w:gridCol w:w="2900"/>
        <w:gridCol w:w="2197"/>
      </w:tblGrid>
      <w:tr>
        <w:trPr>
          <w:cantSplit/>
          <w:tblHeader/>
        </w:trPr>
        <w:tc>
          <w:tcPr>
            <w:tcW w:type="pct" w:w="85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Frontera</w:t>
            </w:r>
          </w:p>
        </w:tc>
        <w:tc>
          <w:tcPr>
            <w:tcW w:type="pct" w:w="125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Dependencia obligatoria</w:t>
            </w:r>
          </w:p>
        </w:tc>
        <w:tc>
          <w:tcPr>
            <w:tcW w:type="pct" w:w="165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Si se viola el orden</w:t>
            </w:r>
          </w:p>
        </w:tc>
        <w:tc>
          <w:tcPr>
            <w:tcW w:type="pct" w:w="125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Recuperación</w:t>
            </w:r>
          </w:p>
        </w:tc>
      </w:tr>
      <w:tr>
        <w:trPr>
          <w:cantSplit/>
        </w:trPr>
        <w:tc>
          <w:tcPr>
            <w:tcW w:type="pct" w:w="850"/>
            <w:tcMar>
              <w:top w:type="dxa" w:w="60"/>
              <w:left w:type="dxa" w:w="120"/>
              <w:bottom w:type="dxa" w:w="60"/>
              <w:right w:type="dxa" w:w="120"/>
            </w:tcMar>
          </w:tcPr>
          <w:p>
            <w:pPr>
              <w:spacing w:line="312"/>
              <w:jc w:val="left"/>
            </w:pPr>
            <w:r>
              <w:rPr>
                <w:rFonts w:ascii="Times New Roman" w:eastAsia="SimSun"/>
                <w:b/>
                <w:bCs/>
                <w:color w:val="000000"/>
                <w:sz w:val="18"/>
                <w:szCs w:val="18"/>
              </w:rPr>
              <w:t xml:space="preserve">A antes de B</w:t>
            </w:r>
          </w:p>
        </w:tc>
        <w:tc>
          <w:tcPr>
            <w:tcW w:type="pct" w:w="12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Las vistas deben existir antes de que el código 98e0d31e arranque</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La vitrina y la storefront API degradan a 404 elegante (Tienda no encontrada), sin errores 500; smoke documentado en la evidencia del PR</w:t>
            </w:r>
          </w:p>
        </w:tc>
        <w:tc>
          <w:tcPr>
            <w:tcW w:type="pct" w:w="12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Aplicar A: las vistas aparecen y el servicio se recupera solo (o rollback de B y aplicar A después)</w:t>
            </w:r>
          </w:p>
        </w:tc>
      </w:tr>
      <w:tr>
        <w:trPr>
          <w:cantSplit/>
        </w:trPr>
        <w:tc>
          <w:tcPr>
            <w:tcW w:type="pct" w:w="85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B verificada antes de C</w:t>
            </w:r>
          </w:p>
        </w:tc>
        <w:tc>
          <w:tcPr>
            <w:tcW w:type="pct" w:w="12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El código nuevo debe estar vivo y con E2E-SF aprobadas</w:t>
            </w:r>
          </w:p>
        </w:tc>
        <w:tc>
          <w:tcPr>
            <w:tcW w:type="pct" w:w="16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Si PM2 sigue apagado o corre código pre-fix, retirar el acceso anon a las tablas derriba la vitrina y la API públicas</w:t>
            </w:r>
          </w:p>
        </w:tc>
        <w:tc>
          <w:tcPr>
            <w:tcW w:type="pct" w:w="12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Rollback inmediato de C (re-grant + policies) y re-diagnóstico de B</w:t>
            </w:r>
          </w:p>
        </w:tc>
      </w:tr>
      <w:tr>
        <w:trPr>
          <w:cantSplit/>
        </w:trPr>
        <w:tc>
          <w:tcPr>
            <w:tcW w:type="pct" w:w="850"/>
            <w:tcMar>
              <w:top w:type="dxa" w:w="60"/>
              <w:left w:type="dxa" w:w="120"/>
              <w:bottom w:type="dxa" w:w="60"/>
              <w:right w:type="dxa" w:w="120"/>
            </w:tcMar>
          </w:tcPr>
          <w:p>
            <w:pPr>
              <w:spacing w:line="312"/>
              <w:jc w:val="left"/>
            </w:pPr>
            <w:r>
              <w:rPr>
                <w:rFonts w:ascii="Times New Roman" w:eastAsia="SimSun"/>
                <w:b/>
                <w:bCs/>
                <w:color w:val="000000"/>
                <w:sz w:val="18"/>
                <w:szCs w:val="18"/>
              </w:rPr>
              <w:t xml:space="preserve">T-0 antes de A</w:t>
            </w:r>
          </w:p>
        </w:tc>
        <w:tc>
          <w:tcPr>
            <w:tcW w:type="pct" w:w="12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Captura de línea base de solo lectura el día de la ejecución</w:t>
            </w:r>
          </w:p>
        </w:tc>
        <w:tc>
          <w:tcPr>
            <w:tcW w:type="pct" w:w="16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El rollback de C se apoyaría en predicados congelados hace días; cualquier deriva pasaría inadvertida</w:t>
            </w:r>
          </w:p>
        </w:tc>
        <w:tc>
          <w:tcPr>
            <w:tcW w:type="pct" w:w="12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Abortar la ventana: ejecutar t0_linea_base_readonly.sql y comparar con la Tabla 3 antes de continuar</w:t>
            </w:r>
          </w:p>
        </w:tc>
      </w:tr>
      <w:tr>
        <w:trPr>
          <w:cantSplit/>
        </w:trPr>
        <w:tc>
          <w:tcPr>
            <w:tcW w:type="pct" w:w="85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A y C frente a 20261018000000</w:t>
            </w:r>
          </w:p>
        </w:tc>
        <w:tc>
          <w:tcPr>
            <w:tcW w:type="pct" w:w="12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NINGUNA: cero archivos en común (verificado con diff); objetos distintos (funciones RPC frente a vistas/policies/grants)</w:t>
            </w:r>
          </w:p>
        </w:tc>
        <w:tc>
          <w:tcPr>
            <w:tcW w:type="pct" w:w="16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No existe conflicto real; ambas migraciones son aplicables en cualquier orden y ninguna requiere a la otra</w:t>
            </w:r>
          </w:p>
        </w:tc>
        <w:tc>
          <w:tcPr>
            <w:tcW w:type="pct" w:w="12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No aplica; 20261018000000 permanece fuera por decisión del propietario (Decisión E)</w:t>
            </w:r>
          </w:p>
        </w:tc>
      </w:tr>
    </w:tbl>
    <w:p>
      <w:pPr>
        <w:spacing w:after="120" w:line="312"/>
        <w:jc w:val="both"/>
      </w:pPr>
      <w:r>
        <w:rPr>
          <w:rFonts w:ascii="Times New Roman"/>
          <w:color w:val="000000"/>
          <w:sz w:val="24"/>
          <w:szCs w:val="24"/>
        </w:rPr>
        <w:t xml:space="preserve">Ventanas de exposición residual, explícitas: hasta el cierre de la Fase C el hallazgo P1 sigue abierto (las tablas permanecen legibles por anon durante A y B); ese es el estado actual conocido y documentado, no una regresión nueva. La ventana B→C debería medirse en minutos: el plan del capítulo 11 mantiene la Fase C inmediatamente posterior a las E2E de la Fase B. Entre A y B no hay exposición nueva alguna ni cambio visible. Idempotencia por fase: A usa CREATE OR REPLACE VIEW y GRANT (re-ejecución inocua), C usa DROP POLICY IF EXISTS, CREATE POLICY y REVOKE (re-ejecución inocua); los rollbacks están escritos en BEGIN/COMMIT transaccionales idempotentes.</w:t>
      </w:r>
    </w:p>
    <w:p>
      <w:pPr>
        <w:spacing w:after="120" w:line="312"/>
        <w:jc w:val="both"/>
      </w:pPr>
      <w:r>
        <w:rPr>
          <w:rFonts w:ascii="Times New Roman"/>
          <w:color w:val="000000"/>
          <w:sz w:val="24"/>
          <w:szCs w:val="24"/>
        </w:rPr>
        <w:t xml:space="preserve">Riesgo de deriva del estado: entre la captura de las 11:07:28Z de hoy y el momento de la ejecución podría cambiar algo en la base de datos (el propio avance de main con el PR #1423 demuestra que el repositorio sigue moviéndose). Por eso la ventana abre con la captura T-0 obligatoria: el script de línea base de solo lectura compara el estado vivo contra la Tabla 3 y contra el resultado 18/18 fallos del script oficial; cualquier discrepancia aborta la ventana antes de tocar la producción.</w:t>
      </w:r>
    </w:p>
    <w:p>
      <w:pPr>
        <w:pStyle w:val="Heading1"/>
        <w:spacing w:after="160" w:before="360" w:line="312"/>
      </w:pPr>
      <w:bookmarkStart w:name="_Toc20" w:id="20"/>
      <w:r>
        <w:rPr>
          <w:rFonts w:ascii="Times New Roman" w:eastAsia="SimHei"/>
          <w:b/>
          <w:bCs/>
          <w:color w:val="162235"/>
          <w:sz w:val="32"/>
          <w:szCs w:val="32"/>
        </w:rPr>
        <w:t xml:space="preserve">8. Procedimientos de reversión por fase, riesgos y limitaciones</w:t>
      </w:r>
      <w:bookmarkEnd w:id="20"/>
    </w:p>
    <w:p>
      <w:pPr>
        <w:spacing w:after="120" w:line="312"/>
        <w:jc w:val="both"/>
      </w:pPr>
      <w:r>
        <w:rPr>
          <w:rFonts w:ascii="Times New Roman"/>
          <w:color w:val="000000"/>
          <w:sz w:val="24"/>
          <w:szCs w:val="24"/>
        </w:rPr>
        <w:t xml:space="preserve">Cada fase tiene su reversión independiente, tomada del bloque PROCEDIMIENTO DE REVERSIÓN que la propia migración documenta, y una regla de secuencia que emana de la matriz de dependencias: las fases se revierten en orden inverso (C, luego B, luego A). Revertir B sin haber revertido C rompe el servicio (el código viejo necesita las tablas que C cerró); revertir A sin haber revertido B rompe el servicio (el código nuevo necesita las vistas). Ninguna reversión toca datos: todo es DDL/DCL.</w:t>
      </w:r>
    </w:p>
    <w:p>
      <w:pPr>
        <w:pStyle w:val="Heading2"/>
        <w:spacing w:after="120" w:before="240" w:line="312"/>
      </w:pPr>
      <w:bookmarkStart w:name="_Toc21" w:id="21"/>
      <w:r>
        <w:rPr>
          <w:rFonts w:ascii="Times New Roman" w:eastAsia="SimHei"/>
          <w:b/>
          <w:bCs/>
          <w:color w:val="162235"/>
          <w:sz w:val="28"/>
          <w:szCs w:val="28"/>
        </w:rPr>
        <w:t xml:space="preserve">8.1 Reversión de la Fase C (emergencia: reabre la superficie anon de tablas)</w:t>
      </w:r>
      <w:bookmarkEnd w:id="21"/>
    </w:p>
    <w:p>
      <w:pPr>
        <w:spacing w:after="120" w:line="312"/>
        <w:jc w:val="both"/>
      </w:pPr>
      <w:r>
        <w:rPr>
          <w:rFonts w:ascii="Times New Roman"/>
          <w:color w:val="000000"/>
          <w:sz w:val="24"/>
          <w:szCs w:val="24"/>
        </w:rPr>
        <w:t xml:space="preserve">Aplicable si, tras la Fase C, la vitrina o la API fallan por cualquier causa no prevista. Restaura el estado previo exacto de grants y policies — incluida la policy out-of-band de variantes con su nombre y predicado originales. LIMITACIÓN CRÍTICA: reabre la exposición P1 que esta operación cierra; es un estado de emergencia conocido y aceptable solo para restaurar el servicio, y debe quedar registrado en el acta de la ventana. Validar contra la captura T-0 antes de ejecutar si hay cualquier duda de deriva. En el archivo auxiliar fase_c_rollback.sql este bloque está sin BEGIN/COMMIT aquí por claridad; el archivo lo envuelve en transacción.</w:t>
      </w:r>
    </w:p>
    <w:p>
      <w:pPr>
        <w:keepNext/>
        <w:spacing w:after="40" w:before="160" w:line="276"/>
        <w:jc w:val="left"/>
      </w:pPr>
      <w:r>
        <w:rPr>
          <w:rFonts w:ascii="Courier New" w:eastAsia="Microsoft YaHei"/>
          <w:b/>
          <w:bCs/>
          <w:color w:val="1B6B7A"/>
          <w:sz w:val="19"/>
          <w:szCs w:val="19"/>
        </w:rPr>
        <w:t xml:space="preserve">fase_c_rollback.sql — VERBATIM del bloque de reversion de la migracion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BEGIN;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GRANT SELECT ON public.products TO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GRANT SELECT ON public.stores TO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GRANT SELECT ON public.product_variants TO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POLICY IF EXISTS "products_public_read_anon" ON public.products;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CREATE POLICY "products_public_read_anon" ON public.products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FOR SELECT TO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USING (is_active = true AND visible_en_tienda = true);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POLICY IF EXISTS "stores_select_anon" ON public.stores;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CREATE POLICY "stores_select_anon" ON public.stores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FOR SELECT TO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USING (stores.is_active = true);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POLICY IF EXISTS "Variantes públicas - lectura autenticada"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ON public.product_variants;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CREATE POLICY "Variantes públicas - lectura" ON public.product_variants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FOR SELECT TO anon, authenticated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USING (EXISTS (SELECT 1 FROM public.products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WHERE products.id = product_variants.product_id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AND products.visible_en_tienda = true));</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COMMIT;</w:t>
      </w:r>
    </w:p>
    <w:p>
      <w:pPr>
        <w:pStyle w:val="Heading2"/>
        <w:spacing w:after="120" w:before="240" w:line="312"/>
      </w:pPr>
      <w:bookmarkStart w:name="_Toc22" w:id="22"/>
      <w:r>
        <w:rPr>
          <w:rFonts w:ascii="Times New Roman" w:eastAsia="SimHei"/>
          <w:b/>
          <w:bCs/>
          <w:color w:val="162235"/>
          <w:sz w:val="28"/>
          <w:szCs w:val="28"/>
        </w:rPr>
        <w:t xml:space="preserve">8.2 Reversión de la Fase B (vuelve al último código conocido bueno)</w:t>
      </w:r>
      <w:bookmarkEnd w:id="22"/>
    </w:p>
    <w:p>
      <w:pPr>
        <w:keepNext/>
        <w:spacing w:after="40" w:before="160" w:line="276"/>
        <w:jc w:val="left"/>
      </w:pPr>
      <w:r>
        <w:rPr>
          <w:rFonts w:ascii="Courier New" w:eastAsia="Microsoft YaHei"/>
          <w:b/>
          <w:bCs/>
          <w:color w:val="1B6B7A"/>
          <w:sz w:val="19"/>
          <w:szCs w:val="19"/>
        </w:rPr>
        <w:t xml:space="preserve">Rollback de Fase B (PowerShell): solo tras rollback de C si C se habia aplicado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Volver al estado previo del servidor (codigo y proceso)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git checkout --detach &lt;commit-previo-verificado-en-el-acta&gt;   # o la rama/commit previa al 98e0d31e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bun install</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pm2 restart costpro        # si estaba corriendo; o pm2 start ecosystem.config.js si estaba apagado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pm2 logs costpro --lines 30 --nostream</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(Invoke-WebRequest http://localhost:3000/api/health -UseBasicParsing).StatusCode   # 200</w:t>
      </w:r>
    </w:p>
    <w:p>
      <w:pPr>
        <w:spacing w:after="120" w:line="312"/>
        <w:jc w:val="both"/>
      </w:pPr>
      <w:r>
        <w:rPr>
          <w:rFonts w:ascii="Times New Roman"/>
          <w:color w:val="000000"/>
          <w:sz w:val="24"/>
          <w:szCs w:val="24"/>
        </w:rPr>
        <w:t xml:space="preserve">RIESGO documentado de esta reversión: restaura el código pre-fix, cuyo fallback de vitrina vuelve a leer costos en el fetch (mitigado por el mapeo del cliente, igual que hoy) y cuyo stock de fallback vuelve a devolver cero; es decir, vuelve exactamente al estado funcional conocido de antes del CP-SEC-027 con la exposición P1 activa. Si solo se quiere pausar sin perder el código nuevo (por ejemplo, para diagnosticar un problema de arranque), la alternativa preferible es detener el proceso (pm2 stop costpro) en lugar de cambiar de commit, porque el servicio figura apagado de todos modos en el diagnóstico de partida.</w:t>
      </w:r>
    </w:p>
    <w:p>
      <w:pPr>
        <w:pStyle w:val="Heading2"/>
        <w:spacing w:after="120" w:before="240" w:line="312"/>
      </w:pPr>
      <w:bookmarkStart w:name="_Toc23" w:id="23"/>
      <w:r>
        <w:rPr>
          <w:rFonts w:ascii="Times New Roman" w:eastAsia="SimHei"/>
          <w:b/>
          <w:bCs/>
          <w:color w:val="162235"/>
          <w:sz w:val="28"/>
          <w:szCs w:val="28"/>
        </w:rPr>
        <w:t xml:space="preserve">8.3 Reversión de la Fase A (solo si B no está desplegada)</w:t>
      </w:r>
      <w:bookmarkEnd w:id="23"/>
    </w:p>
    <w:p>
      <w:pPr>
        <w:keepNext/>
        <w:spacing w:after="40" w:before="160" w:line="276"/>
        <w:jc w:val="left"/>
      </w:pPr>
      <w:r>
        <w:rPr>
          <w:rFonts w:ascii="Courier New" w:eastAsia="Microsoft YaHei"/>
          <w:b/>
          <w:bCs/>
          <w:color w:val="1B6B7A"/>
          <w:sz w:val="19"/>
          <w:szCs w:val="19"/>
        </w:rPr>
        <w:t xml:space="preserve">fase_a_rollback.sql — VERBATIM del bloque de reversion de la migracion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BEGIN;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REVOKE SELECT ON public.public_catalog_v FROM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REVOKE SELECT ON public.public_storefronts_v FROM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REVOKE SELECT ON public.public_variants_v FROM anon;</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VIEW IF EXISTS public.public_variants_v;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VIEW IF EXISTS public.public_storefronts_v;</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DROP VIEW IF EXISTS public.public_catalog_v;</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COMMIT;</w:t>
      </w:r>
    </w:p>
    <w:p>
      <w:pPr>
        <w:keepNext/>
        <w:spacing w:after="80" w:before="200" w:line="312"/>
        <w:jc w:val="left"/>
      </w:pPr>
      <w:r>
        <w:rPr>
          <w:rFonts w:ascii="Times New Roman"/>
          <w:b/>
          <w:bCs/>
          <w:color w:val="162235"/>
          <w:sz w:val="21"/>
          <w:szCs w:val="21"/>
        </w:rPr>
        <w:t xml:space="preserve">Tabla 7: Riesgos y limitaciones de cada reversión</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1933"/>
        <w:gridCol w:w="3691"/>
        <w:gridCol w:w="3164"/>
      </w:tblGrid>
      <w:tr>
        <w:trPr>
          <w:cantSplit/>
          <w:tblHeader/>
        </w:trPr>
        <w:tc>
          <w:tcPr>
            <w:tcW w:type="pct" w:w="11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Reversión</w:t>
            </w:r>
          </w:p>
        </w:tc>
        <w:tc>
          <w:tcPr>
            <w:tcW w:type="pct" w:w="21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Riesgo principal</w:t>
            </w:r>
          </w:p>
        </w:tc>
        <w:tc>
          <w:tcPr>
            <w:tcW w:type="pct" w:w="18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Limitaciones</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18"/>
                <w:szCs w:val="18"/>
              </w:rPr>
              <w:t xml:space="preserve">C (re-grant + policies)</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Reabre la exposición P1 (costos legibles por anon) como estado de emergencia</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No debe mantenerse: reabre el hallazgo; la corrección queda pendiente de re-ejecutar</w:t>
            </w:r>
          </w:p>
        </w:tc>
      </w:tr>
      <w:tr>
        <w:trPr>
          <w:cantSplit/>
        </w:trPr>
        <w:tc>
          <w:tcPr>
            <w:tcW w:type="pct" w:w="11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B (commit previo)</w:t>
            </w:r>
          </w:p>
        </w:tc>
        <w:tc>
          <w:tcPr>
            <w:tcW w:type="pct" w:w="21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Restaura el código pre-fix con sus dos fallos silenciosos previos (stock 0, variantes invisibles) y la exposición P1 activa</w:t>
            </w:r>
          </w:p>
        </w:tc>
        <w:tc>
          <w:tcPr>
            <w:tcW w:type="pct" w:w="1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Prohibida tras C sin revertir C antes; requiere commit previo identificado en el acta</w:t>
            </w:r>
          </w:p>
        </w:tc>
      </w:tr>
      <w:tr>
        <w:trPr>
          <w:cantSplit/>
        </w:trPr>
        <w:tc>
          <w:tcPr>
            <w:tcW w:type="pct" w:w="1100"/>
            <w:tcMar>
              <w:top w:type="dxa" w:w="60"/>
              <w:left w:type="dxa" w:w="120"/>
              <w:bottom w:type="dxa" w:w="60"/>
              <w:right w:type="dxa" w:w="120"/>
            </w:tcMar>
          </w:tcPr>
          <w:p>
            <w:pPr>
              <w:spacing w:line="312"/>
              <w:jc w:val="left"/>
            </w:pPr>
            <w:r>
              <w:rPr>
                <w:rFonts w:ascii="Times New Roman" w:eastAsia="SimSun"/>
                <w:b/>
                <w:bCs/>
                <w:color w:val="000000"/>
                <w:sz w:val="18"/>
                <w:szCs w:val="18"/>
              </w:rPr>
              <w:t xml:space="preserve">A (drop vistas)</w:t>
            </w:r>
          </w:p>
        </w:tc>
        <w:tc>
          <w:tcPr>
            <w:tcW w:type="pct" w:w="21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Ninguno funcional si B no está desplegada; rompe vitrina y API si lo está</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Solo aplicable con B no desplegada o ya revertida; pierde la superficie segura creada</w:t>
            </w:r>
          </w:p>
        </w:tc>
      </w:tr>
    </w:tbl>
    <w:p>
      <w:pPr>
        <w:pStyle w:val="Heading1"/>
        <w:spacing w:after="160" w:before="360" w:line="312"/>
      </w:pPr>
      <w:bookmarkStart w:name="_Toc24" w:id="24"/>
      <w:r>
        <w:rPr>
          <w:rFonts w:ascii="Times New Roman" w:eastAsia="SimHei"/>
          <w:b/>
          <w:bCs/>
          <w:color w:val="162235"/>
          <w:sz w:val="32"/>
          <w:szCs w:val="32"/>
        </w:rPr>
        <w:t xml:space="preserve">9. Matriz de pruebas de acceso con anon y authenticated</w:t>
      </w:r>
      <w:bookmarkEnd w:id="24"/>
    </w:p>
    <w:p>
      <w:pPr>
        <w:spacing w:after="60" w:line="312"/>
        <w:jc w:val="both"/>
      </w:pPr>
      <w:r>
        <w:rPr>
          <w:rFonts w:ascii="Times New Roman"/>
          <w:color w:val="000000"/>
          <w:sz w:val="24"/>
          <w:szCs w:val="24"/>
        </w:rPr>
        <w:t xml:space="preserve">La matriz siguiente define, comando a comando, el resultado esperado en cada frontera de la ventana. Las sondas PostgREST usan la clave publishable (rol anon); las pruebas con authenticated usan el JWT de un usuario con sesión real (el mismo mecanismo de los fixtures E2E o el token visible en el navegador tras iniciar sesión en la aplicación). El bloque de comandos define las sondas 1 a 16; la tabla cruza cada una con los cuatro estados. La captura de la columna Pre-fix ya está congelada en la evidencia del PR (18/18 fallos); las demás se generan durante la ventana y se archivan.</w:t>
      </w:r>
    </w:p>
    <w:p>
      <w:pPr>
        <w:keepNext/>
        <w:spacing w:after="40" w:before="160" w:line="276"/>
        <w:jc w:val="left"/>
      </w:pPr>
      <w:r>
        <w:rPr>
          <w:rFonts w:ascii="Courier New" w:eastAsia="Microsoft YaHei"/>
          <w:b/>
          <w:bCs/>
          <w:color w:val="1B6B7A"/>
          <w:sz w:val="19"/>
          <w:szCs w:val="19"/>
        </w:rPr>
        <w:t xml:space="preserve">Sondas de la matriz (PowerShell, solo lectura)</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$BASE = 'https://wthkddeleylijmonclxg.supabase.co'</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$ANON = $env:SUPABASE_ANON_KEY</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$h   = @{ apikey = $ANON; Authorization = "Bearer $ANON"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$JWT = '&lt;access_token de un usuario con sesion&gt;'      # para las pruebas authenticated</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$ha  = @{ apikey = $ANON; Authorization = "Bearer $JWT"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function Probe($u, $headers) { try { (Invoke-WebRequest -Headers $headers $u -UseBasicParsing).StatusCode } catch { $_.Exception.Response.StatusCode.value__ }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S1 tabla products            Probe "$BASE/rest/v1/products?select=id&amp;limit=1"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S2 products con costo        Probe "$BASE/rest/v1/products?select=id,cost_average&amp;limit=1"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S3 stores con tenant_id      Probe "$BASE/rest/v1/stores?select=id,tenant_id&amp;limit=1"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S4 variantes con precio_emp   Probe "$BASE/rest/v1/product_variants?select=precio_empresa&amp;limit=1"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S5 vista catalogo            Probe "$BASE/rest/v1/public_catalog_v?select=id,name,price&amp;limit=3"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S6 vista tiendas             Probe "$BASE/rest/v1/public_storefronts_v?select=slug&amp;limit=3"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S7 vista variantes           Probe "$BASE/rest/v1/public_variants_v?limit=1"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S8 vista catalogo + costo    Probe "$BASE/rest/v1/public_catalog_v?select=cost_average&amp;limit=1"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S9 vista catalogo + cost_p   Probe "$BASE/rest/v1/public_catalog_v?select=cost_price&amp;limit=1"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S10 vista variantes + p.e.    Probe "$BASE/rest/v1/public_variants_v?select=precio_empresa&amp;limit=1"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S11 vista tiendas + tenant   Probe "$BASE/rest/v1/public_storefronts_v?select=tenant_id&amp;limit=1"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S12 vista tiendas + banco    Probe "$BASE/rest/v1/public_storefronts_v?select=bank_account&amp;limit=1" $h</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S13 API storefront            (Invoke-WebRequest http://localhost:3000/api/storefront/puerto-padre-vitallcons).StatusCode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S14 vitrina SSR               (Invoke-WebRequest http://localhost:3000/tienda/puerto-padre-vitallcons).StatusCode</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S15 variantes authenticated  Probe "$BASE/rest/v1/product_variants?select=id,price&amp;limit=3" $ha</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 S16 products authenticated   Probe "$BASE/rest/v1/products?select=id&amp;limit=1" $ha</w:t>
      </w:r>
    </w:p>
    <w:p>
      <w:pPr>
        <w:keepNext/>
        <w:spacing w:after="80" w:before="200" w:line="312"/>
        <w:jc w:val="left"/>
      </w:pPr>
      <w:r>
        <w:rPr>
          <w:rFonts w:ascii="Times New Roman"/>
          <w:b/>
          <w:bCs/>
          <w:color w:val="162235"/>
          <w:sz w:val="21"/>
          <w:szCs w:val="21"/>
        </w:rPr>
        <w:t xml:space="preserve">Tabla 8: Matriz de resultados esperados por frontera (HTTP)</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527"/>
        <w:gridCol w:w="2636"/>
        <w:gridCol w:w="1318"/>
        <w:gridCol w:w="1318"/>
        <w:gridCol w:w="1494"/>
        <w:gridCol w:w="1494"/>
      </w:tblGrid>
      <w:tr>
        <w:trPr>
          <w:cantSplit/>
          <w:tblHeader/>
        </w:trPr>
        <w:tc>
          <w:tcPr>
            <w:tcW w:type="pct" w:w="3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w:t>
            </w:r>
          </w:p>
        </w:tc>
        <w:tc>
          <w:tcPr>
            <w:tcW w:type="pct" w:w="15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Prueba (rol)</w:t>
            </w:r>
          </w:p>
        </w:tc>
        <w:tc>
          <w:tcPr>
            <w:tcW w:type="pct" w:w="75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Pre-fix hoy</w:t>
            </w:r>
          </w:p>
        </w:tc>
        <w:tc>
          <w:tcPr>
            <w:tcW w:type="pct" w:w="75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Tras A</w:t>
            </w:r>
          </w:p>
        </w:tc>
        <w:tc>
          <w:tcPr>
            <w:tcW w:type="pct" w:w="85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Tras B</w:t>
            </w:r>
          </w:p>
        </w:tc>
        <w:tc>
          <w:tcPr>
            <w:tcW w:type="pct" w:w="85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Tras C</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S1</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products directa (anon)</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401/403</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S2</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products con cost_average (anon)</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con costo real</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con costo real</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con costo real</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401/403</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S3</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stores con tenant_id (anon)</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con tenant</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con tenant</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con tenant</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401/403</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S4</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product_variants con precio_empresa (anon)</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401/403</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S5</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public_catalog_v (anon)</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S6</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public_storefronts_v (anon)</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S7</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public_variants_v (anon)</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S8</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vista catalogo: cost_average</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S9</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vista catalogo: cost_price</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S10</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vista variantes: precio_empresa</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S11</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vista tiendas: tenant_id</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S12</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vista tiendas: bank_account</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404</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400</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S13</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GET /api/storefront/puerto-padre-vitallcons</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n/a (PM2 apagado)</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n/a</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JSON con productos, sin claves de costo</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idéntico a Tras B</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S14</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GET /tienda/puerto-padre-vitallcons</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n/a (PM2 apagado)</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n/a</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HTML con productos</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idéntico a Tras B</w:t>
            </w:r>
          </w:p>
        </w:tc>
      </w:tr>
      <w:tr>
        <w:trPr>
          <w:cantSplit/>
        </w:trPr>
        <w:tc>
          <w:tcPr>
            <w:tcW w:type="pct" w:w="300"/>
            <w:tcMar>
              <w:top w:type="dxa" w:w="60"/>
              <w:left w:type="dxa" w:w="120"/>
              <w:bottom w:type="dxa" w:w="60"/>
              <w:right w:type="dxa" w:w="120"/>
            </w:tcMar>
          </w:tcPr>
          <w:p>
            <w:pPr>
              <w:spacing w:line="312"/>
              <w:jc w:val="left"/>
            </w:pPr>
            <w:r>
              <w:rPr>
                <w:rFonts w:ascii="Times New Roman" w:eastAsia="SimSun"/>
                <w:b/>
                <w:bCs/>
                <w:color w:val="000000"/>
                <w:sz w:val="17"/>
                <w:szCs w:val="17"/>
              </w:rPr>
              <w:t xml:space="preserve">S15</w:t>
            </w:r>
          </w:p>
        </w:tc>
        <w:tc>
          <w:tcPr>
            <w:tcW w:type="pct" w:w="1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product_variants (authenticated con sesión)</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filas visibles</w:t>
            </w:r>
          </w:p>
        </w:tc>
        <w:tc>
          <w:tcPr>
            <w:tcW w:type="pct" w:w="7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idéntico</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idéntico</w:t>
            </w:r>
          </w:p>
        </w:tc>
        <w:tc>
          <w:tcPr>
            <w:tcW w:type="pct" w:w="85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200 idéntico (policy recreada con el MISMO predicado)</w:t>
            </w:r>
          </w:p>
        </w:tc>
      </w:tr>
      <w:tr>
        <w:trPr>
          <w:cantSplit/>
        </w:trPr>
        <w:tc>
          <w:tcPr>
            <w:tcW w:type="pct" w:w="3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S16</w:t>
            </w:r>
          </w:p>
        </w:tc>
        <w:tc>
          <w:tcPr>
            <w:tcW w:type="pct" w:w="1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products (authenticated con sesión)</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según RLS de sesión</w:t>
            </w:r>
          </w:p>
        </w:tc>
        <w:tc>
          <w:tcPr>
            <w:tcW w:type="pct" w:w="7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idéntico</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idéntico</w:t>
            </w:r>
          </w:p>
        </w:tc>
        <w:tc>
          <w:tcPr>
            <w:tcW w:type="pct" w:w="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idéntico (policies de sesión intactas)</w:t>
            </w:r>
          </w:p>
        </w:tc>
      </w:tr>
    </w:tbl>
    <w:p>
      <w:pPr>
        <w:spacing w:after="120" w:line="312"/>
        <w:jc w:val="both"/>
      </w:pPr>
      <w:r>
        <w:rPr>
          <w:rFonts w:ascii="Times New Roman"/>
          <w:color w:val="000000"/>
          <w:sz w:val="24"/>
          <w:szCs w:val="24"/>
        </w:rPr>
        <w:t xml:space="preserve">Lectura de la matriz: la columna Tras A demuestra que la superficie segura existe ANTES de retirar la vieja (propiedad estructural del despliegue en fases); la columna Tras C demuestra el cierre de la exposición (cuatro sondas de tabla pasan a 401/403) junto con la continuidad del servicio (S13 y S14 siguen en 200) y la preservación del comportamiento con sesión (S15 y S16 sin cambios). Las celdas n/a de las columnas Pre-fix y Tras A reflejan que el servidor figura apagado: la vitrina no es alcanzable por red en ese momento, lo que ya documenta el diagnóstico de partida. Tras la Fase C, la repetición completa del script oficial debe dar 18/18 PASS (capítulo 10).</w:t>
      </w:r>
    </w:p>
    <w:p>
      <w:pPr>
        <w:pStyle w:val="Heading1"/>
        <w:spacing w:after="160" w:before="360" w:line="312"/>
      </w:pPr>
      <w:bookmarkStart w:name="_Toc25" w:id="25"/>
      <w:r>
        <w:rPr>
          <w:rFonts w:ascii="Times New Roman" w:eastAsia="SimHei"/>
          <w:b/>
          <w:bCs/>
          <w:color w:val="162235"/>
          <w:sz w:val="32"/>
          <w:szCs w:val="32"/>
        </w:rPr>
        <w:t xml:space="preserve">10. Verificación post-migración: comandos y resultados esperados</w:t>
      </w:r>
      <w:bookmarkEnd w:id="25"/>
    </w:p>
    <w:p>
      <w:pPr>
        <w:spacing w:after="60" w:line="312"/>
        <w:jc w:val="both"/>
      </w:pPr>
      <w:r>
        <w:rPr>
          <w:rFonts w:ascii="Times New Roman"/>
          <w:color w:val="000000"/>
          <w:sz w:val="24"/>
          <w:szCs w:val="24"/>
        </w:rPr>
        <w:t xml:space="preserve">La verificación oficial del repositorio es el script de solo lectura </w:t>
      </w:r>
      <w:r>
        <w:rPr>
          <w:rFonts w:ascii="Courier New" w:eastAsia="Microsoft YaHei"/>
          <w:color w:val="162235"/>
          <w:sz w:val="21"/>
          <w:szCs w:val="21"/>
        </w:rPr>
        <w:t xml:space="preserve">scripts/cpsec027_post_migration_verify.js</w:t>
      </w:r>
      <w:r>
        <w:rPr>
          <w:rFonts w:ascii="Times New Roman"/>
          <w:color w:val="000000"/>
          <w:sz w:val="24"/>
          <w:szCs w:val="24"/>
        </w:rPr>
        <w:t xml:space="preserve"> (del propio PR #1424, ya en main): con la clave publishable sondea PostgREST y con el token de acceso consulta los catálogos vía Management API. No escribe nada. Su salida tiene que ser exactamente TODO PASS en las 18 aserciones; hoy, en estado pre-fix, produce 18/18 fallos, que es la línea base congelada en la evidencia. La Tabla 9 desglosa las 18 aserciones para poder diagnosticar cualquier fallo individual sin re-derivar expectativas.</w:t>
      </w:r>
    </w:p>
    <w:p>
      <w:pPr>
        <w:keepNext/>
        <w:spacing w:after="40" w:before="160" w:line="276"/>
        <w:jc w:val="left"/>
      </w:pPr>
      <w:r>
        <w:rPr>
          <w:rFonts w:ascii="Courier New" w:eastAsia="Microsoft YaHei"/>
          <w:b/>
          <w:bCs/>
          <w:color w:val="1B6B7A"/>
          <w:sz w:val="19"/>
          <w:szCs w:val="19"/>
        </w:rPr>
        <w:t xml:space="preserve">Comando de verificacion oficial (read-only)</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$env:SUPABASE_ANON_KEY     = '&lt;clave publishable del .env&gt;'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$env:SUPABASE_ACCESS_TOKEN = '&lt;token de acceso del .env&gt;'</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node scripts/cpsec027_post_migration_verify.js</w:t>
      </w:r>
    </w:p>
    <w:p>
      <w:pPr>
        <w:keepNext/>
        <w:pBdr>
          <w:left w:val="single" w:color="1B6B7A" w:sz="8" w:space="10"/>
        </w:pBdr>
        <w:shd w:fill="F1F5F8" w:val="clear"/>
        <w:spacing w:after="0" w:before="0" w:line="252" w:lineRule="atLeast"/>
        <w:ind w:left="240" w:right="160"/>
        <w:jc w:val="left"/>
      </w:pPr>
      <w:r>
        <w:rPr>
          <w:rFonts w:ascii="Courier New" w:eastAsia="Microsoft YaHei"/>
          <w:color w:val="1A2430"/>
          <w:sz w:val="17"/>
          <w:szCs w:val="17"/>
        </w:rPr>
        <w:t xml:space="preserve"># Salida esperada: 18 lineas con marca PASS y resumen: TODO PASS - fix CP-SEC-027 verificado en vivo</w:t>
      </w:r>
    </w:p>
    <w:p>
      <w:pPr>
        <w:pBdr>
          <w:left w:val="single" w:color="1B6B7A" w:sz="8" w:space="10"/>
        </w:pBdr>
        <w:shd w:fill="F1F5F8" w:val="clear"/>
        <w:spacing w:after="120" w:before="0" w:line="252" w:lineRule="atLeast"/>
        <w:ind w:left="240" w:right="160"/>
        <w:jc w:val="left"/>
      </w:pPr>
      <w:r>
        <w:rPr>
          <w:rFonts w:ascii="Courier New" w:eastAsia="Microsoft YaHei"/>
          <w:color w:val="1A2430"/>
          <w:sz w:val="17"/>
          <w:szCs w:val="17"/>
        </w:rPr>
        <w:t xml:space="preserve"># El exit code 0 es la condicion de compuerta; cualquier FAIL individual aborta el cierre de la ventana</w:t>
      </w:r>
    </w:p>
    <w:p>
      <w:pPr>
        <w:keepNext/>
        <w:spacing w:after="80" w:before="200" w:line="312"/>
        <w:jc w:val="left"/>
      </w:pPr>
      <w:r>
        <w:rPr>
          <w:rFonts w:ascii="Times New Roman"/>
          <w:b/>
          <w:bCs/>
          <w:color w:val="162235"/>
          <w:sz w:val="21"/>
          <w:szCs w:val="21"/>
        </w:rPr>
        <w:t xml:space="preserve">Tabla 9: Las 18 aserciones del script oficial y su resultado esperado</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109"/>
        <w:gridCol w:w="5097"/>
        <w:gridCol w:w="1582"/>
      </w:tblGrid>
      <w:tr>
        <w:trPr>
          <w:cantSplit/>
          <w:tblHeader/>
        </w:trPr>
        <w:tc>
          <w:tcPr>
            <w:tcW w:type="pct" w:w="12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Grupo</w:t>
            </w:r>
          </w:p>
        </w:tc>
        <w:tc>
          <w:tcPr>
            <w:tcW w:type="pct" w:w="29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Aserción</w:t>
            </w:r>
          </w:p>
        </w:tc>
        <w:tc>
          <w:tcPr>
            <w:tcW w:type="pct" w:w="9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Esperado</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bCs/>
                <w:color w:val="000000"/>
                <w:sz w:val="18"/>
                <w:szCs w:val="18"/>
              </w:rPr>
              <w:t xml:space="preserve">Tablas inaccesibles (5)</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products / stores / product_variants con select=id devuelven 401 o 403; cost_average vía tabla inaccesible; tenant_id vía stores inaccesible</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5 PASS</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Vistas accesibles (3)</w:t>
            </w:r>
          </w:p>
        </w:tc>
        <w:tc>
          <w:tcPr>
            <w:tcW w:type="pct" w:w="2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public_catalog_v, public_storefronts_v y public_variants_v legibles por anon</w:t>
            </w:r>
          </w:p>
        </w:tc>
        <w:tc>
          <w:tcPr>
            <w:tcW w:type="pct" w:w="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3 PASS con HTTP 200</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bCs/>
                <w:color w:val="000000"/>
                <w:sz w:val="18"/>
                <w:szCs w:val="18"/>
              </w:rPr>
              <w:t xml:space="preserve">Columnas sensibles ausentes (5)</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cost_average y cost_price inexistentes en la vista de catálogo; precio_empresa en la de variantes; tenant_id y bank_account en la de tiendas (400: columna inexistente)</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5 PASS con HTTP 400</w:t>
            </w:r>
          </w:p>
        </w:tc>
      </w:tr>
      <w:tr>
        <w:trPr>
          <w:cantSplit/>
        </w:trPr>
        <w:tc>
          <w:tcPr>
            <w:tcW w:type="pct" w:w="12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Policies retiradas (3)</w:t>
            </w:r>
          </w:p>
        </w:tc>
        <w:tc>
          <w:tcPr>
            <w:tcW w:type="pct" w:w="2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products_public_read_anon y stores_select_anon desaparecidas de pg_policies; ninguna policy viva de las tres tablas incluye al rol anon</w:t>
            </w:r>
          </w:p>
        </w:tc>
        <w:tc>
          <w:tcPr>
            <w:tcW w:type="pct" w:w="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3 PASS</w:t>
            </w:r>
          </w:p>
        </w:tc>
      </w:tr>
      <w:tr>
        <w:trPr>
          <w:cantSplit/>
        </w:trPr>
        <w:tc>
          <w:tcPr>
            <w:tcW w:type="pct" w:w="1200"/>
            <w:tcMar>
              <w:top w:type="dxa" w:w="60"/>
              <w:left w:type="dxa" w:w="120"/>
              <w:bottom w:type="dxa" w:w="60"/>
              <w:right w:type="dxa" w:w="120"/>
            </w:tcMar>
          </w:tcPr>
          <w:p>
            <w:pPr>
              <w:spacing w:line="312"/>
              <w:jc w:val="left"/>
            </w:pPr>
            <w:r>
              <w:rPr>
                <w:rFonts w:ascii="Times New Roman" w:eastAsia="SimSun"/>
                <w:b/>
                <w:bCs/>
                <w:color w:val="000000"/>
                <w:sz w:val="18"/>
                <w:szCs w:val="18"/>
              </w:rPr>
              <w:t xml:space="preserve">Grants (2)</w:t>
            </w:r>
          </w:p>
        </w:tc>
        <w:tc>
          <w:tcPr>
            <w:tcW w:type="pct" w:w="2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cero grants SELECT de anon sobre las tablas; los tres grants SELECT de anon sobre las vistas presentes</w:t>
            </w:r>
          </w:p>
        </w:tc>
        <w:tc>
          <w:tcPr>
            <w:tcW w:type="pct" w:w="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2 PASS</w:t>
            </w:r>
          </w:p>
        </w:tc>
      </w:tr>
    </w:tbl>
    <w:p>
      <w:pPr>
        <w:spacing w:after="120" w:line="312"/>
        <w:jc w:val="both"/>
      </w:pPr>
      <w:r>
        <w:rPr>
          <w:rFonts w:ascii="Times New Roman"/>
          <w:color w:val="000000"/>
          <w:sz w:val="24"/>
          <w:szCs w:val="24"/>
        </w:rPr>
        <w:t xml:space="preserve">Complementos obligatorios de la verificación: (1) las E2E de storefront del capítulo 5 deben constar aprobadas ya en la Fase B y repetirse tras la Fase C para evidenciar la continuidad post-restricción — E2E-SF-001 (API pública por slug devuelve datos de la tienda, 200), E2E-SF-002 (slug inexistente, 404) y E2E-SF-003 (la página pública /tienda/[slug] renderiza); (2) el humo manual de la vitrina real debe mostrar HTTP 200 con productos renderizados en /tienda/puerto-padre-vitallcons y un JSON sin claves de costo en /api/storefront/puerto-padre-vitallcons; y (3) la captura post de catálogos repitiendo las consultas del script de línea base T-0 para congelar el estado final: tres vistas presentes, dos policies anon ausentes, grants de tabla revocados y grants de vistas presentes.</w:t>
      </w:r>
    </w:p>
    <w:p>
      <w:pPr>
        <w:spacing w:after="120" w:line="312"/>
        <w:jc w:val="both"/>
      </w:pPr>
      <w:r>
        <w:rPr>
          <w:rFonts w:ascii="Times New Roman"/>
          <w:color w:val="000000"/>
          <w:sz w:val="24"/>
          <w:szCs w:val="24"/>
        </w:rPr>
        <w:t xml:space="preserve">Evidencia a archivar al cierre (post-cambios, no solo CI), propuesta de carpeta </w:t>
      </w:r>
      <w:r>
        <w:rPr>
          <w:rFonts w:ascii="Courier New" w:eastAsia="Microsoft YaHei"/>
          <w:color w:val="162235"/>
          <w:sz w:val="21"/>
          <w:szCs w:val="21"/>
        </w:rPr>
        <w:t xml:space="preserve">docs/audits/evidence/20261019-cp-sec-027-postfix/</w:t>
      </w:r>
      <w:r>
        <w:rPr>
          <w:rFonts w:ascii="Times New Roman"/>
          <w:color w:val="000000"/>
          <w:sz w:val="24"/>
          <w:szCs w:val="24"/>
        </w:rPr>
        <w:t xml:space="preserve">: 01_verificacion_post.txt (salida completa 18/18 PASS con fecha), 02_e2e_storefront.txt (salida de Playwright), 03_smoke_vitrina_api.json (respuestas del humo real), 04_estado_post_catálogos.json (captura read-only de policies/grants/vistas posterior a la Fase C) y 05_acta_ventana.md (marcas de tiempo de cada fase, quién ejecutó y decisiones tomadas, incluida la elección del commit de la Fase B). Integrar esa carpeta al repositorio es una acción posterior que el propietario decide: un commit de documentación o un micro-PR de evidencia, sin mezclarla con esta operación.</w:t>
      </w:r>
    </w:p>
    <w:p>
      <w:pPr>
        <w:pStyle w:val="Heading1"/>
        <w:spacing w:after="160" w:before="360" w:line="312"/>
      </w:pPr>
      <w:bookmarkStart w:name="_Toc26" w:id="26"/>
      <w:r>
        <w:rPr>
          <w:rFonts w:ascii="Times New Roman" w:eastAsia="SimHei"/>
          <w:b/>
          <w:bCs/>
          <w:color w:val="162235"/>
          <w:sz w:val="32"/>
          <w:szCs w:val="32"/>
        </w:rPr>
        <w:t xml:space="preserve">11. Plan de despliegue y recuperación del servicio (PM2 apagado)</w:t>
      </w:r>
      <w:bookmarkEnd w:id="26"/>
    </w:p>
    <w:p>
      <w:pPr>
        <w:spacing w:after="60" w:line="312"/>
        <w:jc w:val="both"/>
      </w:pPr>
      <w:r>
        <w:rPr>
          <w:rFonts w:ascii="Times New Roman"/>
          <w:color w:val="000000"/>
          <w:sz w:val="24"/>
          <w:szCs w:val="24"/>
        </w:rPr>
        <w:t xml:space="preserve">La ventana completa, desde la captura T-0 hasta el archivo de evidencia, cabe en unos veinte minutos con un solo operador que disponga del .env del servidor. La Tabla 10 fija la línea de tiempo con sus compuertas go/no-go: ninguna fase empieza sin la compuerta anterior en verde, y cualquier no-go activa la reversión correspondiente del capítulo 8 y detiene la ventana. El arranque en frío de PM2 está contemplado por el propio ecosystem del proyecto (app costpro, wrapper scripts/start.sh que limpia huérfanos del puerto 3000, treekill, restart_delay de 3000 ms, min_uptime de 90 s y dotenv sobre .env), seguido de pm2 save para que resurrect la recupere en futuros arranques de la máquina.</w:t>
      </w:r>
    </w:p>
    <w:p>
      <w:pPr>
        <w:keepNext/>
        <w:spacing w:after="80" w:before="200" w:line="312"/>
        <w:jc w:val="left"/>
      </w:pPr>
      <w:r>
        <w:rPr>
          <w:rFonts w:ascii="Times New Roman"/>
          <w:b/>
          <w:bCs/>
          <w:color w:val="162235"/>
          <w:sz w:val="21"/>
          <w:szCs w:val="21"/>
        </w:rPr>
        <w:t xml:space="preserve">Tabla 10: Línea de tiempo de la ventana con compuertas go/no-go</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703"/>
        <w:gridCol w:w="3339"/>
        <w:gridCol w:w="879"/>
        <w:gridCol w:w="3867"/>
      </w:tblGrid>
      <w:tr>
        <w:trPr>
          <w:cantSplit/>
          <w:tblHeader/>
        </w:trPr>
        <w:tc>
          <w:tcPr>
            <w:tcW w:type="pct" w:w="4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Paso</w:t>
            </w:r>
          </w:p>
        </w:tc>
        <w:tc>
          <w:tcPr>
            <w:tcW w:type="pct" w:w="19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Acción</w:t>
            </w:r>
          </w:p>
        </w:tc>
        <w:tc>
          <w:tcPr>
            <w:tcW w:type="pct" w:w="5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Duración</w:t>
            </w:r>
          </w:p>
        </w:tc>
        <w:tc>
          <w:tcPr>
            <w:tcW w:type="pct" w:w="22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Compuerta go / acción si no-go</w:t>
            </w:r>
          </w:p>
        </w:tc>
      </w:tr>
      <w:tr>
        <w:trPr>
          <w:cantSplit/>
        </w:trPr>
        <w:tc>
          <w:tcPr>
            <w:tcW w:type="pct" w:w="400"/>
            <w:tcMar>
              <w:top w:type="dxa" w:w="60"/>
              <w:left w:type="dxa" w:w="120"/>
              <w:bottom w:type="dxa" w:w="60"/>
              <w:right w:type="dxa" w:w="120"/>
            </w:tcMar>
          </w:tcPr>
          <w:p>
            <w:pPr>
              <w:spacing w:line="312"/>
              <w:jc w:val="left"/>
            </w:pPr>
            <w:r>
              <w:rPr>
                <w:rFonts w:ascii="Times New Roman" w:eastAsia="SimSun"/>
                <w:b/>
                <w:bCs/>
                <w:color w:val="000000"/>
                <w:sz w:val="17"/>
                <w:szCs w:val="17"/>
              </w:rPr>
              <w:t xml:space="preserve">T-0</w:t>
            </w:r>
          </w:p>
        </w:tc>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Captura de línea base read-only (t0_linea_base_readonly.sql + re-ejecución del script oficial: 18/18 fallos esperados)</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 min</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Estado coincide con Tabla 3 y con 18/18 fallos / si no: ABORTAR ventana y re-diagnosticar (no se tocó nada todavía)</w:t>
            </w:r>
          </w:p>
        </w:tc>
      </w:tr>
      <w:tr>
        <w:trPr>
          <w:cantSplit/>
        </w:trPr>
        <w:tc>
          <w:tcPr>
            <w:tcW w:type="pct" w:w="4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A</w:t>
            </w:r>
          </w:p>
        </w:tc>
        <w:tc>
          <w:tcPr>
            <w:tcW w:type="pct" w:w="1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Ejecutar fase_a_aditiva.sql completo en el SQL editor; sondas de vistas del capítulo 4.3</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2-3 min</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Vistas 200 con filas y 5 sondas sensibles en 400, tablas siguen 200 / si no: revisar recarga de caché de PostgREST (NOTIFY pgrst), persistiendo el fallo: rollback A y abortar</w:t>
            </w:r>
          </w:p>
        </w:tc>
      </w:tr>
      <w:tr>
        <w:trPr>
          <w:cantSplit/>
        </w:trPr>
        <w:tc>
          <w:tcPr>
            <w:tcW w:type="pct" w:w="400"/>
            <w:tcMar>
              <w:top w:type="dxa" w:w="60"/>
              <w:left w:type="dxa" w:w="120"/>
              <w:bottom w:type="dxa" w:w="60"/>
              <w:right w:type="dxa" w:w="120"/>
            </w:tcMar>
          </w:tcPr>
          <w:p>
            <w:pPr>
              <w:spacing w:line="312"/>
              <w:jc w:val="left"/>
            </w:pPr>
            <w:r>
              <w:rPr>
                <w:rFonts w:ascii="Times New Roman" w:eastAsia="SimSun"/>
                <w:b/>
                <w:bCs/>
                <w:color w:val="000000"/>
                <w:sz w:val="17"/>
                <w:szCs w:val="17"/>
              </w:rPr>
              <w:t xml:space="preserve">B</w:t>
            </w:r>
          </w:p>
        </w:tc>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Fijar 98e0d31e (checkout detached + rev-parse), bun install, arranque en frío pm2 start + pm2 save, compuertas de salud y E2E-SF</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8-12 min</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/api/health 200, vitrina 200 con productos, API 200 sin claves de costo, E2E-SF-001/002/003 aprobadas / si no: pm2 logs, corregir o rollback B (pm2 stop) y abortar antes de C</w:t>
            </w:r>
          </w:p>
        </w:tc>
      </w:tr>
      <w:tr>
        <w:trPr>
          <w:cantSplit/>
        </w:trPr>
        <w:tc>
          <w:tcPr>
            <w:tcW w:type="pct" w:w="4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C</w:t>
            </w:r>
          </w:p>
        </w:tc>
        <w:tc>
          <w:tcPr>
            <w:tcW w:type="pct" w:w="1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Ejecutar fase_c_restriccion.sql completo</w:t>
            </w:r>
          </w:p>
        </w:tc>
        <w:tc>
          <w:tcPr>
            <w:tcW w:type="pct" w:w="5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1-2 min</w:t>
            </w:r>
          </w:p>
        </w:tc>
        <w:tc>
          <w:tcPr>
            <w:tcW w:type="pct" w:w="22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Sentencias sin error / si no: la transacción del editor reporta el error exacto; nada quedó a medias (sentencias independientes idempotentes)</w:t>
            </w:r>
          </w:p>
        </w:tc>
      </w:tr>
      <w:tr>
        <w:trPr>
          <w:cantSplit/>
        </w:trPr>
        <w:tc>
          <w:tcPr>
            <w:tcW w:type="pct" w:w="400"/>
            <w:tcMar>
              <w:top w:type="dxa" w:w="60"/>
              <w:left w:type="dxa" w:w="120"/>
              <w:bottom w:type="dxa" w:w="60"/>
              <w:right w:type="dxa" w:w="120"/>
            </w:tcMar>
          </w:tcPr>
          <w:p>
            <w:pPr>
              <w:spacing w:line="312"/>
              <w:jc w:val="left"/>
            </w:pPr>
            <w:r>
              <w:rPr>
                <w:rFonts w:ascii="Times New Roman" w:eastAsia="SimSun"/>
                <w:b/>
                <w:bCs/>
                <w:color w:val="000000"/>
                <w:sz w:val="17"/>
                <w:szCs w:val="17"/>
              </w:rPr>
              <w:t xml:space="preserve">Cierre</w:t>
            </w:r>
          </w:p>
        </w:tc>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Script oficial 18/18 PASS, humo real, repetir E2E-SF, captura post de catálogos, archivar evidencia 01-05</w:t>
            </w:r>
          </w:p>
        </w:tc>
        <w:tc>
          <w:tcPr>
            <w:tcW w:type="pct" w:w="5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3-5 min</w:t>
            </w:r>
          </w:p>
        </w:tc>
        <w:tc>
          <w:tcPr>
            <w:tcW w:type="pct" w:w="22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18/18 PASS + humo 200 / si no: rollback C inmediato (reversión de emergencia), la vitrina queda servida por vistas y el hallazgo se reabre documentado</w:t>
            </w:r>
          </w:p>
        </w:tc>
      </w:tr>
    </w:tbl>
    <w:p>
      <w:pPr>
        <w:spacing w:after="120" w:line="312"/>
        <w:jc w:val="both"/>
      </w:pPr>
      <w:r>
        <w:rPr>
          <w:rFonts w:ascii="Times New Roman"/>
          <w:color w:val="000000"/>
          <w:sz w:val="24"/>
          <w:szCs w:val="24"/>
        </w:rPr>
        <w:t xml:space="preserve">Criterios de aborto generales de la ventana: cualquier resultado inesperado en la captura T-0, cualquier error 500 del servidor tras el arranque que no se resuelva con una única intervención menor, cualquier discrepancia entre el SHA desplegado y 98e0d31e, o cualquier señal de escritura no prevista en la base de datos. En todos los casos la regla es la misma: detenerse en la fase alcanzada, aplicar la reversión de esa fase (capítulo 8), registrar en el acta qué ocurrió y volver al propietario con la evidencia. La recuperación del servicio es siempre el último commit conocido bueno con pm2 start/restart del ecosystem, y como la migración no toca datos, la base de datos nunca requiere restauración de respaldo en ninguno de los modos de fallo descritos.</w:t>
      </w:r>
    </w:p>
    <w:p>
      <w:pPr>
        <w:spacing w:after="120" w:line="312"/>
        <w:jc w:val="both"/>
      </w:pPr>
      <w:r>
        <w:rPr>
          <w:rFonts w:ascii="Times New Roman"/>
          <w:color w:val="000000"/>
          <w:sz w:val="24"/>
          <w:szCs w:val="24"/>
        </w:rPr>
        <w:t xml:space="preserve">Reparto de responsabilidades sugerido: el operador con acceso al .env del servidor y a la consola de Supabase ejecuta los pasos T-0, A, B y C exactamente como están escritos en este paquete; el agente puede ejecutarlos bajo autorización expresa en una sesión operada, o acompañar paso a paso. Los comandos están redactados para PowerShell en el servidor de aplicación (Windows) y para el SQL editor de Supabase; el script de línea base y el de verificación son scripts de Node del propio repositorio y no requieren instalación adicional.</w:t>
      </w:r>
    </w:p>
    <w:p>
      <w:pPr>
        <w:pStyle w:val="Heading1"/>
        <w:spacing w:after="160" w:before="360" w:line="312"/>
      </w:pPr>
      <w:bookmarkStart w:name="_Toc27" w:id="27"/>
      <w:r>
        <w:rPr>
          <w:rFonts w:ascii="Times New Roman" w:eastAsia="SimHei"/>
          <w:b/>
          <w:bCs/>
          <w:color w:val="162235"/>
          <w:sz w:val="32"/>
          <w:szCs w:val="32"/>
        </w:rPr>
        <w:t xml:space="preserve">12. Criterios de aceptación y evidencia requerida</w:t>
      </w:r>
      <w:bookmarkEnd w:id="27"/>
    </w:p>
    <w:p>
      <w:pPr>
        <w:spacing w:after="60" w:line="312"/>
        <w:jc w:val="both"/>
      </w:pPr>
      <w:r>
        <w:rPr>
          <w:rFonts w:ascii="Times New Roman"/>
          <w:color w:val="000000"/>
          <w:sz w:val="24"/>
          <w:szCs w:val="24"/>
        </w:rPr>
        <w:t xml:space="preserve">La operación no se considera terminada hasta que los seis criterios fijados por el propietario consten verificados con evidencia posterior a los cambios. La Tabla 11 los mapea uno a uno con su verificación objetiva y el artefacto que lo prueba; el capítulo 10 define cada comando. La declaración de cierre solo puede emitirse con los seis renglones en verde, y conviene que figure firmada en el acta de la ventana.</w:t>
      </w:r>
    </w:p>
    <w:p>
      <w:pPr>
        <w:keepNext/>
        <w:spacing w:after="80" w:before="200" w:line="312"/>
        <w:jc w:val="left"/>
      </w:pPr>
      <w:r>
        <w:rPr>
          <w:rFonts w:ascii="Times New Roman"/>
          <w:b/>
          <w:bCs/>
          <w:color w:val="162235"/>
          <w:sz w:val="21"/>
          <w:szCs w:val="21"/>
        </w:rPr>
        <w:t xml:space="preserve">Tabla 11: Criterios de aceptación del propietario, verificación y evidencia</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3515"/>
        <w:gridCol w:w="2285"/>
      </w:tblGrid>
      <w:tr>
        <w:trPr>
          <w:cantSplit/>
          <w:tblHeader/>
        </w:trPr>
        <w:tc>
          <w:tcPr>
            <w:tcW w:type="pct" w:w="17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Criterio del propietario</w:t>
            </w:r>
          </w:p>
        </w:tc>
        <w:tc>
          <w:tcPr>
            <w:tcW w:type="pct" w:w="20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Verificación objetiva</w:t>
            </w:r>
          </w:p>
        </w:tc>
        <w:tc>
          <w:tcPr>
            <w:tcW w:type="pct" w:w="1300"/>
            <w:shd w:fill="1B6B7A" w:val="clear"/>
            <w:tcMar>
              <w:top w:type="dxa" w:w="60"/>
              <w:left w:type="dxa" w:w="120"/>
              <w:bottom w:type="dxa" w:w="60"/>
              <w:right w:type="dxa" w:w="120"/>
            </w:tcMar>
          </w:tcPr>
          <w:p>
            <w:pPr>
              <w:spacing w:line="312"/>
              <w:jc w:val="left"/>
            </w:pPr>
            <w:r>
              <w:rPr>
                <w:rFonts w:ascii="Times New Roman" w:eastAsia="SimSun"/>
                <w:b/>
                <w:bCs/>
                <w:color w:val="FFFFFF"/>
                <w:sz w:val="17"/>
                <w:szCs w:val="17"/>
              </w:rPr>
              <w:t xml:space="preserve">Artefacto de evidencia</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7"/>
                <w:szCs w:val="17"/>
              </w:rPr>
              <w:t xml:space="preserve">El rol anon no puede leer costos ni otros campos sensibles por las rutas públicas relevantes</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Sondas S2, S3, S4 en 401/403 y S8 a S12 en 400 tras la Fase C; el endpoint público no contiene claves de costo</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01_verificacion_post.txt + 03_smoke_vitrina_api.json</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Las vistas públicas devuelven únicamente los campos permitidos</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S5, S6, S7 en 200; columnas sensibles ausentes (400) del capítulo 4.3; columnas congeladas en la prueba de integración de 26 invariantes</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01_verificacion_post.txt (aserciones 6 a 13)</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7"/>
                <w:szCs w:val="17"/>
              </w:rPr>
              <w:t xml:space="preserve">La vitrina y la API funcionan correctamente</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E2E-SF-001/002/003 aprobadas antes y después de la Fase C; humo real de /tienda/puerto-padre-vitallcons y su API en 200</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02_e2e_storefront.txt + 03_smoke_vitrina_api.json</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scripts/cpsec027_post_migration_verify.js con cero fallos</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18/18 PASS, exit code 0</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01_verificacion_post.txt</w:t>
            </w:r>
          </w:p>
        </w:tc>
      </w:tr>
      <w:tr>
        <w:trPr>
          <w:cantSplit/>
        </w:trPr>
        <w:tc>
          <w:tcPr>
            <w:tcW w:type="pct" w:w="1700"/>
            <w:tcMar>
              <w:top w:type="dxa" w:w="60"/>
              <w:left w:type="dxa" w:w="120"/>
              <w:bottom w:type="dxa" w:w="60"/>
              <w:right w:type="dxa" w:w="120"/>
            </w:tcMar>
          </w:tcPr>
          <w:p>
            <w:pPr>
              <w:spacing w:line="312"/>
              <w:jc w:val="left"/>
            </w:pPr>
            <w:r>
              <w:rPr>
                <w:rFonts w:ascii="Times New Roman" w:eastAsia="SimSun"/>
                <w:b/>
                <w:bCs/>
                <w:color w:val="000000"/>
                <w:sz w:val="17"/>
                <w:szCs w:val="17"/>
              </w:rPr>
              <w:t xml:space="preserve">Pruebas E2E de storefront aprobadas</w:t>
            </w:r>
          </w:p>
        </w:tc>
        <w:tc>
          <w:tcPr>
            <w:tcW w:type="pct" w:w="20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Playwright sobre el servidor vivo con el código 98e0d31e</w:t>
            </w:r>
          </w:p>
        </w:tc>
        <w:tc>
          <w:tcPr>
            <w:tcW w:type="pct" w:w="1300"/>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02_e2e_storefront.txt</w:t>
            </w:r>
          </w:p>
        </w:tc>
      </w:tr>
      <w:tr>
        <w:trPr>
          <w:cantSplit/>
        </w:trPr>
        <w:tc>
          <w:tcPr>
            <w:tcW w:type="pct" w:w="1700"/>
            <w:shd w:fill="EDF3F5" w:val="clear"/>
            <w:tcMar>
              <w:top w:type="dxa" w:w="60"/>
              <w:left w:type="dxa" w:w="120"/>
              <w:bottom w:type="dxa" w:w="60"/>
              <w:right w:type="dxa" w:w="120"/>
            </w:tcMar>
          </w:tcPr>
          <w:p>
            <w:pPr>
              <w:spacing w:line="312"/>
              <w:jc w:val="left"/>
            </w:pPr>
            <w:r>
              <w:rPr>
                <w:rFonts w:ascii="Times New Roman" w:eastAsia="SimSun"/>
                <w:b/>
                <w:bCs/>
                <w:color w:val="000000"/>
                <w:sz w:val="17"/>
                <w:szCs w:val="17"/>
              </w:rPr>
              <w:t xml:space="preserve">Evidencia posterior a los cambios, no solo resultados de CI</w:t>
            </w:r>
          </w:p>
        </w:tc>
        <w:tc>
          <w:tcPr>
            <w:tcW w:type="pct" w:w="20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Carpeta de evidencia post-fix completa con fecha y acta de la ventana</w:t>
            </w:r>
          </w:p>
        </w:tc>
        <w:tc>
          <w:tcPr>
            <w:tcW w:type="pct" w:w="13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7"/>
                <w:szCs w:val="17"/>
              </w:rPr>
              <w:t xml:space="preserve">Carpeta docs/audits/evidence/20261019-cp-sec-027-postfix/ (01 a 05)</w:t>
            </w:r>
          </w:p>
        </w:tc>
      </w:tr>
    </w:tbl>
    <w:p>
      <w:pPr>
        <w:pStyle w:val="Heading1"/>
        <w:spacing w:after="160" w:before="360" w:line="312"/>
      </w:pPr>
      <w:bookmarkStart w:name="_Toc28" w:id="28"/>
      <w:r>
        <w:rPr>
          <w:rFonts w:ascii="Times New Roman" w:eastAsia="SimHei"/>
          <w:b/>
          <w:bCs/>
          <w:color w:val="162235"/>
          <w:sz w:val="32"/>
          <w:szCs w:val="32"/>
        </w:rPr>
        <w:t xml:space="preserve">13. Límites operativos, fuera de alcance y autorización solicitada</w:t>
      </w:r>
      <w:bookmarkEnd w:id="28"/>
    </w:p>
    <w:p>
      <w:pPr>
        <w:spacing w:after="60" w:line="312"/>
        <w:jc w:val="both"/>
      </w:pPr>
      <w:r>
        <w:rPr>
          <w:rFonts w:ascii="Times New Roman"/>
          <w:color w:val="000000"/>
          <w:sz w:val="24"/>
          <w:szCs w:val="24"/>
        </w:rPr>
        <w:t xml:space="preserve">Fuera de alcance de esta ventana, conforme a la orden: la migración 20261018000000 del PR #1422 no se aplica aquí (Decisión E del propietario; su línea base de contrato de seguridad vence el 2026-11-30, lo que conviene tener presente en el inventario maestro); el backfill de david9999 permanece sin ejecutar y sin autorización; las policies de otros ámbitos (CP-SEC-025 de convergencia de capas y CP-SEC-026 de memberships) no se modifican; las decisiones de negocio A, B.1, C y D no se toman; y el PR #1423 (fechas de trabajo) no se despliega en esta ventana aunque ya esté fusionado en main.</w:t>
      </w:r>
    </w:p>
    <w:p>
      <w:pPr>
        <w:keepNext/>
        <w:spacing w:after="80" w:before="200" w:line="312"/>
        <w:jc w:val="left"/>
      </w:pPr>
      <w:r>
        <w:rPr>
          <w:rFonts w:ascii="Times New Roman"/>
          <w:b/>
          <w:bCs/>
          <w:color w:val="162235"/>
          <w:sz w:val="21"/>
          <w:szCs w:val="21"/>
        </w:rPr>
        <w:t xml:space="preserve">Tabla 12: Autorizaciones que se solicitan al propietario (todo lo demás queda detenido)</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439"/>
        <w:gridCol w:w="3339"/>
        <w:gridCol w:w="5009"/>
      </w:tblGrid>
      <w:tr>
        <w:trPr>
          <w:cantSplit/>
          <w:tblHeader/>
        </w:trPr>
        <w:tc>
          <w:tcPr>
            <w:tcW w:type="pct" w:w="25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w:t>
            </w:r>
          </w:p>
        </w:tc>
        <w:tc>
          <w:tcPr>
            <w:tcW w:type="pct" w:w="19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Autorización exacta solicitada</w:t>
            </w:r>
          </w:p>
        </w:tc>
        <w:tc>
          <w:tcPr>
            <w:tcW w:type="pct" w:w="285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Comprende</w:t>
            </w:r>
          </w:p>
        </w:tc>
      </w:tr>
      <w:tr>
        <w:trPr>
          <w:cantSplit/>
        </w:trPr>
        <w:tc>
          <w:tcPr>
            <w:tcW w:type="pct" w:w="250"/>
            <w:tcMar>
              <w:top w:type="dxa" w:w="60"/>
              <w:left w:type="dxa" w:w="120"/>
              <w:bottom w:type="dxa" w:w="60"/>
              <w:right w:type="dxa" w:w="120"/>
            </w:tcMar>
          </w:tcPr>
          <w:p>
            <w:pPr>
              <w:spacing w:line="312"/>
              <w:jc w:val="left"/>
            </w:pPr>
            <w:r>
              <w:rPr>
                <w:rFonts w:ascii="Times New Roman" w:eastAsia="SimSun"/>
                <w:b/>
                <w:bCs/>
                <w:color w:val="000000"/>
                <w:sz w:val="18"/>
                <w:szCs w:val="18"/>
              </w:rPr>
              <w:t xml:space="preserve">1</w:t>
            </w:r>
          </w:p>
        </w:tc>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Ejecutar la Fase A (aditiva) en la base de datos viva</w:t>
            </w:r>
          </w:p>
        </w:tc>
        <w:tc>
          <w:tcPr>
            <w:tcW w:type="pct" w:w="28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Aplicar fase_a_aditiva.sql (secciones 1-4 verbatim de 20261019000001) tras la captura T-0, con las sondas de verificación del capítulo 4</w:t>
            </w:r>
          </w:p>
        </w:tc>
      </w:tr>
      <w:tr>
        <w:trPr>
          <w:cantSplit/>
        </w:trPr>
        <w:tc>
          <w:tcPr>
            <w:tcW w:type="pct" w:w="25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2</w:t>
            </w:r>
          </w:p>
        </w:tc>
        <w:tc>
          <w:tcPr>
            <w:tcW w:type="pct" w:w="19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Ejecutar la Fase B (aplicación) en el servidor de aplicación</w:t>
            </w:r>
          </w:p>
        </w:tc>
        <w:tc>
          <w:tcPr>
            <w:tcW w:type="pct" w:w="285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Fijar el código al commit exacto 98e0d31e (no el tip actual de main), arranque en frío de PM2 (pm2 start ecosystem.config.js + pm2 save) y compuertas de salud + E2E-SF; se autoriza expresamente no adoptar el PR #1423 en esta ventana</w:t>
            </w:r>
          </w:p>
        </w:tc>
      </w:tr>
      <w:tr>
        <w:trPr>
          <w:cantSplit/>
        </w:trPr>
        <w:tc>
          <w:tcPr>
            <w:tcW w:type="pct" w:w="250"/>
            <w:tcMar>
              <w:top w:type="dxa" w:w="60"/>
              <w:left w:type="dxa" w:w="120"/>
              <w:bottom w:type="dxa" w:w="60"/>
              <w:right w:type="dxa" w:w="120"/>
            </w:tcMar>
          </w:tcPr>
          <w:p>
            <w:pPr>
              <w:spacing w:line="312"/>
              <w:jc w:val="left"/>
            </w:pPr>
            <w:r>
              <w:rPr>
                <w:rFonts w:ascii="Times New Roman" w:eastAsia="SimSun"/>
                <w:b/>
                <w:bCs/>
                <w:color w:val="000000"/>
                <w:sz w:val="18"/>
                <w:szCs w:val="18"/>
              </w:rPr>
              <w:t xml:space="preserve">3</w:t>
            </w:r>
          </w:p>
        </w:tc>
        <w:tc>
          <w:tcPr>
            <w:tcW w:type="pct" w:w="19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Ejecutar la Fase C (restricción) tras las compuertas verdes</w:t>
            </w:r>
          </w:p>
        </w:tc>
        <w:tc>
          <w:tcPr>
            <w:tcW w:type="pct" w:w="285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Aplicar fase_c_restriccion.sql (secciones 5a-5c verbatim) solo tras B verificada, seguida de la verificación completa 18/18 y del archivo de evidencia post-cambios</w:t>
            </w:r>
          </w:p>
        </w:tc>
      </w:tr>
    </w:tbl>
    <w:p>
      <w:pPr>
        <w:spacing w:after="120" w:line="312"/>
        <w:jc w:val="both"/>
      </w:pPr>
      <w:r>
        <w:rPr>
          <w:rFonts w:ascii="Times New Roman"/>
          <w:color w:val="000000"/>
          <w:sz w:val="24"/>
          <w:szCs w:val="24"/>
        </w:rPr>
        <w:t xml:space="preserve">El propietario puede autorizar las tres fases como una única ventana con compuertas (recomendado, dado que las fases B y C pierden sentido aisladas) o fases individuales con parada entre ellas; en el segundo caso, el estado intermedio tras A es plenamente estable y el tras A y B mantiene la exposición P1 abierta, lo que no debe demorarse. Si el propietario prefiere que el despliegue de la Fase B tome el tip actual de main (2be38e21b, con el PR #1423 dentro), debe marcarlo expresamente al autorizar: el plan por defecto lo excluye. Este paquete se detiene aquí: </w:t>
      </w:r>
      <w:r>
        <w:rPr>
          <w:rFonts w:ascii="Times New Roman"/>
          <w:b/>
          <w:bCs/>
          <w:color w:val="000000"/>
          <w:sz w:val="24"/>
          <w:szCs w:val="24"/>
        </w:rPr>
        <w:t xml:space="preserve">nada de lo descrito en los capítulos 4, 5 y 6 se ejecutará hasta recibir la autorización expresa de ejecución</w:t>
      </w:r>
      <w:r>
        <w:rPr>
          <w:rFonts w:ascii="Times New Roman"/>
          <w:color w:val="000000"/>
          <w:sz w:val="24"/>
          <w:szCs w:val="24"/>
        </w:rPr>
        <w:t xml:space="preserve">.</w:t>
      </w:r>
    </w:p>
    <w:p>
      <w:pPr>
        <w:pStyle w:val="Heading1"/>
        <w:spacing w:after="160" w:before="360" w:line="312"/>
      </w:pPr>
      <w:bookmarkStart w:name="_Toc29" w:id="29"/>
      <w:r>
        <w:rPr>
          <w:rFonts w:ascii="Times New Roman" w:eastAsia="SimHei"/>
          <w:b/>
          <w:bCs/>
          <w:color w:val="162235"/>
          <w:sz w:val="32"/>
          <w:szCs w:val="32"/>
        </w:rPr>
        <w:t xml:space="preserve">Anexo A. Archivos SQL auxiliares entregados con este paquete</w:t>
      </w:r>
      <w:bookmarkEnd w:id="29"/>
    </w:p>
    <w:p>
      <w:pPr>
        <w:spacing w:after="60" w:line="312"/>
        <w:jc w:val="both"/>
      </w:pPr>
      <w:r>
        <w:rPr>
          <w:rFonts w:ascii="Times New Roman"/>
          <w:color w:val="000000"/>
          <w:sz w:val="24"/>
          <w:szCs w:val="24"/>
        </w:rPr>
        <w:t xml:space="preserve">Los cinco archivos siguientes acompañan a este documento en el mismo directorio de entrega. Los cuatro primeros provienen de recortes mecánicos del archivo de migración fusionado (cabeceras de trazabilidad añadidas, cero SQL reescrito); el quinto es un script nuevo de solo lectura cuya necesidad documenta el capítulo 7 (captura T-0 obligatoria previa a cualquier fase). Ninguno debe ejecutarse fuera de la secuencia del plan del capítulo 11.</w:t>
      </w:r>
    </w:p>
    <w:p>
      <w:pPr>
        <w:keepNext/>
        <w:spacing w:after="80" w:before="200" w:line="312"/>
        <w:jc w:val="left"/>
      </w:pPr>
      <w:r>
        <w:rPr>
          <w:rFonts w:ascii="Times New Roman"/>
          <w:b/>
          <w:bCs/>
          <w:color w:val="162235"/>
          <w:sz w:val="21"/>
          <w:szCs w:val="21"/>
        </w:rPr>
        <w:t xml:space="preserve">Tabla 13: Contenido del paquete en download/cp-sec-027-paquete-ejecucion/</w:t>
      </w:r>
    </w:p>
    <w:tbl>
      <w:tblPr>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636"/>
        <w:gridCol w:w="2988"/>
        <w:gridCol w:w="3164"/>
      </w:tblGrid>
      <w:tr>
        <w:trPr>
          <w:cantSplit/>
          <w:tblHeader/>
        </w:trPr>
        <w:tc>
          <w:tcPr>
            <w:tcW w:type="pct" w:w="15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Archivo</w:t>
            </w:r>
          </w:p>
        </w:tc>
        <w:tc>
          <w:tcPr>
            <w:tcW w:type="pct" w:w="17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Origen</w:t>
            </w:r>
          </w:p>
        </w:tc>
        <w:tc>
          <w:tcPr>
            <w:tcW w:type="pct" w:w="1800"/>
            <w:shd w:fill="1B6B7A" w:val="clear"/>
            <w:tcMar>
              <w:top w:type="dxa" w:w="60"/>
              <w:left w:type="dxa" w:w="120"/>
              <w:bottom w:type="dxa" w:w="60"/>
              <w:right w:type="dxa" w:w="120"/>
            </w:tcMar>
          </w:tcPr>
          <w:p>
            <w:pPr>
              <w:spacing w:line="312"/>
              <w:jc w:val="left"/>
            </w:pPr>
            <w:r>
              <w:rPr>
                <w:rFonts w:ascii="Times New Roman" w:eastAsia="SimSun"/>
                <w:b/>
                <w:bCs/>
                <w:color w:val="FFFFFF"/>
                <w:sz w:val="18"/>
                <w:szCs w:val="18"/>
              </w:rPr>
              <w:t xml:space="preserve">Papel en la ventana</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18"/>
                <w:szCs w:val="18"/>
              </w:rPr>
              <w:t xml:space="preserve">fase_a_aditiva.sql</w:t>
            </w:r>
          </w:p>
        </w:tc>
        <w:tc>
          <w:tcPr>
            <w:tcW w:type="pct" w:w="17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Verbatim, secciones 1-4 de 20261019000001</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Ejecutar en el paso A</w:t>
            </w:r>
          </w:p>
        </w:tc>
      </w:tr>
      <w:tr>
        <w:trPr>
          <w:cantSplit/>
        </w:trPr>
        <w:tc>
          <w:tcPr>
            <w:tcW w:type="pct" w:w="15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fase_c_restriccion.sql</w:t>
            </w:r>
          </w:p>
        </w:tc>
        <w:tc>
          <w:tcPr>
            <w:tcW w:type="pct" w:w="17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Verbatim, secciones 5a-5c de 20261019000001</w:t>
            </w:r>
          </w:p>
        </w:tc>
        <w:tc>
          <w:tcPr>
            <w:tcW w:type="pct" w:w="1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Ejecutar en el paso C</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18"/>
                <w:szCs w:val="18"/>
              </w:rPr>
              <w:t xml:space="preserve">fase_a_rollback.sql</w:t>
            </w:r>
          </w:p>
        </w:tc>
        <w:tc>
          <w:tcPr>
            <w:tcW w:type="pct" w:w="17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Verbatim del bloque de reversión de la migración</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Reversión de A (solo si B no desplegada o ya revertida)</w:t>
            </w:r>
          </w:p>
        </w:tc>
      </w:tr>
      <w:tr>
        <w:trPr>
          <w:cantSplit/>
        </w:trPr>
        <w:tc>
          <w:tcPr>
            <w:tcW w:type="pct" w:w="15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fase_c_rollback.sql</w:t>
            </w:r>
          </w:p>
        </w:tc>
        <w:tc>
          <w:tcPr>
            <w:tcW w:type="pct" w:w="17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Verbatim del bloque de reversión de la migración</w:t>
            </w:r>
          </w:p>
        </w:tc>
        <w:tc>
          <w:tcPr>
            <w:tcW w:type="pct" w:w="1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Reversión de emergencia de C (reabre el hallazgo P1)</w:t>
            </w:r>
          </w:p>
        </w:tc>
      </w:tr>
      <w:tr>
        <w:trPr>
          <w:cantSplit/>
        </w:trPr>
        <w:tc>
          <w:tcPr>
            <w:tcW w:type="pct" w:w="1500"/>
            <w:tcMar>
              <w:top w:type="dxa" w:w="60"/>
              <w:left w:type="dxa" w:w="120"/>
              <w:bottom w:type="dxa" w:w="60"/>
              <w:right w:type="dxa" w:w="120"/>
            </w:tcMar>
          </w:tcPr>
          <w:p>
            <w:pPr>
              <w:spacing w:line="312"/>
              <w:jc w:val="left"/>
            </w:pPr>
            <w:r>
              <w:rPr>
                <w:rFonts w:ascii="Times New Roman" w:eastAsia="SimSun"/>
                <w:b/>
                <w:bCs/>
                <w:color w:val="000000"/>
                <w:sz w:val="18"/>
                <w:szCs w:val="18"/>
              </w:rPr>
              <w:t xml:space="preserve">t0_linea_base_readonly.sql</w:t>
            </w:r>
          </w:p>
        </w:tc>
        <w:tc>
          <w:tcPr>
            <w:tcW w:type="pct" w:w="17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Nuevo, exclusivamente SELECT (necesidad documentada)</w:t>
            </w:r>
          </w:p>
        </w:tc>
        <w:tc>
          <w:tcPr>
            <w:tcW w:type="pct" w:w="1800"/>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Captura T-0 al abrir la ventana</w:t>
            </w:r>
          </w:p>
        </w:tc>
      </w:tr>
      <w:tr>
        <w:trPr>
          <w:cantSplit/>
        </w:trPr>
        <w:tc>
          <w:tcPr>
            <w:tcW w:type="pct" w:w="1500"/>
            <w:shd w:fill="EDF3F5" w:val="clear"/>
            <w:tcMar>
              <w:top w:type="dxa" w:w="60"/>
              <w:left w:type="dxa" w:w="120"/>
              <w:bottom w:type="dxa" w:w="60"/>
              <w:right w:type="dxa" w:w="120"/>
            </w:tcMar>
          </w:tcPr>
          <w:p>
            <w:pPr>
              <w:spacing w:line="312"/>
              <w:jc w:val="left"/>
            </w:pPr>
            <w:r>
              <w:rPr>
                <w:rFonts w:ascii="Times New Roman" w:eastAsia="SimSun"/>
                <w:b/>
                <w:bCs/>
                <w:color w:val="000000"/>
                <w:sz w:val="18"/>
                <w:szCs w:val="18"/>
              </w:rPr>
              <w:t xml:space="preserve">PAQUETE_EJECUCION_CP-SEC-027_2026-10-19.docx</w:t>
            </w:r>
          </w:p>
        </w:tc>
        <w:tc>
          <w:tcPr>
            <w:tcW w:type="pct" w:w="17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Este documento</w:t>
            </w:r>
          </w:p>
        </w:tc>
        <w:tc>
          <w:tcPr>
            <w:tcW w:type="pct" w:w="1800"/>
            <w:shd w:fill="EDF3F5" w:val="clear"/>
            <w:tcMar>
              <w:top w:type="dxa" w:w="60"/>
              <w:left w:type="dxa" w:w="120"/>
              <w:bottom w:type="dxa" w:w="60"/>
              <w:right w:type="dxa" w:w="120"/>
            </w:tcMar>
          </w:tcPr>
          <w:p>
            <w:pPr>
              <w:spacing w:line="312"/>
              <w:jc w:val="left"/>
            </w:pPr>
            <w:r>
              <w:rPr>
                <w:rFonts w:ascii="Times New Roman" w:eastAsia="SimSun"/>
                <w:b w:val="false"/>
                <w:bCs w:val="false"/>
                <w:color w:val="000000"/>
                <w:sz w:val="18"/>
                <w:szCs w:val="18"/>
              </w:rPr>
              <w:t xml:space="preserve">Paquete de ejecución completo para revisión y autorización</w:t>
            </w:r>
          </w:p>
        </w:tc>
      </w:tr>
    </w:tbl>
    <w:p>
      <w:pPr>
        <w:spacing w:after="120" w:line="312"/>
        <w:jc w:val="both"/>
      </w:pPr>
      <w:r>
        <w:rPr>
          <w:rFonts w:ascii="Times New Roman"/>
          <w:color w:val="000000"/>
          <w:sz w:val="24"/>
          <w:szCs w:val="24"/>
        </w:rPr>
        <w:t xml:space="preserve">Trazabilidad de partida del paquete: migración y código fusionados en main (98e0d31e, PR #1424); evidencia previa en docs/audits/evidence/20261019-cp-sec-027-publico/ (informe más diez capturas en crudo); captura de recuperación del día en download/diagnostico-recuperacion-20261019/raw_estado_produccion_readonly.json; script de verificación oficial en scripts/cpsec027_post_migration_verify.js; prueba de integración de 26 invariantes en src/__tests__/integration/cpsec027-public-catalog.test.ts. Este paquete fue preparado sin ejecutar nada contra producción y el diagnóstico de estado previo se limitó estrictamente a lecturas.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COSTPRO — Paquete de ejecución CP-SEC-027 · 2026-10-19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62235"/>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62235"/>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2026-10-19T12:04:59.867Z</dcterms:created>
  <dcterms:modified xsi:type="dcterms:W3CDTF">2026-10-19T12:04:59.867Z</dcterms:modified>
</cp:coreProperties>
</file>

<file path=docProps/custom.xml><?xml version="1.0" encoding="utf-8"?>
<Properties xmlns="http://schemas.openxmlformats.org/officeDocument/2006/custom-properties" xmlns:vt="http://schemas.openxmlformats.org/officeDocument/2006/docPropsVTypes"/>
</file>