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Resumen Ejecutivo — Auditoría COSTPRO 4 (MISIÓN 1, 2026-10-16)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20a1a7a6d61a650b47054ec5e58052d206d98aa"/>
    <w:p>
      <w:pPr>
        <w:pStyle w:val="Heading1"/>
      </w:pPr>
      <w:r>
        <w:t xml:space="preserve">RESUMEN EJECUTIVO — AUDITORÍA GLOBAL DE TAREAS COSTPRO 4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2026-10-16 ·</w:t>
      </w:r>
      <w:r>
        <w:t xml:space="preserve"> </w:t>
      </w:r>
      <w:r>
        <w:rPr>
          <w:b/>
          <w:bCs/>
        </w:rPr>
        <w:t xml:space="preserve">Repositorio:</w:t>
      </w:r>
      <w:r>
        <w:t xml:space="preserve"> </w:t>
      </w:r>
      <w:r>
        <w:rPr>
          <w:rStyle w:val="VerbatimChar"/>
        </w:rPr>
        <w:t xml:space="preserve">Nardian90/Costpro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Rama: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13762b31f9a3e784b3e01c4b3a8b30006c03abb2</w:t>
      </w:r>
      <w:r>
        <w:t xml:space="preserve"> </w:t>
      </w:r>
      <w:r>
        <w:t xml:space="preserve">(PR #1414)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solo lectura (0 correcciones de código, 0 escrituras de datos, 0 migraciones)</w:t>
      </w:r>
      <w:r>
        <w:t xml:space="preserve"> </w:t>
      </w:r>
      <w:r>
        <w:rPr>
          <w:b/>
          <w:bCs/>
        </w:rPr>
        <w:t xml:space="preserve">Documento fuente de los detalles:</w:t>
      </w:r>
      <w:r>
        <w:t xml:space="preserve"> </w:t>
      </w:r>
      <w:r>
        <w:rPr>
          <w:rStyle w:val="VerbatimChar"/>
        </w:rPr>
        <w:t xml:space="preserve">docs/audits/INVENTARIO_MAESTRO_TAREAS_COSTPRO_2026-10-16.md</w:t>
      </w:r>
      <w:r>
        <w:t xml:space="preserve"> </w:t>
      </w:r>
      <w:r>
        <w:rPr>
          <w:b/>
          <w:bCs/>
        </w:rPr>
        <w:t xml:space="preserve">Plan derivado:</w:t>
      </w:r>
      <w:r>
        <w:t xml:space="preserve"> </w:t>
      </w:r>
      <w:r>
        <w:rPr>
          <w:rStyle w:val="VerbatimChar"/>
        </w:rPr>
        <w:t xml:space="preserve">docs/audits/PLAN_PRIORIZADO_CORRECCIONES_COSTPRO_2026-10-16.md</w:t>
      </w:r>
    </w:p>
    <w:p>
      <w:r>
        <w:pict>
          <v:rect style="width:0;height:1.5pt" o:hralign="center" o:hrstd="t" o:hr="t"/>
        </w:pict>
      </w:r>
    </w:p>
    <w:bookmarkStart w:id="20" w:name="cifras-totales"/>
    <w:p>
      <w:pPr>
        <w:pStyle w:val="Heading2"/>
      </w:pPr>
      <w:r>
        <w:t xml:space="preserve">1. Cifras totales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únicas identificadas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CONFIRMADA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PARCIALMENTE RESUELTA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RESUELTA VERIFICADA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REPRODUCIDA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OBSOLETA O REEMPLAZADA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DUPLICADA (contabilizadas dentro de su tarea consolidada)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filas propias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Tareas abiertas (2+3+5+7)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se contabilizan los duplicados:</w:t>
      </w:r>
      <w:r>
        <w:t xml:space="preserve"> </w:t>
      </w:r>
      <w:r>
        <w:t xml:space="preserve">los informes fuentes contienen ~150 hallazgos; los que describían el mismo problema se consolidaron en una única tarea conservando todas las referencias cruzadas en su ficha (p. ej.</w:t>
      </w:r>
      <w:r>
        <w:t xml:space="preserve"> </w:t>
      </w:r>
      <w:r>
        <w:rPr>
          <w:rStyle w:val="VerbatimChar"/>
        </w:rPr>
        <w:t xml:space="preserve">f854</w:t>
      </w:r>
      <w:r>
        <w:t xml:space="preserve">/</w:t>
      </w:r>
      <w:r>
        <w:rPr>
          <w:rStyle w:val="VerbatimChar"/>
        </w:rPr>
        <w:t xml:space="preserve">f873</w:t>
      </w:r>
      <w:r>
        <w:t xml:space="preserve"> </w:t>
      </w:r>
      <w:r>
        <w:t xml:space="preserve">aparecen en 4 informes y viven una sola vez en CP-RES-006). Por eso 0 filas tienen estado DUPLICADA: se sumaron a su tarea canónica y las cifras de arriba no están infladas.</w:t>
      </w:r>
    </w:p>
    <w:p>
      <w:pPr>
        <w:pStyle w:val="BodyText"/>
      </w:pPr>
      <w:r>
        <w:rPr>
          <w:b/>
          <w:bCs/>
        </w:rPr>
        <w:t xml:space="preserve">Coherencia con el inventario maestro:</w:t>
      </w:r>
      <w:r>
        <w:t xml:space="preserve"> </w:t>
      </w:r>
      <w:r>
        <w:t xml:space="preserve">los 101 estados y prioridades de este resumen son idénticos a la tabla maestra (101 filas) y a las 101 fichas de la sección 3. La distribución de prioridad de las 80 abiertas es:</w:t>
      </w:r>
      <w:r>
        <w:t xml:space="preserve"> </w:t>
      </w:r>
      <w:r>
        <w:rPr>
          <w:b/>
          <w:bCs/>
        </w:rPr>
        <w:t xml:space="preserve">P0=1 · P1=17 · P2=35 · P3=27</w:t>
      </w:r>
      <w:r>
        <w:t xml:space="preserve">.</w:t>
      </w:r>
    </w:p>
    <w:bookmarkEnd w:id="20"/>
    <w:bookmarkStart w:id="21" w:name="Xfc3abcd6127dc28cbc0c6a5ec87ee42fa4d197f"/>
    <w:p>
      <w:pPr>
        <w:pStyle w:val="Heading2"/>
      </w:pPr>
      <w:r>
        <w:t xml:space="preserve">2. Distribución por prioridad y área (tareas abiertas)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(ventas)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 (inventario)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(catálogo)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 (seguridad)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</w:t>
            </w:r>
          </w:p>
        </w:tc>
      </w:tr>
    </w:tbl>
    <w:p>
      <w:pPr>
        <w:pStyle w:val="BodyText"/>
      </w:pPr>
      <w:r>
        <w:t xml:space="preserve">* incluye las 3 NO VERIFICABLES y las 3 OBSOLETAS (todas P3, salvo CP-SEC-017 que es P2). La suma por columnas es exacta contra el inventario.</w:t>
      </w:r>
    </w:p>
    <w:bookmarkEnd w:id="21"/>
    <w:bookmarkStart w:id="22" w:name="X7f11238fa1aaa611302bcfb6f1d46a2a0af614c"/>
    <w:p>
      <w:pPr>
        <w:pStyle w:val="Heading2"/>
      </w:pPr>
      <w:r>
        <w:t xml:space="preserve">3. Las diez tareas más importantes para revisar primero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736"/>
        <w:gridCol w:w="1473"/>
        <w:gridCol w:w="2026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primero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CP-SEC-012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 de seguridad activos con</w:t>
            </w:r>
            <w:r>
              <w:t xml:space="preserve"> </w:t>
            </w:r>
            <w:r>
              <w:rPr>
                <w:rStyle w:val="VerbatimChar"/>
              </w:rPr>
              <w:t xml:space="preserve">test.fail</w:t>
            </w:r>
            <w:r>
              <w:t xml:space="preserve"> </w:t>
            </w:r>
            <w:r>
              <w:t xml:space="preserve">(BUG-013/017/022/024)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sin auth a reportes/incidentes + XSS almacenado; el patrón test.fail los enmascara. Único P0 vigente del inventario.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CP-SEC-019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rutas API con</w:t>
            </w:r>
            <w:r>
              <w:t xml:space="preserve"> </w:t>
            </w:r>
            <w:r>
              <w:rPr>
                <w:rStyle w:val="VerbatimChar"/>
              </w:rPr>
              <w:t xml:space="preserve">z.string().uuid()</w:t>
            </w:r>
            <w:r>
              <w:t xml:space="preserve"> </w:t>
            </w:r>
            <w:r>
              <w:t xml:space="preserve">estricto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HOY (más de los 8+ documentados): cualquier módulo puede quedar «Ha ocurrido un error» con UUID sintético de Central, como ya ocurrió con el catálogo. Fix mecánico de alto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CP-POS-003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«Venta por Conteo» rota (fetch sin storeId)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operativo inutilizable; reproducido el 15/10 y confirmado HOY en código. Fix de 1 línea +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CP-POS-007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de venta del Catálogo de Ventas descartadas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silenciosa de datos de negocio en ventas reales. Hallazgo nuevo de esta auditoría.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CP-CAT-004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producto en recepción sin tenant_id →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operación diaria de tienda; código sin corregir verificado HOY.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CP-POS-002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sync sin reserva de stock ni resolución de conflictos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doble venta / venta fallida post-facto en modo offline (calificado CRITICAL por el audit_v3).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CP-INFRA-011 + CP-INFRA-001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aislado para E2E + reactivar CI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de 4+ tareas: sin entorno aislado no hay red de seguridad automatizada (ya costó 2 cortes de deploy).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CP-INFRA-004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 de seguridad expira 2026-12-31; replay reintroduce SQL vulnerable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Reloj: al vencer, el gate queda roto masivamente; el saneamiento de migraciones necesita semanas de margen.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audit_logs ausente en transfers directos y recepciones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Trazabilidad/compliance: operaciones sensibles sin rastro de 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CP-POS-010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Entrega: migración</w:t>
            </w:r>
            <w:r>
              <w:t xml:space="preserve"> </w:t>
            </w:r>
            <w:r>
              <w:rPr>
                <w:rStyle w:val="VerbatimChar"/>
              </w:rPr>
              <w:t xml:space="preserve">ref_type</w:t>
            </w:r>
            <w:r>
              <w:t xml:space="preserve"> </w:t>
            </w:r>
            <w:r>
              <w:t xml:space="preserve">sin aplicar a BD compartida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reporte contable puede mostrar cifras incompletas hasta aplicar migración autorizada + deploy.</w:t>
            </w:r>
          </w:p>
        </w:tc>
      </w:tr>
    </w:tbl>
    <w:bookmarkEnd w:id="22"/>
    <w:bookmarkStart w:id="23" w:name="riesgos-que-merecen-atención-inmediata"/>
    <w:p>
      <w:pPr>
        <w:pStyle w:val="Heading2"/>
      </w:pPr>
      <w:r>
        <w:t xml:space="preserve">4. Riesgos que merecen atención inmediata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Fuga de datos / acceso no autorizado (CP-SEC-012):</w:t>
      </w:r>
      <w:r>
        <w:t xml:space="preserve"> </w:t>
      </w:r>
      <w:r>
        <w:t xml:space="preserve">BUG-022 (URL de reportes pública) y BUG-017 (legal/incidents sin auth) son, si siguen vigentes en el despliegue, el riesgo más alto del proyecto. Verificar en producción y corregir es lo primero.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 con esquema vulnerable (CP-INFRA-004 + CP-SEC-005):</w:t>
      </w:r>
      <w:r>
        <w:t xml:space="preserve"> </w:t>
      </w:r>
      <w:r>
        <w:t xml:space="preserve">los fixes de seguridad viven «out-of-band» en la BD LIVE; una restauración desde migraciones los perdería. Ventana hasta 2026-12-31.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Integridad de ventas:</w:t>
      </w:r>
      <w:r>
        <w:t xml:space="preserve"> </w:t>
      </w:r>
      <w:r>
        <w:t xml:space="preserve">notas descartadas (CP-POS-007) + offline sin reserva (CP-POS-002) + tasas hardcodeadas (CP-POS-008) acumulan pequeñas divergencias entre lo cobrado, lo registrado y lo reportado.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maestros del catálogo:</w:t>
      </w:r>
      <w:r>
        <w:t xml:space="preserve"> </w:t>
      </w:r>
      <w:r>
        <w:t xml:space="preserve">precios obsoletos (CP-INV-004), productos sin precio/costo (CP-INV-002) y WAC inflados 680x (CP-IPV-003) distorsionan márgenes y eluden el gate de supervisor.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 red de seguridad (CP-INFRA-001/011):</w:t>
      </w:r>
      <w:r>
        <w:t xml:space="preserve"> </w:t>
      </w:r>
      <w:r>
        <w:t xml:space="preserve">el ritmo actual es ~12 PRs/día con E2E de CI apagado y merges históricos con previews en ERROR (CP-INFRA-009): la probabilidad de un tercer corte de producción es alta.</w:t>
      </w:r>
    </w:p>
    <w:bookmarkEnd w:id="23"/>
    <w:bookmarkStart w:id="24" w:name="áreas-sin-evidencia-suficiente"/>
    <w:p>
      <w:pPr>
        <w:pStyle w:val="Heading2"/>
      </w:pPr>
      <w:r>
        <w:t xml:space="preserve">5. Áreas sin evidencia suficiente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LIVE de policies RLS y funciones RPC</w:t>
      </w:r>
      <w:r>
        <w:t xml:space="preserve"> </w:t>
      </w:r>
      <w:r>
        <w:t xml:space="preserve">(catálogo real de la BD compartida): solo lectura de migraciones; no se ejecutó consulta alguna.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Settings de GitHub</w:t>
      </w:r>
      <w:r>
        <w:t xml:space="preserve"> </w:t>
      </w:r>
      <w:r>
        <w:t xml:space="preserve">(branch protection, secrets): CP-INFRA-014 NO VERIFICABLE.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Admin API (500)</w:t>
      </w:r>
      <w:r>
        <w:t xml:space="preserve">: causa externa, no diagnosticable desde el repo (CP-SEC-017).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Comportamiento en producción de BUG-017/022</w:t>
      </w:r>
      <w:r>
        <w:t xml:space="preserve">: documentados activos el 2026-09-27; su vigencia HOY en el deploy de Vercel no se comprobó (sería lectura de endpoints públicos — se evitó para mantener la misión estrictamente pasiva sobre la app).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audit-evidence/</w:t>
      </w:r>
      <w:r>
        <w:t xml:space="preserve"> </w:t>
      </w:r>
      <w:r>
        <w:t xml:space="preserve">(~200 docs crudos de 100 MB): recorridos vía informes consolidados, no íntegros.</w:t>
      </w:r>
    </w:p>
    <w:bookmarkEnd w:id="24"/>
    <w:bookmarkStart w:id="25" w:name="limitaciones-de-acceso-y-cobertura"/>
    <w:p>
      <w:pPr>
        <w:pStyle w:val="Heading2"/>
      </w:pPr>
      <w:r>
        <w:t xml:space="preserve">6. Limitaciones de acceso y cobertura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 de producción (Supabase) no consultada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RESUELTA de RLS/SQL basados en migraciones del repo, no en catálogo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externos no invocados (Vercel, Supabase Auth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CP-SEC-017 y estados de deploy NO VERIFICABLES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Suites de tests no ejecutadas (coste/OOM)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de tests tomados de informes +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audit-evidence/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por muestreo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Posibles hallazgos menores no registrados (poco probable: los informes consolidados sí se leyeron completos)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credenciales de usuario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funcional de UI delegada a E2E futuros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Cientos de ramas remotas de agentes no revisadas (los PRs citados ya están mergeados a main)</w:t>
            </w:r>
          </w:p>
        </w:tc>
      </w:tr>
    </w:tbl>
    <w:bookmarkEnd w:id="25"/>
    <w:bookmarkStart w:id="26" w:name="X7146979da0b65f343979f589062e424f5006f4e"/>
    <w:p>
      <w:pPr>
        <w:pStyle w:val="Heading2"/>
      </w:pPr>
      <w:r>
        <w:t xml:space="preserve">7. Recomendación de orden de ejecución para las próximas misiones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MISIÓN 2 — Hotfixes de operación y seguridad puntual (1 día):</w:t>
      </w:r>
      <w:r>
        <w:t xml:space="preserve"> </w:t>
      </w:r>
      <w:r>
        <w:t xml:space="preserve">CP-POS-003 (storeId), CP-POS-007 (notes), CP-CAT-004 (tenant_id), CP-SEC-019 (uuidRegex) + verificación pasiva de BUG-017/022 en producción (curl) para confirmar CP-SEC-012. Todos son fixes pequeños, testables y sin migraciones destructivas.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MISIÓN 3 — Decisiones del negocio (sesión, sin código):</w:t>
      </w:r>
      <w:r>
        <w:t xml:space="preserve"> </w:t>
      </w:r>
      <w:r>
        <w:t xml:space="preserve">bloquear decisiones: política stock negativo (CP-INV-005), limpieza de datos E2E/QA (CP-DATA-001), DT-03 tenant (CP-SEC-010), precios/costos faltantes (CP-INV-002/003/004), backfill de ledger IPV (CP-IPV-001). Sin estas decisiones, las misiones técnicas siguientes no pueden cerrar.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MISIÓN 4 — Red de seguridad de calidad (2-3 días):</w:t>
      </w:r>
      <w:r>
        <w:t xml:space="preserve"> </w:t>
      </w:r>
      <w:r>
        <w:t xml:space="preserve">CP-INFRA-011 (provisionar Supabase aislado) → CP-INFRA-001 (reactivar E2E en CI bloqueante) → CP-INFRA-006 (fixtures P0 de recepción) → CP-INFRA-009 (política anti-merge-ERROR). Este es el multiplicador que protege todo lo demás.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MISIÓN 5 — Campaña de endpoints y saneamiento SQL (semestre, por lotes):</w:t>
      </w:r>
      <w:r>
        <w:t xml:space="preserve"> </w:t>
      </w:r>
      <w:r>
        <w:t xml:space="preserve">CP-SEC-006 (5 endpoints Alta primero) + CP-SEC-005/CP-INFRA-004 (migración de saneamiento del histórico antes del 31/12) + CP-CAT-005 (bulk-import Zod).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MISIÓN 6 — Contabilidad y datos maestros:</w:t>
      </w:r>
      <w:r>
        <w:t xml:space="preserve"> </w:t>
      </w:r>
      <w:r>
        <w:t xml:space="preserve">CP-IPV-003 (WAC 680x) → CP-IPV-002 (TAREA 3 COGS bajo política) → CP-INV-001 (4 productos Puerto Padre) → CP-POS-010 (migración ref_type + confirmación viva).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MISIÓN 7 — Higiene y deuda menor (puedes intercalarla):</w:t>
      </w:r>
      <w:r>
        <w:t xml:space="preserve"> </w:t>
      </w:r>
      <w:r>
        <w:t xml:space="preserve">CP-POS-008/009/005, CP-INV-008, CP-CAT-003, CP-UI-005, CP-INFRA-007/008/015/016, CP-OBS-001/002.</w:t>
      </w:r>
    </w:p>
    <w:p>
      <w:pPr>
        <w:pStyle w:val="FirstParagraph"/>
      </w:pPr>
      <w:r>
        <w:t xml:space="preserve">El orden minimiza regresiones: primero los fixes pequeños verificables, después las decisiones que desbloquean, luego la red de seguridad, y solo entonces campañas largas que modifican muchas superficies a la vez.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Ejecutivo — Auditoría COSTPRO 4 (MISIÓN 1, 2026-10-16)</dc:title>
  <dc:creator/>
  <dc:language>es</dc:language>
  <cp:keywords/>
  <dcterms:created xsi:type="dcterms:W3CDTF">2026-10-16T19:46:32Z</dcterms:created>
  <dcterms:modified xsi:type="dcterms:W3CDTF">2026-10-16T19:46:32Z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