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588"/>
            </w:pPr>
          </w:p>
          <w:p>
            <w:pPr>
              <w:pBdr>
                <w:bottom w:val="single" w:color="37DCF2" w:sz="6" w:space="8"/>
              </w:pBdr>
              <w:spacing w:after="500"/>
              <w:ind w:left="1200" w:right="800"/>
            </w:pPr>
            <w:r>
              <w:rPr>
                <w:rFonts w:ascii="Calibri" w:eastAsia="SimHei"/>
                <w:color w:val="37DCF2"/>
                <w:spacing w:val="40"/>
                <w:sz w:val="18"/>
                <w:szCs w:val="18"/>
              </w:rPr>
              <w:t xml:space="preserve">C  O  S  T  P  R  O     4     M  U  L  T  I  T  I  E  N  D  A</w:t>
            </w:r>
          </w:p>
          <w:p>
            <w:pPr>
              <w:spacing w:after="100" w:line="920" w:lineRule="atLeast"/>
              <w:ind w:left="1200"/>
            </w:pPr>
            <w:r>
              <w:rPr>
                <w:rFonts w:ascii="Arial" w:eastAsia="SimHei"/>
                <w:b/>
                <w:bCs/>
                <w:color w:val="FFFFFF"/>
                <w:sz w:val="80"/>
                <w:szCs w:val="80"/>
              </w:rPr>
              <w:t xml:space="preserve">Recuperación del</w:t>
            </w:r>
          </w:p>
          <w:p>
            <w:pPr>
              <w:spacing w:after="100" w:line="920" w:lineRule="atLeast"/>
              <w:ind w:left="1200"/>
            </w:pPr>
            <w:r>
              <w:rPr>
                <w:rFonts w:ascii="Arial" w:eastAsia="SimHei"/>
                <w:b/>
                <w:bCs/>
                <w:color w:val="FFFFFF"/>
                <w:sz w:val="80"/>
                <w:szCs w:val="80"/>
              </w:rPr>
              <w:t xml:space="preserve">entorno y diagnóstico</w:t>
            </w:r>
          </w:p>
          <w:p>
            <w:pPr>
              <w:spacing w:after="300" w:line="920" w:lineRule="atLeast"/>
              <w:ind w:left="1200"/>
            </w:pPr>
            <w:r>
              <w:rPr>
                <w:rFonts w:ascii="Arial" w:eastAsia="SimHei"/>
                <w:b/>
                <w:bCs/>
                <w:color w:val="FFFFFF"/>
                <w:sz w:val="80"/>
                <w:szCs w:val="80"/>
              </w:rPr>
              <w:t xml:space="preserve">CP-SEC-027</w:t>
            </w:r>
          </w:p>
          <w:p>
            <w:pPr>
              <w:spacing w:after="800"/>
              <w:ind w:left="1200"/>
            </w:pPr>
            <w:r>
              <w:rPr>
                <w:rFonts w:ascii="Arial" w:eastAsia="Microsoft YaHei"/>
                <w:color w:val="B0B8C0"/>
                <w:sz w:val="24"/>
                <w:szCs w:val="24"/>
              </w:rPr>
              <w:t xml:space="preserve">Trazabilidad verificada de PR #1422 y #1424, migraciones pendientes y exposición pública de costos</w:t>
            </w:r>
          </w:p>
          <w:p>
            <w:pPr>
              <w:pBdr>
                <w:left w:val="single" w:color="37DCF2" w:sz="8" w:space="12"/>
              </w:pBdr>
              <w:spacing w:after="80"/>
              <w:ind w:left="1400"/>
            </w:pPr>
            <w:r>
              <w:rPr>
                <w:rFonts w:ascii="Arial" w:eastAsia="Microsoft YaHei"/>
                <w:color w:val="90989F"/>
                <w:sz w:val="24"/>
                <w:szCs w:val="24"/>
              </w:rPr>
              <w:t xml:space="preserve">Repositorio: github.com/Nardian90/Costpro</w:t>
            </w:r>
          </w:p>
          <w:p>
            <w:pPr>
              <w:pBdr>
                <w:left w:val="single" w:color="37DCF2" w:sz="8" w:space="12"/>
              </w:pBdr>
              <w:spacing w:after="80"/>
              <w:ind w:left="1400"/>
            </w:pPr>
            <w:r>
              <w:rPr>
                <w:rFonts w:ascii="Arial" w:eastAsia="Microsoft YaHei"/>
                <w:color w:val="90989F"/>
                <w:sz w:val="24"/>
                <w:szCs w:val="24"/>
              </w:rPr>
              <w:t xml:space="preserve">Fecha del diagnóstico: 19 de octubre de 2026</w:t>
            </w:r>
          </w:p>
          <w:p>
            <w:pPr>
              <w:pBdr>
                <w:left w:val="single" w:color="37DCF2" w:sz="8" w:space="12"/>
              </w:pBdr>
              <w:spacing w:after="80"/>
              <w:ind w:left="1400"/>
            </w:pPr>
            <w:r>
              <w:rPr>
                <w:rFonts w:ascii="Arial" w:eastAsia="Microsoft YaHei"/>
                <w:color w:val="90989F"/>
                <w:sz w:val="24"/>
                <w:szCs w:val="24"/>
              </w:rPr>
              <w:t xml:space="preserve">Modo de operación: solo lectura sobre producción</w:t>
            </w:r>
          </w:p>
          <w:p>
            <w:pPr>
              <w:pBdr>
                <w:left w:val="single" w:color="37DCF2" w:sz="8" w:space="12"/>
              </w:pBdr>
              <w:spacing w:after="80"/>
              <w:ind w:left="1400"/>
            </w:pPr>
            <w:r>
              <w:rPr>
                <w:rFonts w:ascii="Arial" w:eastAsia="Microsoft YaHei"/>
                <w:color w:val="90989F"/>
                <w:sz w:val="24"/>
                <w:szCs w:val="24"/>
              </w:rPr>
              <w:t xml:space="preserve">Informe: INFORME_RECUPERACION_ENTORNO_COSTPRO_2026-10-19</w:t>
            </w:r>
          </w:p>
          <w:p>
            <w:pPr>
              <w:spacing w:before="3588"/>
            </w:pPr>
          </w:p>
          <w:p>
            <w:pPr>
              <w:pBdr>
                <w:top w:val="single" w:color="37DCF2" w:sz="2" w:space="8"/>
              </w:pBdr>
              <w:spacing w:before="200"/>
              <w:ind w:left="1200" w:right="800"/>
            </w:pPr>
            <w:r>
              <w:rPr>
                <w:rFonts w:ascii="Arial"/>
                <w:color w:val="687078"/>
                <w:sz w:val="16"/>
                <w:szCs w:val="16"/>
              </w:rPr>
              <w:t xml:space="preserve">COSTPRO 4 Multitienda</w:t>
            </w:r>
            <w:r>
              <w:t xml:space="preserve">                                        </w:t>
            </w:r>
            <w:r>
              <w:rPr>
                <w:rFonts w:ascii="Arial"/>
                <w:color w:val="687078"/>
                <w:sz w:val="16"/>
                <w:szCs w:val="16"/>
              </w:rPr>
              <w:t xml:space="preserve">2026-10-19 · Confidencial</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62235"/>
          <w:sz w:val="32"/>
          <w:szCs w:val="32"/>
        </w:rPr>
        <w:t xml:space="preserve">Índice</w:t>
      </w:r>
    </w:p>
    <w:sdt>
      <w:sdtPr>
        <w:alias w:val="Tabla de contenido"/>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1. Resumen ejecutivo</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1. Resumen ejecutivo</w:t>
          </w:r>
          <w:r>
            <w:tab/>
          </w:r>
          <w:r>
            <w:t>1</w:t>
          </w:r>
        </w:p>
        <w:p>
          <w:pPr>
            <w:pStyle w:val="9"/>
            <w:tabs>
              <w:tab w:val="right" w:leader="dot" w:pos="9026"/>
            </w:tabs>
            <w:spacing w:before="120" w:after="60"/>
          </w:pPr>
          <w:r>
            <w:t>2. Estado real de main y de los pull requests</w:t>
          </w:r>
          <w:r>
            <w:tab/>
          </w:r>
          <w:r>
            <w:t>1</w:t>
          </w:r>
        </w:p>
        <w:p>
          <w:pPr>
            <w:pStyle w:val="9"/>
            <w:tabs>
              <w:tab w:val="right" w:leader="dot" w:pos="9026"/>
            </w:tabs>
            <w:spacing w:before="120" w:after="60"/>
          </w:pPr>
          <w:r>
            <w:t>3. Migraciones 20261018000000 y 20261019000001: GitHub frente a producción</w:t>
          </w:r>
          <w:r>
            <w:tab/>
          </w:r>
          <w:r>
            <w:t>2</w:t>
          </w:r>
        </w:p>
        <w:p>
          <w:pPr>
            <w:pStyle w:val="11"/>
            <w:ind w:left="360"/>
            <w:tabs>
              <w:tab w:val="right" w:leader="dot" w:pos="9026"/>
            </w:tabs>
            <w:spacing w:before="120" w:after="60"/>
          </w:pPr>
          <w:r>
            <w:t>3.1 Registro de migraciones: no es indicador fiable</w:t>
          </w:r>
          <w:r>
            <w:tab/>
          </w:r>
          <w:r>
            <w:t>2</w:t>
          </w:r>
        </w:p>
        <w:p>
          <w:pPr>
            <w:pStyle w:val="11"/>
            <w:ind w:left="360"/>
            <w:tabs>
              <w:tab w:val="right" w:leader="dot" w:pos="9026"/>
            </w:tabs>
            <w:spacing w:before="120" w:after="60"/>
          </w:pPr>
          <w:r>
            <w:t>3.2 Verificación por comportamiento: ninguna está aplicada</w:t>
          </w:r>
          <w:r>
            <w:tab/>
          </w:r>
          <w:r>
            <w:t>2</w:t>
          </w:r>
        </w:p>
        <w:p>
          <w:pPr>
            <w:pStyle w:val="9"/>
            <w:tabs>
              <w:tab w:val="right" w:leader="dot" w:pos="9026"/>
            </w:tabs>
            <w:spacing w:before="120" w:after="60"/>
          </w:pPr>
          <w:r>
            <w:t>4. Código y evidencia de CP-SEC-027 recuperados</w:t>
          </w:r>
          <w:r>
            <w:tab/>
          </w:r>
          <w:r>
            <w:t>3</w:t>
          </w:r>
        </w:p>
        <w:p>
          <w:pPr>
            <w:pStyle w:val="9"/>
            <w:tabs>
              <w:tab w:val="right" w:leader="dot" w:pos="9026"/>
            </w:tabs>
            <w:spacing w:before="120" w:after="60"/>
          </w:pPr>
          <w:r>
            <w:t>5. Riesgos de seguridad que continúan abiertos</w:t>
          </w:r>
          <w:r>
            <w:tab/>
          </w:r>
          <w:r>
            <w:t>4</w:t>
          </w:r>
        </w:p>
        <w:p>
          <w:pPr>
            <w:pStyle w:val="9"/>
            <w:tabs>
              <w:tab w:val="right" w:leader="dot" w:pos="9026"/>
            </w:tabs>
            <w:spacing w:before="120" w:after="60"/>
          </w:pPr>
          <w:r>
            <w:t>6. Plan: no es necesario un pull request nuevo</w:t>
          </w:r>
          <w:r>
            <w:tab/>
          </w:r>
          <w:r>
            <w:t>4</w:t>
          </w:r>
        </w:p>
        <w:p>
          <w:pPr>
            <w:pStyle w:val="9"/>
            <w:tabs>
              <w:tab w:val="right" w:leader="dot" w:pos="9026"/>
            </w:tabs>
            <w:spacing w:before="120" w:after="60"/>
          </w:pPr>
          <w:r>
            <w:t>7. Pruebas pendientes y acciones que requieren autorización</w:t>
          </w:r>
          <w:r>
            <w:tab/>
          </w:r>
          <w:r>
            <w:t>5</w:t>
          </w:r>
        </w:p>
        <w:p>
          <w:pPr>
            <w:pStyle w:val="9"/>
            <w:tabs>
              <w:tab w:val="right" w:leader="dot" w:pos="9026"/>
            </w:tabs>
            <w:spacing w:before="120" w:after="60"/>
          </w:pPr>
          <w:r>
            <w:t>8. Anexo: método de verificación y trazabilidad</w:t>
          </w:r>
          <w:r>
            <w:tab/>
          </w:r>
          <w:r>
            <w:t>6</w:t>
          </w:r>
        </w:p>
        <w:p>
          <w:r>
            <w:fldChar w:fldCharType="end"/>
          </w:r>
        </w:p>
      </w:sdtContent>
    </w:sdt>
    <w:p>
      <w:pPr>
        <w:spacing w:before="200"/>
        <w:sectPr>
          <w:footerReference w:type="default" r:id="rId6"/>
          <w:type w:val="nextPage"/>
          <w:pgSz w:w="11906" w:h="16838" w:orient="portrait"/>
          <w:pgMar w:top="1440" w:right="1417" w:bottom="1440" w:left="1701" w:header="708" w:footer="708" w:gutter="0"/>
          <w:pgNumType w:start="1" w:fmt="upperRoman"/>
          <w:docGrid w:linePitch="360"/>
        </w:sectPr>
      </w:pPr>
      <w:r>
        <w:rPr>
          <w:rFonts w:ascii="Times New Roman"/>
          <w:i/>
          <w:iCs/>
          <w:color w:val="888888"/>
          <w:sz w:val="18"/>
          <w:szCs w:val="18"/>
        </w:rPr>
        <w:t xml:space="preserve">Nota: este índice se genera mediante códigos de campo. Para asegurar la exactitud de los números de página tras editar el documento, haga clic derecho sobre el índice y seleccione Actualizar campo.</w:t>
      </w:r>
    </w:p>
    <w:p>
      <w:pPr>
        <w:pStyle w:val="Heading1"/>
        <w:spacing w:after="160" w:before="360" w:line="312"/>
      </w:pPr>
      <w:bookmarkStart w:name="_Toc1" w:id="1"/>
      <w:r>
        <w:rPr>
          <w:rFonts w:ascii="Times New Roman" w:eastAsia="SimHei"/>
          <w:b/>
          <w:bCs/>
          <w:color w:val="162235"/>
          <w:sz w:val="32"/>
          <w:szCs w:val="32"/>
        </w:rPr>
        <w:t xml:space="preserve">1. Resumen ejecutivo</w:t>
      </w:r>
      <w:bookmarkEnd w:id="1"/>
    </w:p>
    <w:p>
      <w:pPr>
        <w:spacing w:after="120" w:line="312"/>
        <w:jc w:val="both"/>
      </w:pPr>
      <w:r>
        <w:rPr>
          <w:rFonts w:ascii="Times New Roman"/>
          <w:color w:val="000000"/>
          <w:sz w:val="24"/>
          <w:szCs w:val="24"/>
        </w:rPr>
        <w:t xml:space="preserve">Este informe reconstruye la trazabilidad del programa COSTPRO 4 Multitienda tras el reinicio del entorno local, tratando el repositorio remoto de GitHub como única fuente autoritativa. La recuperación partió de un clon limpio de </w:t>
      </w:r>
      <w:r>
        <w:rPr>
          <w:rFonts w:ascii="Times New Roman"/>
          <w:b/>
          <w:bCs/>
          <w:color w:val="000000"/>
          <w:sz w:val="24"/>
          <w:szCs w:val="24"/>
        </w:rPr>
        <w:t xml:space="preserve">github.com/Nardian90/Costpro</w:t>
      </w:r>
      <w:r>
        <w:rPr>
          <w:rFonts w:ascii="Times New Roman"/>
          <w:color w:val="000000"/>
          <w:sz w:val="24"/>
          <w:szCs w:val="24"/>
        </w:rPr>
        <w:t xml:space="preserve">, verificó el estado real de los pull requests mediante la API de GitHub yauditó la base de datos viva de producción (Supabase wthkddeleylijmonclxg) exclusivamente con consultas de solo lectura. Durante toda la sesión no se ejecutó ninguna escritura: ninguna migración, ninguna modificación de políticas, ningún backfill y ningún despliegue.</w:t>
      </w:r>
    </w:p>
    <w:p>
      <w:pPr>
        <w:spacing w:after="120" w:line="312"/>
        <w:jc w:val="both"/>
      </w:pPr>
      <w:r>
        <w:rPr>
          <w:rFonts w:ascii="Times New Roman"/>
          <w:color w:val="000000"/>
          <w:sz w:val="24"/>
          <w:szCs w:val="24"/>
        </w:rPr>
        <w:t xml:space="preserve">La conclusión central es que los tres estados que el responsable ordenó distinguir son, en efecto, independientes. Los PR </w:t>
      </w:r>
      <w:r>
        <w:rPr>
          <w:rFonts w:ascii="Times New Roman"/>
          <w:b/>
          <w:bCs/>
          <w:color w:val="000000"/>
          <w:sz w:val="24"/>
          <w:szCs w:val="24"/>
        </w:rPr>
        <w:t xml:space="preserve">#1422 y #1424 están ambos fusionados en main</w:t>
      </w:r>
      <w:r>
        <w:rPr>
          <w:rFonts w:ascii="Times New Roman"/>
          <w:color w:val="000000"/>
          <w:sz w:val="24"/>
          <w:szCs w:val="24"/>
        </w:rPr>
        <w:t xml:space="preserve"> (el 19 de octubre de 2026, a las 10:49:53Z y 10:51:49Z respectivamente), lo que corrige formalmente la premisa de que el PR #1424 nunca llegó a crearse. Sin embargo, </w:t>
      </w:r>
      <w:r>
        <w:rPr>
          <w:rFonts w:ascii="Times New Roman"/>
          <w:b/>
          <w:bCs/>
          <w:color w:val="000000"/>
          <w:sz w:val="24"/>
          <w:szCs w:val="24"/>
        </w:rPr>
        <w:t xml:space="preserve">ninguna de las dos migraciones asociadas está aplicada en la base de datos viva</w:t>
      </w:r>
      <w:r>
        <w:rPr>
          <w:rFonts w:ascii="Times New Roman"/>
          <w:color w:val="000000"/>
          <w:sz w:val="24"/>
          <w:szCs w:val="24"/>
        </w:rPr>
        <w:t xml:space="preserve"> (20261018000000 y 20261019000001), y la exposición pública de costos CP-SEC-027 sigue activa: el rol anon lee hoy el costo real de 103 de 103 productos públicos y el identificador de tenant de 10 tiendas. La corrección existe en el código, está fusionada y tiene pruebas, pero no está desplegada en la base de datos.</w:t>
      </w:r>
    </w:p>
    <w:p>
      <w:pPr>
        <w:spacing w:after="120" w:line="312"/>
        <w:jc w:val="both"/>
      </w:pPr>
      <w:r>
        <w:rPr>
          <w:rFonts w:ascii="Times New Roman"/>
          <w:color w:val="000000"/>
          <w:sz w:val="24"/>
          <w:szCs w:val="24"/>
        </w:rPr>
        <w:t xml:space="preserve">La pérdida material del reinicio resultó mínima: todo el código CP-SEC-027, las pruebas, los scripts de verificación y los dossiers de evidencia DT-03 (incluido el dossier de autorización del backfill de david9999) sobrevivieron en GitHub. El único artefacto genuinamente perdido es el script ejecutor del backfill (</w:t>
      </w:r>
      <w:r>
        <w:rPr>
          <w:rFonts w:ascii="Times New Roman"/>
          <w:b/>
          <w:bCs/>
          <w:color w:val="000000"/>
          <w:sz w:val="24"/>
          <w:szCs w:val="24"/>
        </w:rPr>
        <w:t xml:space="preserve">scripts/dt03_backfill_david9999_execute.js</w:t>
      </w:r>
      <w:r>
        <w:rPr>
          <w:rFonts w:ascii="Times New Roman"/>
          <w:color w:val="000000"/>
          <w:sz w:val="24"/>
          <w:szCs w:val="24"/>
        </w:rPr>
        <w:t xml:space="preserve">), que nunca fue impulsado a ninguna rama; su SQL transaccional completo sobrevive en el dossier, por lo que la pérdida es trivialmente recuperable. No se necesita un pull request nuevo para CP-SEC-027: la solución ya está en main con alcance exclusivo y CI verde. Lo que queda pendiente es la aplicación autorizada de las migraciones, la verificación posterior y la secuencia de reinicio del servidor, todo ello detallado en los capítulos 6 y 7.</w:t>
      </w:r>
    </w:p>
    <w:p>
      <w:pPr>
        <w:pStyle w:val="Heading1"/>
        <w:spacing w:after="160" w:before="360" w:line="312"/>
      </w:pPr>
      <w:bookmarkStart w:name="_Toc2" w:id="2"/>
      <w:r>
        <w:rPr>
          <w:rFonts w:ascii="Times New Roman" w:eastAsia="SimHei"/>
          <w:b/>
          <w:bCs/>
          <w:color w:val="162235"/>
          <w:sz w:val="32"/>
          <w:szCs w:val="32"/>
        </w:rPr>
        <w:t xml:space="preserve">2. Estado real de main y de los pull requests</w:t>
      </w:r>
      <w:bookmarkEnd w:id="2"/>
    </w:p>
    <w:p>
      <w:pPr>
        <w:spacing w:after="120" w:line="312"/>
        <w:jc w:val="both"/>
      </w:pPr>
      <w:r>
        <w:rPr>
          <w:rFonts w:ascii="Times New Roman"/>
          <w:color w:val="000000"/>
          <w:sz w:val="24"/>
          <w:szCs w:val="24"/>
        </w:rPr>
        <w:t xml:space="preserve">La verificación sobre GitHub establece que </w:t>
      </w:r>
      <w:r>
        <w:rPr>
          <w:rFonts w:ascii="Times New Roman"/>
          <w:b/>
          <w:bCs/>
          <w:color w:val="000000"/>
          <w:sz w:val="24"/>
          <w:szCs w:val="24"/>
        </w:rPr>
        <w:t xml:space="preserve">main está encabezado por el commit de fusión del PR #1424</w:t>
      </w:r>
      <w:r>
        <w:rPr>
          <w:rFonts w:ascii="Times New Roman"/>
          <w:color w:val="000000"/>
          <w:sz w:val="24"/>
          <w:szCs w:val="24"/>
        </w:rPr>
        <w:t xml:space="preserve">, confirmado tanto por git como por la API. El historial muestra la secuencia completa de la sesión del 19 de octubre: primero se fusionó el PR #1422 (política temporal de extremo a extremo, misión 2026-10-18) y dos minutos después el PR #1424 (corrección CP-SEC-027). Ambos PR constan como cerrados con estado merged=true en la API, de modo que ninguna acción de fusión queda pendiente y, conforme a la instrucción recibida, no debe repetirse ningún merge.</w:t>
      </w:r>
    </w:p>
    <w:p>
      <w:pPr>
        <w:spacing w:after="120" w:line="312"/>
        <w:jc w:val="both"/>
      </w:pPr>
      <w:r>
        <w:rPr>
          <w:rFonts w:ascii="Times New Roman"/>
          <w:color w:val="000000"/>
          <w:sz w:val="24"/>
          <w:szCs w:val="24"/>
        </w:rPr>
        <w:t xml:space="preserve">El PR #1424, mencionado en informes anteriores como inexistente, existe y contiene la corrección completa con alcance exclusivo: dieciséis archivos que suman la migración SQL, los dos únicos consumidores anon migrados a las vistas, la prueba de integración de 26 invariantes, el script de verificación post-migración y el dossier de evidencia con diez capturas en crudo. Su rama de origen (fix/cp-sec-027-catalogo-publico) fue creada desde main, con cero archivos en común con el PR #1422, cumpliendo el criterio de ubicación independiente exigido por la instrucción operativa DT-03. El único pull request abierto restante es el #1423 (centro de control de fechas de trabajo), que permanece fuera del alcance de esta recuperación y no fue tocado.</w:t>
      </w:r>
    </w:p>
    <w:p>
      <w:pPr>
        <w:spacing w:after="60" w:line="312"/>
        <w:jc w:val="both"/>
      </w:pPr>
      <w:r>
        <w:rPr>
          <w:rFonts w:ascii="Times New Roman"/>
          <w:color w:val="000000"/>
          <w:sz w:val="24"/>
          <w:szCs w:val="24"/>
        </w:rPr>
        <w:t xml:space="preserve">La integración continua del commit definitivo de main (98e0d31e) está verde: las cinco verificaciones constan completadas, con Security Audit, TypeCheck+Lint+Unit+Build y Unit &amp; Integration Tests en estado success, y las ejecuciones de E2E omitidas conforme a la configuración habitual del repositorio. La Tabla 1 resume los identificadores exactos verificados.</w:t>
      </w:r>
    </w:p>
    <w:p>
      <w:pPr>
        <w:keepNext/>
        <w:spacing w:after="80" w:before="200" w:line="312"/>
        <w:jc w:val="left"/>
      </w:pPr>
      <w:r>
        <w:rPr>
          <w:rFonts w:ascii="Times New Roman"/>
          <w:b/>
          <w:bCs/>
          <w:color w:val="162235"/>
          <w:sz w:val="21"/>
          <w:szCs w:val="21"/>
        </w:rPr>
        <w:t xml:space="preserve">Tabla 1: Identificadores verificables sobre GitHub (2026-10-19)</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2812"/>
        <w:gridCol w:w="5976"/>
      </w:tblGrid>
      <w:tr>
        <w:trPr>
          <w:cantSplit/>
          <w:tblHeader/>
        </w:trPr>
        <w:tc>
          <w:tcPr>
            <w:tcW w:type="pct" w:w="1600"/>
            <w:shd w:fill="1B6B7A" w:val="clear"/>
            <w:tcMar>
              <w:top w:type="dxa" w:w="60"/>
              <w:left w:type="dxa" w:w="120"/>
              <w:bottom w:type="dxa" w:w="60"/>
              <w:right w:type="dxa" w:w="120"/>
            </w:tcMar>
          </w:tcPr>
          <w:p>
            <w:pPr>
              <w:spacing w:line="312"/>
              <w:jc w:val="left"/>
            </w:pPr>
            <w:r>
              <w:rPr>
                <w:rFonts w:ascii="Times New Roman"/>
                <w:b/>
                <w:bCs/>
                <w:color w:val="FFFFFF"/>
                <w:sz w:val="21"/>
                <w:szCs w:val="21"/>
              </w:rPr>
              <w:t xml:space="preserve">Elemento</w:t>
            </w:r>
          </w:p>
        </w:tc>
        <w:tc>
          <w:tcPr>
            <w:tcW w:type="pct" w:w="3400"/>
            <w:shd w:fill="1B6B7A" w:val="clear"/>
            <w:tcMar>
              <w:top w:type="dxa" w:w="60"/>
              <w:left w:type="dxa" w:w="120"/>
              <w:bottom w:type="dxa" w:w="60"/>
              <w:right w:type="dxa" w:w="120"/>
            </w:tcMar>
          </w:tcPr>
          <w:p>
            <w:pPr>
              <w:spacing w:line="312"/>
              <w:jc w:val="left"/>
            </w:pPr>
            <w:r>
              <w:rPr>
                <w:rFonts w:ascii="Times New Roman"/>
                <w:b/>
                <w:bCs/>
                <w:color w:val="FFFFFF"/>
                <w:sz w:val="21"/>
                <w:szCs w:val="21"/>
              </w:rPr>
              <w:t xml:space="preserve">Valor verificado</w:t>
            </w:r>
          </w:p>
        </w:tc>
      </w:tr>
      <w:tr>
        <w:trPr>
          <w:cantSplit/>
        </w:trPr>
        <w:tc>
          <w:tcPr>
            <w:tcW w:type="pct" w:w="1600"/>
            <w:tcMar>
              <w:top w:type="dxa" w:w="60"/>
              <w:left w:type="dxa" w:w="120"/>
              <w:bottom w:type="dxa" w:w="60"/>
              <w:right w:type="dxa" w:w="120"/>
            </w:tcMar>
          </w:tcPr>
          <w:p>
            <w:pPr>
              <w:spacing w:line="312"/>
              <w:jc w:val="left"/>
            </w:pPr>
            <w:r>
              <w:rPr>
                <w:rFonts w:ascii="Times New Roman"/>
                <w:b/>
                <w:bCs/>
                <w:color w:val="000000"/>
                <w:sz w:val="21"/>
                <w:szCs w:val="21"/>
              </w:rPr>
              <w:t xml:space="preserve">SHA de main (HEAD)</w:t>
            </w:r>
          </w:p>
        </w:tc>
        <w:tc>
          <w:tcPr>
            <w:tcW w:type="pct" w:w="34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98e0d31e25005a6f657bef1e6b56989f203f560a</w:t>
            </w:r>
          </w:p>
        </w:tc>
      </w:tr>
      <w:tr>
        <w:trPr>
          <w:cantSplit/>
        </w:trPr>
        <w:tc>
          <w:tcPr>
            <w:tcW w:type="pct" w:w="1600"/>
            <w:shd w:fill="EDF3F5" w:val="clear"/>
            <w:tcMar>
              <w:top w:type="dxa" w:w="60"/>
              <w:left w:type="dxa" w:w="120"/>
              <w:bottom w:type="dxa" w:w="60"/>
              <w:right w:type="dxa" w:w="120"/>
            </w:tcMar>
          </w:tcPr>
          <w:p>
            <w:pPr>
              <w:spacing w:line="312"/>
              <w:jc w:val="left"/>
            </w:pPr>
            <w:r>
              <w:rPr>
                <w:rFonts w:ascii="Times New Roman"/>
                <w:b/>
                <w:bCs/>
                <w:color w:val="000000"/>
                <w:sz w:val="21"/>
                <w:szCs w:val="21"/>
              </w:rPr>
              <w:t xml:space="preserve">Merge del PR #1422</w:t>
            </w:r>
          </w:p>
        </w:tc>
        <w:tc>
          <w:tcPr>
            <w:tcW w:type="pct" w:w="3400"/>
            <w:shd w:fill="EDF3F5" w:val="clear"/>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15eebf46bdd394ddd4bb314d149257838c1340ba (2026-10-19T10:49:53Z, merged=true)</w:t>
            </w:r>
          </w:p>
        </w:tc>
      </w:tr>
      <w:tr>
        <w:trPr>
          <w:cantSplit/>
        </w:trPr>
        <w:tc>
          <w:tcPr>
            <w:tcW w:type="pct" w:w="1600"/>
            <w:tcMar>
              <w:top w:type="dxa" w:w="60"/>
              <w:left w:type="dxa" w:w="120"/>
              <w:bottom w:type="dxa" w:w="60"/>
              <w:right w:type="dxa" w:w="120"/>
            </w:tcMar>
          </w:tcPr>
          <w:p>
            <w:pPr>
              <w:spacing w:line="312"/>
              <w:jc w:val="left"/>
            </w:pPr>
            <w:r>
              <w:rPr>
                <w:rFonts w:ascii="Times New Roman"/>
                <w:b/>
                <w:bCs/>
                <w:color w:val="000000"/>
                <w:sz w:val="21"/>
                <w:szCs w:val="21"/>
              </w:rPr>
              <w:t xml:space="preserve">Merge del PR #1424</w:t>
            </w:r>
          </w:p>
        </w:tc>
        <w:tc>
          <w:tcPr>
            <w:tcW w:type="pct" w:w="34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98e0d31e25005a6f657bef1e6b56989f203f560a (2026-10-19T10:51:49Z, merged=true)</w:t>
            </w:r>
          </w:p>
        </w:tc>
      </w:tr>
      <w:tr>
        <w:trPr>
          <w:cantSplit/>
        </w:trPr>
        <w:tc>
          <w:tcPr>
            <w:tcW w:type="pct" w:w="1600"/>
            <w:shd w:fill="EDF3F5" w:val="clear"/>
            <w:tcMar>
              <w:top w:type="dxa" w:w="60"/>
              <w:left w:type="dxa" w:w="120"/>
              <w:bottom w:type="dxa" w:w="60"/>
              <w:right w:type="dxa" w:w="120"/>
            </w:tcMar>
          </w:tcPr>
          <w:p>
            <w:pPr>
              <w:spacing w:line="312"/>
              <w:jc w:val="left"/>
            </w:pPr>
            <w:r>
              <w:rPr>
                <w:rFonts w:ascii="Times New Roman"/>
                <w:b/>
                <w:bCs/>
                <w:color w:val="000000"/>
                <w:sz w:val="21"/>
                <w:szCs w:val="21"/>
              </w:rPr>
              <w:t xml:space="preserve">PR #1424 rama base</w:t>
            </w:r>
          </w:p>
        </w:tc>
        <w:tc>
          <w:tcPr>
            <w:tcW w:type="pct" w:w="3400"/>
            <w:shd w:fill="EDF3F5" w:val="clear"/>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fix/cp-sec-027-catalogo-publico, creadada desde main, 16 archivos</w:t>
            </w:r>
          </w:p>
        </w:tc>
      </w:tr>
      <w:tr>
        <w:trPr>
          <w:cantSplit/>
        </w:trPr>
        <w:tc>
          <w:tcPr>
            <w:tcW w:type="pct" w:w="1600"/>
            <w:tcMar>
              <w:top w:type="dxa" w:w="60"/>
              <w:left w:type="dxa" w:w="120"/>
              <w:bottom w:type="dxa" w:w="60"/>
              <w:right w:type="dxa" w:w="120"/>
            </w:tcMar>
          </w:tcPr>
          <w:p>
            <w:pPr>
              <w:spacing w:line="312"/>
              <w:jc w:val="left"/>
            </w:pPr>
            <w:r>
              <w:rPr>
                <w:rFonts w:ascii="Times New Roman"/>
                <w:b/>
                <w:bCs/>
                <w:color w:val="000000"/>
                <w:sz w:val="21"/>
                <w:szCs w:val="21"/>
              </w:rPr>
              <w:t xml:space="preserve">PR abierto</w:t>
            </w:r>
          </w:p>
        </w:tc>
        <w:tc>
          <w:tcPr>
            <w:tcW w:type="pct" w:w="34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#1423 — feat: Centro de control de fechas de trabajo (único abierto)</w:t>
            </w:r>
          </w:p>
        </w:tc>
      </w:tr>
      <w:tr>
        <w:trPr>
          <w:cantSplit/>
        </w:trPr>
        <w:tc>
          <w:tcPr>
            <w:tcW w:type="pct" w:w="1600"/>
            <w:shd w:fill="EDF3F5" w:val="clear"/>
            <w:tcMar>
              <w:top w:type="dxa" w:w="60"/>
              <w:left w:type="dxa" w:w="120"/>
              <w:bottom w:type="dxa" w:w="60"/>
              <w:right w:type="dxa" w:w="120"/>
            </w:tcMar>
          </w:tcPr>
          <w:p>
            <w:pPr>
              <w:spacing w:line="312"/>
              <w:jc w:val="left"/>
            </w:pPr>
            <w:r>
              <w:rPr>
                <w:rFonts w:ascii="Times New Roman"/>
                <w:b/>
                <w:bCs/>
                <w:color w:val="000000"/>
                <w:sz w:val="21"/>
                <w:szCs w:val="21"/>
              </w:rPr>
              <w:t xml:space="preserve">CI en main</w:t>
            </w:r>
          </w:p>
        </w:tc>
        <w:tc>
          <w:tcPr>
            <w:tcW w:type="pct" w:w="3400"/>
            <w:shd w:fill="EDF3F5" w:val="clear"/>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5/5 completadas: Security Audit success; TypeCheck+Lint+Unit+Build success; Unit &amp; Integration success; E2E skipped</w:t>
            </w:r>
          </w:p>
        </w:tc>
      </w:tr>
    </w:tbl>
    <w:p>
      <w:pPr>
        <w:pStyle w:val="Heading1"/>
        <w:spacing w:after="160" w:before="360" w:line="312"/>
      </w:pPr>
      <w:bookmarkStart w:name="_Toc3" w:id="3"/>
      <w:r>
        <w:rPr>
          <w:rFonts w:ascii="Times New Roman" w:eastAsia="SimHei"/>
          <w:b/>
          <w:bCs/>
          <w:color w:val="162235"/>
          <w:sz w:val="32"/>
          <w:szCs w:val="32"/>
        </w:rPr>
        <w:t xml:space="preserve">3. Migraciones 20261018000000 y 20261019000001: GitHub frente a producción</w:t>
      </w:r>
      <w:bookmarkEnd w:id="3"/>
    </w:p>
    <w:p>
      <w:pPr>
        <w:pStyle w:val="Heading2"/>
        <w:spacing w:after="120" w:before="240" w:line="312"/>
      </w:pPr>
      <w:bookmarkStart w:name="_Toc4" w:id="4"/>
      <w:r>
        <w:rPr>
          <w:rFonts w:ascii="Times New Roman" w:eastAsia="SimHei"/>
          <w:b/>
          <w:bCs/>
          <w:color w:val="162235"/>
          <w:sz w:val="28"/>
          <w:szCs w:val="28"/>
        </w:rPr>
        <w:t xml:space="preserve">3.1 Registro de migraciones: no es indicador fiable</w:t>
      </w:r>
      <w:bookmarkEnd w:id="4"/>
    </w:p>
    <w:p>
      <w:pPr>
        <w:spacing w:after="120" w:line="312"/>
        <w:jc w:val="both"/>
      </w:pPr>
      <w:r>
        <w:rPr>
          <w:rFonts w:ascii="Times New Roman"/>
          <w:color w:val="000000"/>
          <w:sz w:val="24"/>
          <w:szCs w:val="24"/>
        </w:rPr>
        <w:t xml:space="preserve">Ambas migraciones existen como archivos en main: </w:t>
      </w:r>
      <w:r>
        <w:rPr>
          <w:rFonts w:ascii="Times New Roman"/>
          <w:b/>
          <w:bCs/>
          <w:color w:val="000000"/>
          <w:sz w:val="24"/>
          <w:szCs w:val="24"/>
        </w:rPr>
        <w:t xml:space="preserve">20261018000000_politica_temporal_coherente.sql</w:t>
      </w:r>
      <w:r>
        <w:rPr>
          <w:rFonts w:ascii="Times New Roman"/>
          <w:color w:val="000000"/>
          <w:sz w:val="24"/>
          <w:szCs w:val="24"/>
        </w:rPr>
        <w:t xml:space="preserve"> (del PR #1422) y </w:t>
      </w:r>
      <w:r>
        <w:rPr>
          <w:rFonts w:ascii="Times New Roman"/>
          <w:b/>
          <w:bCs/>
          <w:color w:val="000000"/>
          <w:sz w:val="24"/>
          <w:szCs w:val="24"/>
        </w:rPr>
        <w:t xml:space="preserve">20261019000001_cp_sec_027_catalogo_publico.sql</w:t>
      </w:r>
      <w:r>
        <w:rPr>
          <w:rFonts w:ascii="Times New Roman"/>
          <w:color w:val="000000"/>
          <w:sz w:val="24"/>
          <w:szCs w:val="24"/>
        </w:rPr>
        <w:t xml:space="preserve"> (del PR #1424). Ninguna de las dos consta en el registro supabase_migrations.schema_migrations de la base de datos viva, cuyo último asiento es 20260615000003, de junio de 2026. Ese registro está históricamente desactualizado porque el proyecto tiene un historial documentado de DDL aplicado fuera de banda (la propia política de variantes publicas existía solo en la base de datos, sin representación en migraciones). Por esa razón, el diagnóstico no dependió del registro: se verificó cada migración por su comportamiento observable en la base de datos.</w:t>
      </w:r>
    </w:p>
    <w:p>
      <w:pPr>
        <w:pStyle w:val="Heading2"/>
        <w:spacing w:after="120" w:before="240" w:line="312"/>
      </w:pPr>
      <w:bookmarkStart w:name="_Toc5" w:id="5"/>
      <w:r>
        <w:rPr>
          <w:rFonts w:ascii="Times New Roman" w:eastAsia="SimHei"/>
          <w:b/>
          <w:bCs/>
          <w:color w:val="162235"/>
          <w:sz w:val="28"/>
          <w:szCs w:val="28"/>
        </w:rPr>
        <w:t xml:space="preserve">3.2 Verificación por comportamiento: ninguna está aplicada</w:t>
      </w:r>
      <w:bookmarkEnd w:id="5"/>
    </w:p>
    <w:p>
      <w:pPr>
        <w:spacing w:after="120" w:line="312"/>
        <w:jc w:val="both"/>
      </w:pPr>
      <w:r>
        <w:rPr>
          <w:rFonts w:ascii="Times New Roman"/>
          <w:color w:val="000000"/>
          <w:sz w:val="24"/>
          <w:szCs w:val="24"/>
        </w:rPr>
        <w:t xml:space="preserve">Para 20261018000000 se interrogó el cuerpo vivo de la función validate_operation_date mediante pg_get_functiondef. El cuerpo vigente mantiene el tope superior antiguo (v_max_date_business := v_today_business + INTERVAL '1 day', es decir, mañana) y carece del marcador de la misión 2026-10-18; por tanto, el gate temporal reforzado del PR #1422 </w:t>
      </w:r>
      <w:r>
        <w:rPr>
          <w:rFonts w:ascii="Times New Roman"/>
          <w:b/>
          <w:bCs/>
          <w:color w:val="000000"/>
          <w:sz w:val="24"/>
          <w:szCs w:val="24"/>
        </w:rPr>
        <w:t xml:space="preserve">no está aplicado</w:t>
      </w:r>
      <w:r>
        <w:rPr>
          <w:rFonts w:ascii="Times New Roman"/>
          <w:color w:val="000000"/>
          <w:sz w:val="24"/>
          <w:szCs w:val="24"/>
        </w:rPr>
        <w:t xml:space="preserve"> y la base de datos sigue aceptando fechas de mañana por llamadas RPC directas (las rutas de aplicación ya lo impiden desde antes del merge). Para 20261019000001, las tres vistas public_catalog_v, public_storefronts_v y public_variants_v no existen en la base de datos (PostgREST responde 404), las dos políticas anon de tabla (products_public_read_anon y stores_select_anon) siguen vivas, la política de variantes sigue incluyendo a anon, y los tres privilegios SELECT de anon sobre products, stores y product_variants siguen concedidos. En conjunto: </w:t>
      </w:r>
      <w:r>
        <w:rPr>
          <w:rFonts w:ascii="Times New Roman"/>
          <w:b/>
          <w:bCs/>
          <w:color w:val="000000"/>
          <w:sz w:val="24"/>
          <w:szCs w:val="24"/>
        </w:rPr>
        <w:t xml:space="preserve">la migración CP-SEC-027 no está aplicada</w:t>
      </w:r>
      <w:r>
        <w:rPr>
          <w:rFonts w:ascii="Times New Roman"/>
          <w:color w:val="000000"/>
          <w:sz w:val="24"/>
          <w:szCs w:val="24"/>
        </w:rPr>
        <w:t xml:space="preserve">.</w:t>
      </w:r>
    </w:p>
    <w:p>
      <w:pPr>
        <w:spacing w:after="60" w:line="312"/>
        <w:jc w:val="both"/>
      </w:pPr>
      <w:r>
        <w:rPr>
          <w:rFonts w:ascii="Times New Roman"/>
          <w:color w:val="000000"/>
          <w:sz w:val="24"/>
          <w:szCs w:val="24"/>
        </w:rPr>
        <w:t xml:space="preserve">La prueba efectiva con la clave publishable desde el exterior confirma que la exposición documentada en la evidencia pre-fix refleja el estado actual y no una línea base caducada: el endpoint de products devuelve HTTP 200 con cost_average legible en </w:t>
      </w:r>
      <w:r>
        <w:rPr>
          <w:rFonts w:ascii="Times New Roman"/>
          <w:b/>
          <w:bCs/>
          <w:color w:val="000000"/>
          <w:sz w:val="24"/>
          <w:szCs w:val="24"/>
        </w:rPr>
        <w:t xml:space="preserve">103 de 103 productos públicos con costo distinto de cero</w:t>
      </w:r>
      <w:r>
        <w:rPr>
          <w:rFonts w:ascii="Times New Roman"/>
          <w:color w:val="000000"/>
          <w:sz w:val="24"/>
          <w:szCs w:val="24"/>
        </w:rPr>
        <w:t xml:space="preserve">, el endpoint de stores devuelve HTTP 200 con tenant_id legible en 10 tiendas, y el script oficial de verificación del repositorio (scripts/cpsec027_post_migration_verify.js, re-ejecutado hoy en modo solo lectura) falla en los 18 de 18 checks, exactamente el estado pre-corrección que ese script fue diseñado para detectar. La Tabla 2 resume la separación entre los tres estados independientes.</w:t>
      </w:r>
    </w:p>
    <w:p>
      <w:pPr>
        <w:keepNext/>
        <w:spacing w:after="80" w:before="200" w:line="312"/>
        <w:jc w:val="left"/>
      </w:pPr>
      <w:r>
        <w:rPr>
          <w:rFonts w:ascii="Times New Roman"/>
          <w:b/>
          <w:bCs/>
          <w:color w:val="162235"/>
          <w:sz w:val="21"/>
          <w:szCs w:val="21"/>
        </w:rPr>
        <w:t xml:space="preserve">Tabla 2: Tres estados independientes, verificados el 2026-10-19</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2461"/>
        <w:gridCol w:w="3164"/>
        <w:gridCol w:w="3164"/>
      </w:tblGrid>
      <w:tr>
        <w:trPr>
          <w:cantSplit/>
          <w:tblHeader/>
        </w:trPr>
        <w:tc>
          <w:tcPr>
            <w:tcW w:type="pct" w:w="1400"/>
            <w:shd w:fill="1B6B7A" w:val="clear"/>
            <w:tcMar>
              <w:top w:type="dxa" w:w="60"/>
              <w:left w:type="dxa" w:w="120"/>
              <w:bottom w:type="dxa" w:w="60"/>
              <w:right w:type="dxa" w:w="120"/>
            </w:tcMar>
          </w:tcPr>
          <w:p>
            <w:pPr>
              <w:spacing w:line="312"/>
              <w:jc w:val="left"/>
            </w:pPr>
            <w:r>
              <w:rPr>
                <w:rFonts w:ascii="Times New Roman"/>
                <w:b/>
                <w:bCs/>
                <w:color w:val="FFFFFF"/>
                <w:sz w:val="21"/>
                <w:szCs w:val="21"/>
              </w:rPr>
              <w:t xml:space="preserve">Estado</w:t>
            </w:r>
          </w:p>
        </w:tc>
        <w:tc>
          <w:tcPr>
            <w:tcW w:type="pct" w:w="1800"/>
            <w:shd w:fill="1B6B7A" w:val="clear"/>
            <w:tcMar>
              <w:top w:type="dxa" w:w="60"/>
              <w:left w:type="dxa" w:w="120"/>
              <w:bottom w:type="dxa" w:w="60"/>
              <w:right w:type="dxa" w:w="120"/>
            </w:tcMar>
          </w:tcPr>
          <w:p>
            <w:pPr>
              <w:spacing w:line="312"/>
              <w:jc w:val="left"/>
            </w:pPr>
            <w:r>
              <w:rPr>
                <w:rFonts w:ascii="Times New Roman"/>
                <w:b/>
                <w:bCs/>
                <w:color w:val="FFFFFF"/>
                <w:sz w:val="21"/>
                <w:szCs w:val="21"/>
              </w:rPr>
              <w:t xml:space="preserve">PR #1422 (gate temporal)</w:t>
            </w:r>
          </w:p>
        </w:tc>
        <w:tc>
          <w:tcPr>
            <w:tcW w:type="pct" w:w="1800"/>
            <w:shd w:fill="1B6B7A" w:val="clear"/>
            <w:tcMar>
              <w:top w:type="dxa" w:w="60"/>
              <w:left w:type="dxa" w:w="120"/>
              <w:bottom w:type="dxa" w:w="60"/>
              <w:right w:type="dxa" w:w="120"/>
            </w:tcMar>
          </w:tcPr>
          <w:p>
            <w:pPr>
              <w:spacing w:line="312"/>
              <w:jc w:val="left"/>
            </w:pPr>
            <w:r>
              <w:rPr>
                <w:rFonts w:ascii="Times New Roman"/>
                <w:b/>
                <w:bCs/>
                <w:color w:val="FFFFFF"/>
                <w:sz w:val="21"/>
                <w:szCs w:val="21"/>
              </w:rPr>
              <w:t xml:space="preserve">PR #1424 (CP-SEC-027)</w:t>
            </w:r>
          </w:p>
        </w:tc>
      </w:tr>
      <w:tr>
        <w:trPr>
          <w:cantSplit/>
        </w:trPr>
        <w:tc>
          <w:tcPr>
            <w:tcW w:type="pct" w:w="1400"/>
            <w:tcMar>
              <w:top w:type="dxa" w:w="60"/>
              <w:left w:type="dxa" w:w="120"/>
              <w:bottom w:type="dxa" w:w="60"/>
              <w:right w:type="dxa" w:w="120"/>
            </w:tcMar>
          </w:tcPr>
          <w:p>
            <w:pPr>
              <w:spacing w:line="312"/>
              <w:jc w:val="left"/>
            </w:pPr>
            <w:r>
              <w:rPr>
                <w:rFonts w:ascii="Times New Roman"/>
                <w:b/>
                <w:bCs/>
                <w:color w:val="000000"/>
                <w:sz w:val="21"/>
                <w:szCs w:val="21"/>
              </w:rPr>
              <w:t xml:space="preserve">PR fusionado en GitHub</w:t>
            </w:r>
          </w:p>
        </w:tc>
        <w:tc>
          <w:tcPr>
            <w:tcW w:type="pct" w:w="18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SÍ — 15eebf46b, 10:49:53Z</w:t>
            </w:r>
          </w:p>
        </w:tc>
        <w:tc>
          <w:tcPr>
            <w:tcW w:type="pct" w:w="18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SÍ — 98e0d31e, 10:51:49Z</w:t>
            </w:r>
          </w:p>
        </w:tc>
      </w:tr>
      <w:tr>
        <w:trPr>
          <w:cantSplit/>
        </w:trPr>
        <w:tc>
          <w:tcPr>
            <w:tcW w:type="pct" w:w="1400"/>
            <w:shd w:fill="EDF3F5" w:val="clear"/>
            <w:tcMar>
              <w:top w:type="dxa" w:w="60"/>
              <w:left w:type="dxa" w:w="120"/>
              <w:bottom w:type="dxa" w:w="60"/>
              <w:right w:type="dxa" w:w="120"/>
            </w:tcMar>
          </w:tcPr>
          <w:p>
            <w:pPr>
              <w:spacing w:line="312"/>
              <w:jc w:val="left"/>
            </w:pPr>
            <w:r>
              <w:rPr>
                <w:rFonts w:ascii="Times New Roman"/>
                <w:b/>
                <w:bCs/>
                <w:color w:val="000000"/>
                <w:sz w:val="21"/>
                <w:szCs w:val="21"/>
              </w:rPr>
              <w:t xml:space="preserve">Migración aplicada en BD viva</w:t>
            </w:r>
          </w:p>
        </w:tc>
        <w:tc>
          <w:tcPr>
            <w:tcW w:type="pct" w:w="1800"/>
            <w:shd w:fill="EDF3F5" w:val="clear"/>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NO — cuerpo viejo hoy+1 vigente</w:t>
            </w:r>
          </w:p>
        </w:tc>
        <w:tc>
          <w:tcPr>
            <w:tcW w:type="pct" w:w="1800"/>
            <w:shd w:fill="EDF3F5" w:val="clear"/>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NO — vistas inexistentes, policies y grants vivos</w:t>
            </w:r>
          </w:p>
        </w:tc>
      </w:tr>
      <w:tr>
        <w:trPr>
          <w:cantSplit/>
        </w:trPr>
        <w:tc>
          <w:tcPr>
            <w:tcW w:type="pct" w:w="1400"/>
            <w:tcMar>
              <w:top w:type="dxa" w:w="60"/>
              <w:left w:type="dxa" w:w="120"/>
              <w:bottom w:type="dxa" w:w="60"/>
              <w:right w:type="dxa" w:w="120"/>
            </w:tcMar>
          </w:tcPr>
          <w:p>
            <w:pPr>
              <w:spacing w:line="312"/>
              <w:jc w:val="left"/>
            </w:pPr>
            <w:r>
              <w:rPr>
                <w:rFonts w:ascii="Times New Roman"/>
                <w:b/>
                <w:bCs/>
                <w:color w:val="000000"/>
                <w:sz w:val="21"/>
                <w:szCs w:val="21"/>
              </w:rPr>
              <w:t xml:space="preserve">Corrección verificada en producción</w:t>
            </w:r>
          </w:p>
        </w:tc>
        <w:tc>
          <w:tcPr>
            <w:tcW w:type="pct" w:w="18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NO verificada (gate RPC ausente)</w:t>
            </w:r>
          </w:p>
        </w:tc>
        <w:tc>
          <w:tcPr>
            <w:tcW w:type="pct" w:w="18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NO — 18/18 fallos; 103/103 costos legibles por anon</w:t>
            </w:r>
          </w:p>
        </w:tc>
      </w:tr>
    </w:tbl>
    <w:p>
      <w:pPr>
        <w:pStyle w:val="Heading1"/>
        <w:spacing w:after="160" w:before="360" w:line="312"/>
      </w:pPr>
      <w:bookmarkStart w:name="_Toc6" w:id="6"/>
      <w:r>
        <w:rPr>
          <w:rFonts w:ascii="Times New Roman" w:eastAsia="SimHei"/>
          <w:b/>
          <w:bCs/>
          <w:color w:val="162235"/>
          <w:sz w:val="32"/>
          <w:szCs w:val="32"/>
        </w:rPr>
        <w:t xml:space="preserve">4. Código y evidencia de CP-SEC-027 recuperados</w:t>
      </w:r>
      <w:bookmarkEnd w:id="6"/>
    </w:p>
    <w:p>
      <w:pPr>
        <w:spacing w:after="120" w:line="312"/>
        <w:jc w:val="both"/>
      </w:pPr>
      <w:r>
        <w:rPr>
          <w:rFonts w:ascii="Times New Roman"/>
          <w:color w:val="000000"/>
          <w:sz w:val="24"/>
          <w:szCs w:val="24"/>
        </w:rPr>
        <w:t xml:space="preserve">La evaluación de integridad del código fusionado (Fase 3 de la instrucción) confirma que la solución está completa y es compatible. La migración 20261019000001 (238 líneas) crea las tres vistas con security_barrier que exponen únicamente columnas de presentación: public_catalog_v (productos públicos sin cost_average, cost_price, precio_empresa, supplier, min_stock ni tenant_id), public_storefronts_v (tiendas sin tenant_id, bank_account, nit, ni campos de firma) y public_variants_v (variantes sin precio_empresa, además más estricta que la política anterior al exigir que el producto padre esté activo). La retirada es triple: supresión de las políticas anon de tabla, recreación de la política de variantes solo para authenticated con el mismo predicado, y revocación de SELECT sobre las tablas como defensa en profundidad. El propio archivo documenta el procedimiento de reversión completo y un despliegue recomendado en tres fases.</w:t>
      </w:r>
    </w:p>
    <w:p>
      <w:pPr>
        <w:spacing w:after="120" w:line="312"/>
        <w:jc w:val="both"/>
      </w:pPr>
      <w:r>
        <w:rPr>
          <w:rFonts w:ascii="Times New Roman"/>
          <w:color w:val="000000"/>
          <w:sz w:val="24"/>
          <w:szCs w:val="24"/>
        </w:rPr>
        <w:t xml:space="preserve">Los dos únicos consumidores anon del catálogo están migrados a las vistas en main: la vitrina SSR (src/app/tienda/[slug]/page.tsx, cinco referencias a las vistas) y la API pública de vitrina (src/app/api/storefront/[slug]/route.ts, cuatro referencias). Con ello desaparece también el fetch de costos al servidor que la vitrina hacía antes de la corrección (mitigado antes solo por el mapeo del cliente) y se corrigen de paso dos fallos silenciosos previos (el stock que siempre devolvía cero y el filtro de variantes sobre una columna inexistente). El paquete de pruebas es verificable en el repositorio: la prueba de integración cpsec027-public-catalog.test.ts de 26 invariantes, la suite completa de 3196 pruebas aprobadas sin fallos en el momento del PR, y el contrato de seguridad estático sin divergencias.</w:t>
      </w:r>
    </w:p>
    <w:p>
      <w:pPr>
        <w:spacing w:after="60" w:line="312"/>
        <w:jc w:val="both"/>
      </w:pPr>
      <w:r>
        <w:rPr>
          <w:rFonts w:ascii="Times New Roman"/>
          <w:color w:val="000000"/>
          <w:sz w:val="24"/>
          <w:szCs w:val="24"/>
        </w:rPr>
        <w:t xml:space="preserve">La evidencia documental de DT-03 sobrevivió completa en GitHub: el informe de la matriz de acceso (30 perfiles, 43 memberships, 24 tiendas, 8 tenants), la clasificación de los 11 perfiles con tenant nulo, el </w:t>
      </w:r>
      <w:r>
        <w:rPr>
          <w:rFonts w:ascii="Times New Roman"/>
          <w:b/>
          <w:bCs/>
          <w:color w:val="000000"/>
          <w:sz w:val="24"/>
          <w:szCs w:val="24"/>
        </w:rPr>
        <w:t xml:space="preserve">dossier de autorización del backfill de david9999</w:t>
      </w:r>
      <w:r>
        <w:rPr>
          <w:rFonts w:ascii="Times New Roman"/>
          <w:color w:val="000000"/>
          <w:sz w:val="24"/>
          <w:szCs w:val="24"/>
        </w:rPr>
        <w:t xml:space="preserve"> con la fila exacta capturada, los valores anterior y nuevo, el SQL transaccional idempotente con audit_log en la misma transacción y el mecanismo de reversión que restaura el estado previo exacto, más las carpetas de evidencia de cobertura COGS y de conciliación de stock. El único artefacto perdido es el script ejecutor del backfill, referenciado por el dossier pero jamás impulsado a rama alguna; recrearlo es trivial porque el SQL completo e idempotente está en la sección 5 del dossier.</w:t>
      </w:r>
    </w:p>
    <w:p>
      <w:pPr>
        <w:keepNext/>
        <w:spacing w:after="80" w:before="200" w:line="312"/>
        <w:jc w:val="left"/>
      </w:pPr>
      <w:r>
        <w:rPr>
          <w:rFonts w:ascii="Times New Roman"/>
          <w:b/>
          <w:bCs/>
          <w:color w:val="162235"/>
          <w:sz w:val="21"/>
          <w:szCs w:val="21"/>
        </w:rPr>
        <w:t xml:space="preserve">Tabla 3: Inventario de recuperación de artefactos</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2988"/>
        <w:gridCol w:w="2636"/>
        <w:gridCol w:w="3164"/>
      </w:tblGrid>
      <w:tr>
        <w:trPr>
          <w:cantSplit/>
          <w:tblHeader/>
        </w:trPr>
        <w:tc>
          <w:tcPr>
            <w:tcW w:type="pct" w:w="1700"/>
            <w:shd w:fill="1B6B7A" w:val="clear"/>
            <w:tcMar>
              <w:top w:type="dxa" w:w="60"/>
              <w:left w:type="dxa" w:w="120"/>
              <w:bottom w:type="dxa" w:w="60"/>
              <w:right w:type="dxa" w:w="120"/>
            </w:tcMar>
          </w:tcPr>
          <w:p>
            <w:pPr>
              <w:spacing w:line="312"/>
              <w:jc w:val="left"/>
            </w:pPr>
            <w:r>
              <w:rPr>
                <w:rFonts w:ascii="Times New Roman"/>
                <w:b/>
                <w:bCs/>
                <w:color w:val="FFFFFF"/>
                <w:sz w:val="21"/>
                <w:szCs w:val="21"/>
              </w:rPr>
              <w:t xml:space="preserve">Artefacto</w:t>
            </w:r>
          </w:p>
        </w:tc>
        <w:tc>
          <w:tcPr>
            <w:tcW w:type="pct" w:w="1500"/>
            <w:shd w:fill="1B6B7A" w:val="clear"/>
            <w:tcMar>
              <w:top w:type="dxa" w:w="60"/>
              <w:left w:type="dxa" w:w="120"/>
              <w:bottom w:type="dxa" w:w="60"/>
              <w:right w:type="dxa" w:w="120"/>
            </w:tcMar>
          </w:tcPr>
          <w:p>
            <w:pPr>
              <w:spacing w:line="312"/>
              <w:jc w:val="left"/>
            </w:pPr>
            <w:r>
              <w:rPr>
                <w:rFonts w:ascii="Times New Roman"/>
                <w:b/>
                <w:bCs/>
                <w:color w:val="FFFFFF"/>
                <w:sz w:val="21"/>
                <w:szCs w:val="21"/>
              </w:rPr>
              <w:t xml:space="preserve">Estado</w:t>
            </w:r>
          </w:p>
        </w:tc>
        <w:tc>
          <w:tcPr>
            <w:tcW w:type="pct" w:w="1800"/>
            <w:shd w:fill="1B6B7A" w:val="clear"/>
            <w:tcMar>
              <w:top w:type="dxa" w:w="60"/>
              <w:left w:type="dxa" w:w="120"/>
              <w:bottom w:type="dxa" w:w="60"/>
              <w:right w:type="dxa" w:w="120"/>
            </w:tcMar>
          </w:tcPr>
          <w:p>
            <w:pPr>
              <w:spacing w:line="312"/>
              <w:jc w:val="left"/>
            </w:pPr>
            <w:r>
              <w:rPr>
                <w:rFonts w:ascii="Times New Roman"/>
                <w:b/>
                <w:bCs/>
                <w:color w:val="FFFFFF"/>
                <w:sz w:val="21"/>
                <w:szCs w:val="21"/>
              </w:rPr>
              <w:t xml:space="preserve">Ubicación</w:t>
            </w:r>
          </w:p>
        </w:tc>
      </w:tr>
      <w:tr>
        <w:trPr>
          <w:cantSplit/>
        </w:trPr>
        <w:tc>
          <w:tcPr>
            <w:tcW w:type="pct" w:w="1700"/>
            <w:tcMar>
              <w:top w:type="dxa" w:w="60"/>
              <w:left w:type="dxa" w:w="120"/>
              <w:bottom w:type="dxa" w:w="60"/>
              <w:right w:type="dxa" w:w="120"/>
            </w:tcMar>
          </w:tcPr>
          <w:p>
            <w:pPr>
              <w:spacing w:line="312"/>
              <w:jc w:val="left"/>
            </w:pPr>
            <w:r>
              <w:rPr>
                <w:rFonts w:ascii="Times New Roman"/>
                <w:b/>
                <w:bCs/>
                <w:color w:val="000000"/>
                <w:sz w:val="21"/>
                <w:szCs w:val="21"/>
              </w:rPr>
              <w:t xml:space="preserve">Migración CP-SEC-027 (20261019000001)</w:t>
            </w:r>
          </w:p>
        </w:tc>
        <w:tc>
          <w:tcPr>
            <w:tcW w:type="pct" w:w="15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RECUPERADO íntegro</w:t>
            </w:r>
          </w:p>
        </w:tc>
        <w:tc>
          <w:tcPr>
            <w:tcW w:type="pct" w:w="18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supabase/migrations/ en main</w:t>
            </w:r>
          </w:p>
        </w:tc>
      </w:tr>
      <w:tr>
        <w:trPr>
          <w:cantSplit/>
        </w:trPr>
        <w:tc>
          <w:tcPr>
            <w:tcW w:type="pct" w:w="1700"/>
            <w:shd w:fill="EDF3F5" w:val="clear"/>
            <w:tcMar>
              <w:top w:type="dxa" w:w="60"/>
              <w:left w:type="dxa" w:w="120"/>
              <w:bottom w:type="dxa" w:w="60"/>
              <w:right w:type="dxa" w:w="120"/>
            </w:tcMar>
          </w:tcPr>
          <w:p>
            <w:pPr>
              <w:spacing w:line="312"/>
              <w:jc w:val="left"/>
            </w:pPr>
            <w:r>
              <w:rPr>
                <w:rFonts w:ascii="Times New Roman"/>
                <w:b/>
                <w:bCs/>
                <w:color w:val="000000"/>
                <w:sz w:val="21"/>
                <w:szCs w:val="21"/>
              </w:rPr>
              <w:t xml:space="preserve">Consumidores anon (vitrina + API)</w:t>
            </w:r>
          </w:p>
        </w:tc>
        <w:tc>
          <w:tcPr>
            <w:tcW w:type="pct" w:w="1500"/>
            <w:shd w:fill="EDF3F5" w:val="clear"/>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RECUPERADOS, migrados a vistas</w:t>
            </w:r>
          </w:p>
        </w:tc>
        <w:tc>
          <w:tcPr>
            <w:tcW w:type="pct" w:w="1800"/>
            <w:shd w:fill="EDF3F5" w:val="clear"/>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src/app/tienda/[slug]/page.tsx; src/app/api/storefront/[slug]/route.ts</w:t>
            </w:r>
          </w:p>
        </w:tc>
      </w:tr>
      <w:tr>
        <w:trPr>
          <w:cantSplit/>
        </w:trPr>
        <w:tc>
          <w:tcPr>
            <w:tcW w:type="pct" w:w="1700"/>
            <w:tcMar>
              <w:top w:type="dxa" w:w="60"/>
              <w:left w:type="dxa" w:w="120"/>
              <w:bottom w:type="dxa" w:w="60"/>
              <w:right w:type="dxa" w:w="120"/>
            </w:tcMar>
          </w:tcPr>
          <w:p>
            <w:pPr>
              <w:spacing w:line="312"/>
              <w:jc w:val="left"/>
            </w:pPr>
            <w:r>
              <w:rPr>
                <w:rFonts w:ascii="Times New Roman"/>
                <w:b/>
                <w:bCs/>
                <w:color w:val="000000"/>
                <w:sz w:val="21"/>
                <w:szCs w:val="21"/>
              </w:rPr>
              <w:t xml:space="preserve">Prueba de integración 26 invariantes</w:t>
            </w:r>
          </w:p>
        </w:tc>
        <w:tc>
          <w:tcPr>
            <w:tcW w:type="pct" w:w="15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RECUPERADA, en CI verde</w:t>
            </w:r>
          </w:p>
        </w:tc>
        <w:tc>
          <w:tcPr>
            <w:tcW w:type="pct" w:w="18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src/__tests__/integration/cpsec027-public-catalog.test.ts</w:t>
            </w:r>
          </w:p>
        </w:tc>
      </w:tr>
      <w:tr>
        <w:trPr>
          <w:cantSplit/>
        </w:trPr>
        <w:tc>
          <w:tcPr>
            <w:tcW w:type="pct" w:w="1700"/>
            <w:shd w:fill="EDF3F5" w:val="clear"/>
            <w:tcMar>
              <w:top w:type="dxa" w:w="60"/>
              <w:left w:type="dxa" w:w="120"/>
              <w:bottom w:type="dxa" w:w="60"/>
              <w:right w:type="dxa" w:w="120"/>
            </w:tcMar>
          </w:tcPr>
          <w:p>
            <w:pPr>
              <w:spacing w:line="312"/>
              <w:jc w:val="left"/>
            </w:pPr>
            <w:r>
              <w:rPr>
                <w:rFonts w:ascii="Times New Roman"/>
                <w:b/>
                <w:bCs/>
                <w:color w:val="000000"/>
                <w:sz w:val="21"/>
                <w:szCs w:val="21"/>
              </w:rPr>
              <w:t xml:space="preserve">Script verificación post-migración</w:t>
            </w:r>
          </w:p>
        </w:tc>
        <w:tc>
          <w:tcPr>
            <w:tcW w:type="pct" w:w="1500"/>
            <w:shd w:fill="EDF3F5" w:val="clear"/>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RECUPERADO, re-ejecutado hoy (18/18 fallos)</w:t>
            </w:r>
          </w:p>
        </w:tc>
        <w:tc>
          <w:tcPr>
            <w:tcW w:type="pct" w:w="1800"/>
            <w:shd w:fill="EDF3F5" w:val="clear"/>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scripts/cpsec027_post_migration_verify.js</w:t>
            </w:r>
          </w:p>
        </w:tc>
      </w:tr>
      <w:tr>
        <w:trPr>
          <w:cantSplit/>
        </w:trPr>
        <w:tc>
          <w:tcPr>
            <w:tcW w:type="pct" w:w="1700"/>
            <w:tcMar>
              <w:top w:type="dxa" w:w="60"/>
              <w:left w:type="dxa" w:w="120"/>
              <w:bottom w:type="dxa" w:w="60"/>
              <w:right w:type="dxa" w:w="120"/>
            </w:tcMar>
          </w:tcPr>
          <w:p>
            <w:pPr>
              <w:spacing w:line="312"/>
              <w:jc w:val="left"/>
            </w:pPr>
            <w:r>
              <w:rPr>
                <w:rFonts w:ascii="Times New Roman"/>
                <w:b/>
                <w:bCs/>
                <w:color w:val="000000"/>
                <w:sz w:val="21"/>
                <w:szCs w:val="21"/>
              </w:rPr>
              <w:t xml:space="preserve">Dossier backfill david9999</w:t>
            </w:r>
          </w:p>
        </w:tc>
        <w:tc>
          <w:tcPr>
            <w:tcW w:type="pct" w:w="15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RECUPERADO íntegro (fila exacta + reversión)</w:t>
            </w:r>
          </w:p>
        </w:tc>
        <w:tc>
          <w:tcPr>
            <w:tcW w:type="pct" w:w="18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docs/audits/evidence/20261019-dt03-matriz-acceso/</w:t>
            </w:r>
          </w:p>
        </w:tc>
      </w:tr>
      <w:tr>
        <w:trPr>
          <w:cantSplit/>
        </w:trPr>
        <w:tc>
          <w:tcPr>
            <w:tcW w:type="pct" w:w="1700"/>
            <w:shd w:fill="EDF3F5" w:val="clear"/>
            <w:tcMar>
              <w:top w:type="dxa" w:w="60"/>
              <w:left w:type="dxa" w:w="120"/>
              <w:bottom w:type="dxa" w:w="60"/>
              <w:right w:type="dxa" w:w="120"/>
            </w:tcMar>
          </w:tcPr>
          <w:p>
            <w:pPr>
              <w:spacing w:line="312"/>
              <w:jc w:val="left"/>
            </w:pPr>
            <w:r>
              <w:rPr>
                <w:rFonts w:ascii="Times New Roman"/>
                <w:b/>
                <w:bCs/>
                <w:color w:val="000000"/>
                <w:sz w:val="21"/>
                <w:szCs w:val="21"/>
              </w:rPr>
              <w:t xml:space="preserve">Evidencia pre-fix CP-SEC-027 (10 capturas)</w:t>
            </w:r>
          </w:p>
        </w:tc>
        <w:tc>
          <w:tcPr>
            <w:tcW w:type="pct" w:w="1500"/>
            <w:shd w:fill="EDF3F5" w:val="clear"/>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RECUPERADA, refleja el estado vivo actual</w:t>
            </w:r>
          </w:p>
        </w:tc>
        <w:tc>
          <w:tcPr>
            <w:tcW w:type="pct" w:w="1800"/>
            <w:shd w:fill="EDF3F5" w:val="clear"/>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docs/audits/evidence/20261019-cp-sec-027-publico/</w:t>
            </w:r>
          </w:p>
        </w:tc>
      </w:tr>
      <w:tr>
        <w:trPr>
          <w:cantSplit/>
        </w:trPr>
        <w:tc>
          <w:tcPr>
            <w:tcW w:type="pct" w:w="1700"/>
            <w:tcMar>
              <w:top w:type="dxa" w:w="60"/>
              <w:left w:type="dxa" w:w="120"/>
              <w:bottom w:type="dxa" w:w="60"/>
              <w:right w:type="dxa" w:w="120"/>
            </w:tcMar>
          </w:tcPr>
          <w:p>
            <w:pPr>
              <w:spacing w:line="312"/>
              <w:jc w:val="left"/>
            </w:pPr>
            <w:r>
              <w:rPr>
                <w:rFonts w:ascii="Times New Roman"/>
                <w:b/>
                <w:bCs/>
                <w:color w:val="000000"/>
                <w:sz w:val="21"/>
                <w:szCs w:val="21"/>
              </w:rPr>
              <w:t xml:space="preserve">Script ejecutor del backfill</w:t>
            </w:r>
          </w:p>
        </w:tc>
        <w:tc>
          <w:tcPr>
            <w:tcW w:type="pct" w:w="15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PERDIDO (nunca pusheado); SQL recuperable del dossier §5</w:t>
            </w:r>
          </w:p>
        </w:tc>
        <w:tc>
          <w:tcPr>
            <w:tcW w:type="pct" w:w="18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scripts/dt03_backfill_david9999_execute.js (ausente)</w:t>
            </w:r>
          </w:p>
        </w:tc>
      </w:tr>
    </w:tbl>
    <w:p>
      <w:pPr>
        <w:pStyle w:val="Heading1"/>
        <w:spacing w:after="160" w:before="360" w:line="312"/>
      </w:pPr>
      <w:bookmarkStart w:name="_Toc7" w:id="7"/>
      <w:r>
        <w:rPr>
          <w:rFonts w:ascii="Times New Roman" w:eastAsia="SimHei"/>
          <w:b/>
          <w:bCs/>
          <w:color w:val="162235"/>
          <w:sz w:val="32"/>
          <w:szCs w:val="32"/>
        </w:rPr>
        <w:t xml:space="preserve">5. Riesgos de seguridad que continúan abiertos</w:t>
      </w:r>
      <w:bookmarkEnd w:id="7"/>
    </w:p>
    <w:p>
      <w:pPr>
        <w:spacing w:after="120" w:line="312"/>
        <w:jc w:val="both"/>
      </w:pPr>
      <w:r>
        <w:rPr>
          <w:rFonts w:ascii="Times New Roman"/>
          <w:b/>
          <w:bCs/>
          <w:color w:val="000000"/>
          <w:sz w:val="24"/>
          <w:szCs w:val="24"/>
        </w:rPr>
        <w:t xml:space="preserve">R1 — Exposición CP-SEC-027 activa (P1). </w:t>
      </w:r>
      <w:r>
        <w:rPr>
          <w:rFonts w:ascii="Times New Roman"/>
          <w:color w:val="000000"/>
          <w:sz w:val="24"/>
          <w:szCs w:val="24"/>
        </w:rPr>
        <w:t xml:space="preserve">Es el riesgo dominante y está verificado en vivo el día de hoy: cualquier poseedor de la clave publishable puede leer, vía PostgREST y sin sesión, el costo promedio ponderado real, el costo de adquisición, el precio de empresa, el proveedor y el stock mínimo de la totalidad de los 103 productos públicos, además del tenant_id y datos bancarios y fiscales de las 10 tiendas activas y el precio de empresa de las variantes. La corrección fusionada no mitiga nada mientras la migración no se aplique a la base de datos; el riesgo es de nivel base de datos y no depende del estado del servidor de aplicación, que tras el reinicio se encuentra apagado.</w:t>
      </w:r>
    </w:p>
    <w:p>
      <w:pPr>
        <w:spacing w:after="120" w:line="312"/>
        <w:jc w:val="both"/>
      </w:pPr>
      <w:r>
        <w:rPr>
          <w:rFonts w:ascii="Times New Roman"/>
          <w:b/>
          <w:bCs/>
          <w:color w:val="000000"/>
          <w:sz w:val="24"/>
          <w:szCs w:val="24"/>
        </w:rPr>
        <w:t xml:space="preserve">R2 — Acoplamiento operacional nuevo: el código de main requiere las vistas. </w:t>
      </w:r>
      <w:r>
        <w:rPr>
          <w:rFonts w:ascii="Times New Roman"/>
          <w:color w:val="000000"/>
          <w:sz w:val="24"/>
          <w:szCs w:val="24"/>
        </w:rPr>
        <w:t xml:space="preserve">Si el servidor pm2 se reinicia desde main sin aplicar antes la migración, la vitrina pública y la API de vitrina degradan a 404 para todas las tiendas (degradación elegante sin errores 500, ya documentada en la evidencia de humo del PR). La secuencia segura es la inversa: aplicar primero la fase aditiva de la migración (secciones 1 a 4: vistas y grants, sin impacto para el código viejo ni el nuevo), reiniciar después el servidor, y ejecutar por último la fase de retirada (secciones 5a a 5c: DROP de políticas y REVOKE). Entre la fase aditiva y la de código no hay ningún cambio visible; entre la de código y la de retirada, la exposición anon a las tablas sigue abierta, por lo que la retirada no debe demorarse.</w:t>
      </w:r>
    </w:p>
    <w:p>
      <w:pPr>
        <w:spacing w:after="120" w:line="312"/>
        <w:jc w:val="both"/>
      </w:pPr>
      <w:r>
        <w:rPr>
          <w:rFonts w:ascii="Times New Roman"/>
          <w:b/>
          <w:bCs/>
          <w:color w:val="000000"/>
          <w:sz w:val="24"/>
          <w:szCs w:val="24"/>
        </w:rPr>
        <w:t xml:space="preserve">R3 — Gate temporal RPC no aplicado, con vencimiento del baseline. </w:t>
      </w:r>
      <w:r>
        <w:rPr>
          <w:rFonts w:ascii="Times New Roman"/>
          <w:color w:val="000000"/>
          <w:sz w:val="24"/>
          <w:szCs w:val="24"/>
        </w:rPr>
        <w:t xml:space="preserve">La base de datos sigue aceptando documentos fechados a mañana por llamada RPC directa; las rutas de aplicación y la interfaz ya imponen el tope HOY, de modo que el riesgo es hoy una bypass latente para llamadas directas. Además, la línea base del contrato de seguridad que mantiene el CI verde para el PR #1422 tiene expiración el 2026-11-30: si la migración no se aplica antes, el CI de main comenzará a bloquearse por divergencia entre la base de datos viva y el replay de las migraciones.</w:t>
      </w:r>
    </w:p>
    <w:p>
      <w:pPr>
        <w:spacing w:after="120" w:line="312"/>
        <w:jc w:val="both"/>
      </w:pPr>
      <w:r>
        <w:rPr>
          <w:rFonts w:ascii="Times New Roman"/>
          <w:b/>
          <w:bCs/>
          <w:color w:val="000000"/>
          <w:sz w:val="24"/>
          <w:szCs w:val="24"/>
        </w:rPr>
        <w:t xml:space="preserve">R4 — Hallazgos disciplinados fuera de alcance. </w:t>
      </w:r>
      <w:r>
        <w:rPr>
          <w:rFonts w:ascii="Times New Roman"/>
          <w:color w:val="000000"/>
          <w:sz w:val="24"/>
          <w:szCs w:val="24"/>
        </w:rPr>
        <w:t xml:space="preserve">CP-SEC-025 (convergencia de capas RLS) y CP-SEC-026 (memberships sin auditoría) permanecen documentados con sus tareas vinculadas, sin expansión de alcance conforme a la instrucción. La sub-decisión B.1 (administrador global frente a acotado por tenant) sigue siendo propuesta técnica sin ejecutar. Ninguno de los dos bloquea la corrección P1, pero deben permanecer en el inventario maestro.</w:t>
      </w:r>
    </w:p>
    <w:p>
      <w:pPr>
        <w:pStyle w:val="Heading1"/>
        <w:spacing w:after="160" w:before="360" w:line="312"/>
      </w:pPr>
      <w:bookmarkStart w:name="_Toc8" w:id="8"/>
      <w:r>
        <w:rPr>
          <w:rFonts w:ascii="Times New Roman" w:eastAsia="SimHei"/>
          <w:b/>
          <w:bCs/>
          <w:color w:val="162235"/>
          <w:sz w:val="32"/>
          <w:szCs w:val="32"/>
        </w:rPr>
        <w:t xml:space="preserve">6. Plan: no es necesario un pull request nuevo</w:t>
      </w:r>
      <w:bookmarkEnd w:id="8"/>
    </w:p>
    <w:p>
      <w:pPr>
        <w:spacing w:after="120" w:line="312"/>
        <w:jc w:val="both"/>
      </w:pPr>
      <w:r>
        <w:rPr>
          <w:rFonts w:ascii="Times New Roman"/>
          <w:color w:val="000000"/>
          <w:sz w:val="24"/>
          <w:szCs w:val="24"/>
        </w:rPr>
        <w:t xml:space="preserve">Conforme a la instrucción, si la solución no existiera en remoto habría que reconstruir una propuesta revisable; si existiera, evaluar su integridad. La verificación demostró lo segundo: la solución CP-SEC-027 ya está fusionada en main con alcance exclusivo, CI verde, pruebas aprobadas y procedimiento de reversión documentado. Crear un PR nuevo duplicaría un cambio ya integrado, lo que la instrucción operativa prohíbe expresamente (sin cambios duplicados, sin dependencias circulares, un PR por cambio coherente). Por tanto, </w:t>
      </w:r>
      <w:r>
        <w:rPr>
          <w:rFonts w:ascii="Times New Roman"/>
          <w:b/>
          <w:bCs/>
          <w:color w:val="000000"/>
          <w:sz w:val="24"/>
          <w:szCs w:val="24"/>
        </w:rPr>
        <w:t xml:space="preserve">no se crea ningún PR nuevo y no se reconstruye ningún código</w:t>
      </w:r>
      <w:r>
        <w:rPr>
          <w:rFonts w:ascii="Times New Roman"/>
          <w:color w:val="000000"/>
          <w:sz w:val="24"/>
          <w:szCs w:val="24"/>
        </w:rPr>
        <w:t xml:space="preserve">: la Fase 3 de la instrucción culmina en este diagnóstico, sin escrituras ni despliegues.</w:t>
      </w:r>
    </w:p>
    <w:p>
      <w:pPr>
        <w:spacing w:after="120" w:line="312"/>
        <w:jc w:val="both"/>
      </w:pPr>
      <w:r>
        <w:rPr>
          <w:rFonts w:ascii="Times New Roman"/>
          <w:color w:val="000000"/>
          <w:sz w:val="24"/>
          <w:szCs w:val="24"/>
        </w:rPr>
        <w:t xml:space="preserve">Lo que falta para cerrar CP-SEC-027 no es código sino operación autorizada, en este orden: (1) aplicar a la base de datos viva las secciones 1 a 4 de la migración (fase aditiva: tres vistas y sus grants, cero impacto sobre flujos existentes); (2) reiniciar el servidor pm2 desde main, momento en que la vitrina pasa a consumir las vistas; (3) aplicar las secciones 5a a 5c (retirada de políticas anon y revocación de SELECT, cierre efectivo de la exposición); y (4) ejecutar el script de verificación oficial exigiendo cero fallos en los 18 checks, junto con las pruebas E2E de vitrina. El propio archivo de migración documenta que la aplicación en un solo paso es equivalente si el despliegue del código ocurre inmediatamente después, con una ventana de segundos en que la vitrina puede fallar.</w:t>
      </w:r>
    </w:p>
    <w:p>
      <w:pPr>
        <w:spacing w:after="120" w:line="312"/>
        <w:jc w:val="both"/>
      </w:pPr>
      <w:r>
        <w:rPr>
          <w:rFonts w:ascii="Times New Roman"/>
          <w:color w:val="000000"/>
          <w:sz w:val="24"/>
          <w:szCs w:val="24"/>
        </w:rPr>
        <w:t xml:space="preserve">El único candidato imaginable a PR nuevo es la recreación del script ejecutor del backfill (artefacto perdido). No obstante, ese script es una utilidad operativa cuyo SQL íntegro e idempotente ya está auditado en el dossier; puede recrearse y añadirse al repositorio en la próxima misión como cambio menor, o ejecutarse el SQL directamente por el procedimiento autorizado que el propio dossier define. La elección entre ambas vías corresponde al responsable y no bloquea la corrección P1.</w:t>
      </w:r>
    </w:p>
    <w:p>
      <w:pPr>
        <w:pStyle w:val="Heading1"/>
        <w:spacing w:after="160" w:before="360" w:line="312"/>
      </w:pPr>
      <w:bookmarkStart w:name="_Toc9" w:id="9"/>
      <w:r>
        <w:rPr>
          <w:rFonts w:ascii="Times New Roman" w:eastAsia="SimHei"/>
          <w:b/>
          <w:bCs/>
          <w:color w:val="162235"/>
          <w:sz w:val="32"/>
          <w:szCs w:val="32"/>
        </w:rPr>
        <w:t xml:space="preserve">7. Pruebas pendientes y acciones que requieren autorización</w:t>
      </w:r>
      <w:bookmarkEnd w:id="9"/>
    </w:p>
    <w:p>
      <w:pPr>
        <w:spacing w:after="60" w:line="312"/>
        <w:jc w:val="both"/>
      </w:pPr>
      <w:r>
        <w:rPr>
          <w:rFonts w:ascii="Times New Roman"/>
          <w:color w:val="000000"/>
          <w:sz w:val="24"/>
          <w:szCs w:val="24"/>
        </w:rPr>
        <w:t xml:space="preserve">El backfill de david9999 sigue </w:t>
      </w:r>
      <w:r>
        <w:rPr>
          <w:rFonts w:ascii="Times New Roman"/>
          <w:b/>
          <w:bCs/>
          <w:color w:val="000000"/>
          <w:sz w:val="24"/>
          <w:szCs w:val="24"/>
        </w:rPr>
        <w:t xml:space="preserve">sin ejecutar y sin autorización</w:t>
      </w:r>
      <w:r>
        <w:rPr>
          <w:rFonts w:ascii="Times New Roman"/>
          <w:color w:val="000000"/>
          <w:sz w:val="24"/>
          <w:szCs w:val="24"/>
        </w:rPr>
        <w:t xml:space="preserve">, conforme al límite reiterado: la verificación de hoy confirma que la fila mantiene tenant_id nulo, su updated_at intacto (2026-10-09 12:11:09.313885+00), cero registros dt03_backfill en audit_logs y que los 11 perfiles con tenant nulo siguen siendo exactamente 11. Los otros diez perfiles permanecen intactos. La Tabla 4 lista las pruebas que solo pueden ejecutarse tras aplicar cada migración; la Tabla 5, la lista exacta de autorizaciones que se solicitan.</w:t>
      </w:r>
    </w:p>
    <w:p>
      <w:pPr>
        <w:keepNext/>
        <w:spacing w:after="80" w:before="200" w:line="312"/>
        <w:jc w:val="left"/>
      </w:pPr>
      <w:r>
        <w:rPr>
          <w:rFonts w:ascii="Times New Roman"/>
          <w:b/>
          <w:bCs/>
          <w:color w:val="162235"/>
          <w:sz w:val="21"/>
          <w:szCs w:val="21"/>
        </w:rPr>
        <w:t xml:space="preserve">Tabla 4: Pruebas pendientes, bloqueadas hasta la aplicación autorizada</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3515"/>
        <w:gridCol w:w="2812"/>
        <w:gridCol w:w="2461"/>
      </w:tblGrid>
      <w:tr>
        <w:trPr>
          <w:cantSplit/>
          <w:tblHeader/>
        </w:trPr>
        <w:tc>
          <w:tcPr>
            <w:tcW w:type="pct" w:w="2000"/>
            <w:shd w:fill="1B6B7A" w:val="clear"/>
            <w:tcMar>
              <w:top w:type="dxa" w:w="60"/>
              <w:left w:type="dxa" w:w="120"/>
              <w:bottom w:type="dxa" w:w="60"/>
              <w:right w:type="dxa" w:w="120"/>
            </w:tcMar>
          </w:tcPr>
          <w:p>
            <w:pPr>
              <w:spacing w:line="312"/>
              <w:jc w:val="left"/>
            </w:pPr>
            <w:r>
              <w:rPr>
                <w:rFonts w:ascii="Times New Roman"/>
                <w:b/>
                <w:bCs/>
                <w:color w:val="FFFFFF"/>
                <w:sz w:val="21"/>
                <w:szCs w:val="21"/>
              </w:rPr>
              <w:t xml:space="preserve">Prueba</w:t>
            </w:r>
          </w:p>
        </w:tc>
        <w:tc>
          <w:tcPr>
            <w:tcW w:type="pct" w:w="1600"/>
            <w:shd w:fill="1B6B7A" w:val="clear"/>
            <w:tcMar>
              <w:top w:type="dxa" w:w="60"/>
              <w:left w:type="dxa" w:w="120"/>
              <w:bottom w:type="dxa" w:w="60"/>
              <w:right w:type="dxa" w:w="120"/>
            </w:tcMar>
          </w:tcPr>
          <w:p>
            <w:pPr>
              <w:spacing w:line="312"/>
              <w:jc w:val="left"/>
            </w:pPr>
            <w:r>
              <w:rPr>
                <w:rFonts w:ascii="Times New Roman"/>
                <w:b/>
                <w:bCs/>
                <w:color w:val="FFFFFF"/>
                <w:sz w:val="21"/>
                <w:szCs w:val="21"/>
              </w:rPr>
              <w:t xml:space="preserve">Condición de desbloqueo</w:t>
            </w:r>
          </w:p>
        </w:tc>
        <w:tc>
          <w:tcPr>
            <w:tcW w:type="pct" w:w="1400"/>
            <w:shd w:fill="1B6B7A" w:val="clear"/>
            <w:tcMar>
              <w:top w:type="dxa" w:w="60"/>
              <w:left w:type="dxa" w:w="120"/>
              <w:bottom w:type="dxa" w:w="60"/>
              <w:right w:type="dxa" w:w="120"/>
            </w:tcMar>
          </w:tcPr>
          <w:p>
            <w:pPr>
              <w:spacing w:line="312"/>
              <w:jc w:val="left"/>
            </w:pPr>
            <w:r>
              <w:rPr>
                <w:rFonts w:ascii="Times New Roman"/>
                <w:b/>
                <w:bCs/>
                <w:color w:val="FFFFFF"/>
                <w:sz w:val="21"/>
                <w:szCs w:val="21"/>
              </w:rPr>
              <w:t xml:space="preserve">Resultado esperado</w:t>
            </w:r>
          </w:p>
        </w:tc>
      </w:tr>
      <w:tr>
        <w:trPr>
          <w:cantSplit/>
        </w:trPr>
        <w:tc>
          <w:tcPr>
            <w:tcW w:type="pct" w:w="2000"/>
            <w:tcMar>
              <w:top w:type="dxa" w:w="60"/>
              <w:left w:type="dxa" w:w="120"/>
              <w:bottom w:type="dxa" w:w="60"/>
              <w:right w:type="dxa" w:w="120"/>
            </w:tcMar>
          </w:tcPr>
          <w:p>
            <w:pPr>
              <w:spacing w:line="312"/>
              <w:jc w:val="left"/>
            </w:pPr>
            <w:r>
              <w:rPr>
                <w:rFonts w:ascii="Times New Roman"/>
                <w:b/>
                <w:bCs/>
                <w:color w:val="000000"/>
                <w:sz w:val="21"/>
                <w:szCs w:val="21"/>
              </w:rPr>
              <w:t xml:space="preserve">scripts/cpsec027_post_migration_verify.js (18 checks)</w:t>
            </w:r>
          </w:p>
        </w:tc>
        <w:tc>
          <w:tcPr>
            <w:tcW w:type="pct" w:w="16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Migración 20261019000001 aplicada</w:t>
            </w:r>
          </w:p>
        </w:tc>
        <w:tc>
          <w:tcPr>
            <w:tcW w:type="pct" w:w="14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0 fallos (hoy: 18/18 fallos)</w:t>
            </w:r>
          </w:p>
        </w:tc>
      </w:tr>
      <w:tr>
        <w:trPr>
          <w:cantSplit/>
        </w:trPr>
        <w:tc>
          <w:tcPr>
            <w:tcW w:type="pct" w:w="2000"/>
            <w:shd w:fill="EDF3F5" w:val="clear"/>
            <w:tcMar>
              <w:top w:type="dxa" w:w="60"/>
              <w:left w:type="dxa" w:w="120"/>
              <w:bottom w:type="dxa" w:w="60"/>
              <w:right w:type="dxa" w:w="120"/>
            </w:tcMar>
          </w:tcPr>
          <w:p>
            <w:pPr>
              <w:spacing w:line="312"/>
              <w:jc w:val="left"/>
            </w:pPr>
            <w:r>
              <w:rPr>
                <w:rFonts w:ascii="Times New Roman"/>
                <w:b/>
                <w:bCs/>
                <w:color w:val="000000"/>
                <w:sz w:val="21"/>
                <w:szCs w:val="21"/>
              </w:rPr>
              <w:t xml:space="preserve">E2E-SF-001/002/003 (catalog-storefront.spec.ts)</w:t>
            </w:r>
          </w:p>
        </w:tc>
        <w:tc>
          <w:tcPr>
            <w:tcW w:type="pct" w:w="1600"/>
            <w:shd w:fill="EDF3F5" w:val="clear"/>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Vistas aplicadas y servidor reiniciado desde main</w:t>
            </w:r>
          </w:p>
        </w:tc>
        <w:tc>
          <w:tcPr>
            <w:tcW w:type="pct" w:w="1400"/>
            <w:shd w:fill="EDF3F5" w:val="clear"/>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Aprobadas; vitrina funcional</w:t>
            </w:r>
          </w:p>
        </w:tc>
      </w:tr>
      <w:tr>
        <w:trPr>
          <w:cantSplit/>
        </w:trPr>
        <w:tc>
          <w:tcPr>
            <w:tcW w:type="pct" w:w="2000"/>
            <w:tcMar>
              <w:top w:type="dxa" w:w="60"/>
              <w:left w:type="dxa" w:w="120"/>
              <w:bottom w:type="dxa" w:w="60"/>
              <w:right w:type="dxa" w:w="120"/>
            </w:tcMar>
          </w:tcPr>
          <w:p>
            <w:pPr>
              <w:spacing w:line="312"/>
              <w:jc w:val="left"/>
            </w:pPr>
            <w:r>
              <w:rPr>
                <w:rFonts w:ascii="Times New Roman"/>
                <w:b/>
                <w:bCs/>
                <w:color w:val="000000"/>
                <w:sz w:val="21"/>
                <w:szCs w:val="21"/>
              </w:rPr>
              <w:t xml:space="preserve">Humo manual de /tienda/puerto-padre-vitallcons</w:t>
            </w:r>
          </w:p>
        </w:tc>
        <w:tc>
          <w:tcPr>
            <w:tcW w:type="pct" w:w="16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Reinicio del servidor desde main</w:t>
            </w:r>
          </w:p>
        </w:tc>
        <w:tc>
          <w:tcPr>
            <w:tcW w:type="pct" w:w="14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HTTP 200 con productos renderizados</w:t>
            </w:r>
          </w:p>
        </w:tc>
      </w:tr>
      <w:tr>
        <w:trPr>
          <w:cantSplit/>
        </w:trPr>
        <w:tc>
          <w:tcPr>
            <w:tcW w:type="pct" w:w="2000"/>
            <w:shd w:fill="EDF3F5" w:val="clear"/>
            <w:tcMar>
              <w:top w:type="dxa" w:w="60"/>
              <w:left w:type="dxa" w:w="120"/>
              <w:bottom w:type="dxa" w:w="60"/>
              <w:right w:type="dxa" w:w="120"/>
            </w:tcMar>
          </w:tcPr>
          <w:p>
            <w:pPr>
              <w:spacing w:line="312"/>
              <w:jc w:val="left"/>
            </w:pPr>
            <w:r>
              <w:rPr>
                <w:rFonts w:ascii="Times New Roman"/>
                <w:b/>
                <w:bCs/>
                <w:color w:val="000000"/>
                <w:sz w:val="21"/>
                <w:szCs w:val="21"/>
              </w:rPr>
              <w:t xml:space="preserve">Pruebas de humo del gate RPC (fechas futuras)</w:t>
            </w:r>
          </w:p>
        </w:tc>
        <w:tc>
          <w:tcPr>
            <w:tcW w:type="pct" w:w="1600"/>
            <w:shd w:fill="EDF3F5" w:val="clear"/>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Migración 20261018000000 aplicada</w:t>
            </w:r>
          </w:p>
        </w:tc>
        <w:tc>
          <w:tcPr>
            <w:tcW w:type="pct" w:w="1400"/>
            <w:shd w:fill="EDF3F5" w:val="clear"/>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Rechazo documentado de fecha HOY+1 vía RPC</w:t>
            </w:r>
          </w:p>
        </w:tc>
      </w:tr>
      <w:tr>
        <w:trPr>
          <w:cantSplit/>
        </w:trPr>
        <w:tc>
          <w:tcPr>
            <w:tcW w:type="pct" w:w="2000"/>
            <w:tcMar>
              <w:top w:type="dxa" w:w="60"/>
              <w:left w:type="dxa" w:w="120"/>
              <w:bottom w:type="dxa" w:w="60"/>
              <w:right w:type="dxa" w:w="120"/>
            </w:tcMar>
          </w:tcPr>
          <w:p>
            <w:pPr>
              <w:spacing w:line="312"/>
              <w:jc w:val="left"/>
            </w:pPr>
            <w:r>
              <w:rPr>
                <w:rFonts w:ascii="Times New Roman"/>
                <w:b/>
                <w:bCs/>
                <w:color w:val="000000"/>
                <w:sz w:val="21"/>
                <w:szCs w:val="21"/>
              </w:rPr>
              <w:t xml:space="preserve">Verificación post-backfill (perfil + audit_log)</w:t>
            </w:r>
          </w:p>
        </w:tc>
        <w:tc>
          <w:tcPr>
            <w:tcW w:type="pct" w:w="16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Autorización escrita del backfill</w:t>
            </w:r>
          </w:p>
        </w:tc>
        <w:tc>
          <w:tcPr>
            <w:tcW w:type="pct" w:w="14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tenant_id asignado y fila de auditoría atómica</w:t>
            </w:r>
          </w:p>
        </w:tc>
      </w:tr>
    </w:tbl>
    <w:p>
      <w:pPr>
        <w:spacing w:after="120"/>
      </w:pPr>
    </w:p>
    <w:p>
      <w:pPr>
        <w:keepNext/>
        <w:spacing w:after="80" w:before="200" w:line="312"/>
        <w:jc w:val="left"/>
      </w:pPr>
      <w:r>
        <w:rPr>
          <w:rFonts w:ascii="Times New Roman"/>
          <w:b/>
          <w:bCs/>
          <w:color w:val="162235"/>
          <w:sz w:val="21"/>
          <w:szCs w:val="21"/>
        </w:rPr>
        <w:t xml:space="preserve">Tabla 5: Acciones que requieren autorización expresa del responsable</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527"/>
        <w:gridCol w:w="2988"/>
        <w:gridCol w:w="5273"/>
      </w:tblGrid>
      <w:tr>
        <w:trPr>
          <w:cantSplit/>
          <w:tblHeader/>
        </w:trPr>
        <w:tc>
          <w:tcPr>
            <w:tcW w:type="pct" w:w="300"/>
            <w:shd w:fill="1B6B7A" w:val="clear"/>
            <w:tcMar>
              <w:top w:type="dxa" w:w="60"/>
              <w:left w:type="dxa" w:w="120"/>
              <w:bottom w:type="dxa" w:w="60"/>
              <w:right w:type="dxa" w:w="120"/>
            </w:tcMar>
          </w:tcPr>
          <w:p>
            <w:pPr>
              <w:spacing w:line="312"/>
              <w:jc w:val="left"/>
            </w:pPr>
            <w:r>
              <w:rPr>
                <w:rFonts w:ascii="Times New Roman"/>
                <w:b/>
                <w:bCs/>
                <w:color w:val="FFFFFF"/>
                <w:sz w:val="21"/>
                <w:szCs w:val="21"/>
              </w:rPr>
              <w:t xml:space="preserve">#</w:t>
            </w:r>
          </w:p>
        </w:tc>
        <w:tc>
          <w:tcPr>
            <w:tcW w:type="pct" w:w="1700"/>
            <w:shd w:fill="1B6B7A" w:val="clear"/>
            <w:tcMar>
              <w:top w:type="dxa" w:w="60"/>
              <w:left w:type="dxa" w:w="120"/>
              <w:bottom w:type="dxa" w:w="60"/>
              <w:right w:type="dxa" w:w="120"/>
            </w:tcMar>
          </w:tcPr>
          <w:p>
            <w:pPr>
              <w:spacing w:line="312"/>
              <w:jc w:val="left"/>
            </w:pPr>
            <w:r>
              <w:rPr>
                <w:rFonts w:ascii="Times New Roman"/>
                <w:b/>
                <w:bCs/>
                <w:color w:val="FFFFFF"/>
                <w:sz w:val="21"/>
                <w:szCs w:val="21"/>
              </w:rPr>
              <w:t xml:space="preserve">Acción</w:t>
            </w:r>
          </w:p>
        </w:tc>
        <w:tc>
          <w:tcPr>
            <w:tcW w:type="pct" w:w="3000"/>
            <w:shd w:fill="1B6B7A" w:val="clear"/>
            <w:tcMar>
              <w:top w:type="dxa" w:w="60"/>
              <w:left w:type="dxa" w:w="120"/>
              <w:bottom w:type="dxa" w:w="60"/>
              <w:right w:type="dxa" w:w="120"/>
            </w:tcMar>
          </w:tcPr>
          <w:p>
            <w:pPr>
              <w:spacing w:line="312"/>
              <w:jc w:val="left"/>
            </w:pPr>
            <w:r>
              <w:rPr>
                <w:rFonts w:ascii="Times New Roman"/>
                <w:b/>
                <w:bCs/>
                <w:color w:val="FFFFFF"/>
                <w:sz w:val="21"/>
                <w:szCs w:val="21"/>
              </w:rPr>
              <w:t xml:space="preserve">Qué se solicita exactamente</w:t>
            </w:r>
          </w:p>
        </w:tc>
      </w:tr>
      <w:tr>
        <w:trPr>
          <w:cantSplit/>
        </w:trPr>
        <w:tc>
          <w:tcPr>
            <w:tcW w:type="pct" w:w="300"/>
            <w:tcMar>
              <w:top w:type="dxa" w:w="60"/>
              <w:left w:type="dxa" w:w="120"/>
              <w:bottom w:type="dxa" w:w="60"/>
              <w:right w:type="dxa" w:w="120"/>
            </w:tcMar>
          </w:tcPr>
          <w:p>
            <w:pPr>
              <w:spacing w:line="312"/>
              <w:jc w:val="left"/>
            </w:pPr>
            <w:r>
              <w:rPr>
                <w:rFonts w:ascii="Times New Roman"/>
                <w:b/>
                <w:bCs/>
                <w:color w:val="000000"/>
                <w:sz w:val="21"/>
                <w:szCs w:val="21"/>
              </w:rPr>
              <w:t xml:space="preserve">1</w:t>
            </w:r>
          </w:p>
        </w:tc>
        <w:tc>
          <w:tcPr>
            <w:tcW w:type="pct" w:w="17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Aplicar 20261019000001 a la BD viva (CP-SEC-027)</w:t>
            </w:r>
          </w:p>
        </w:tc>
        <w:tc>
          <w:tcPr>
            <w:tcW w:type="pct" w:w="30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Autorizar el DDL en tres fases: aditiva (vistas+grants), reinicio del código, retirada (DROP+REVOKE). Cierra la exposición P1.</w:t>
            </w:r>
          </w:p>
        </w:tc>
      </w:tr>
      <w:tr>
        <w:trPr>
          <w:cantSplit/>
        </w:trPr>
        <w:tc>
          <w:tcPr>
            <w:tcW w:type="pct" w:w="300"/>
            <w:shd w:fill="EDF3F5" w:val="clear"/>
            <w:tcMar>
              <w:top w:type="dxa" w:w="60"/>
              <w:left w:type="dxa" w:w="120"/>
              <w:bottom w:type="dxa" w:w="60"/>
              <w:right w:type="dxa" w:w="120"/>
            </w:tcMar>
          </w:tcPr>
          <w:p>
            <w:pPr>
              <w:spacing w:line="312"/>
              <w:jc w:val="left"/>
            </w:pPr>
            <w:r>
              <w:rPr>
                <w:rFonts w:ascii="Times New Roman"/>
                <w:b/>
                <w:bCs/>
                <w:color w:val="000000"/>
                <w:sz w:val="21"/>
                <w:szCs w:val="21"/>
              </w:rPr>
              <w:t xml:space="preserve">2</w:t>
            </w:r>
          </w:p>
        </w:tc>
        <w:tc>
          <w:tcPr>
            <w:tcW w:type="pct" w:w="1700"/>
            <w:shd w:fill="EDF3F5" w:val="clear"/>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Aplicar 20261018000000 a la BD viva (Decisión E)</w:t>
            </w:r>
          </w:p>
        </w:tc>
        <w:tc>
          <w:tcPr>
            <w:tcW w:type="pct" w:w="3000"/>
            <w:shd w:fill="EDF3F5" w:val="clear"/>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Autorizar el procedimiento: respaldo de definiciones, aplicación, humo, re-certificar contract-surface y eliminar las 3 entradas del baseline (vence 2026-11-30).</w:t>
            </w:r>
          </w:p>
        </w:tc>
      </w:tr>
      <w:tr>
        <w:trPr>
          <w:cantSplit/>
        </w:trPr>
        <w:tc>
          <w:tcPr>
            <w:tcW w:type="pct" w:w="300"/>
            <w:tcMar>
              <w:top w:type="dxa" w:w="60"/>
              <w:left w:type="dxa" w:w="120"/>
              <w:bottom w:type="dxa" w:w="60"/>
              <w:right w:type="dxa" w:w="120"/>
            </w:tcMar>
          </w:tcPr>
          <w:p>
            <w:pPr>
              <w:spacing w:line="312"/>
              <w:jc w:val="left"/>
            </w:pPr>
            <w:r>
              <w:rPr>
                <w:rFonts w:ascii="Times New Roman"/>
                <w:b/>
                <w:bCs/>
                <w:color w:val="000000"/>
                <w:sz w:val="21"/>
                <w:szCs w:val="21"/>
              </w:rPr>
              <w:t xml:space="preserve">3</w:t>
            </w:r>
          </w:p>
        </w:tc>
        <w:tc>
          <w:tcPr>
            <w:tcW w:type="pct" w:w="17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Reinicio del servidor pm2 desde main</w:t>
            </w:r>
          </w:p>
        </w:tc>
        <w:tc>
          <w:tcPr>
            <w:tcW w:type="pct" w:w="30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Confirmar el momento; recomendado tras la fase aditiva para evitar la degradación 404 de la vitrina.</w:t>
            </w:r>
          </w:p>
        </w:tc>
      </w:tr>
      <w:tr>
        <w:trPr>
          <w:cantSplit/>
        </w:trPr>
        <w:tc>
          <w:tcPr>
            <w:tcW w:type="pct" w:w="300"/>
            <w:shd w:fill="EDF3F5" w:val="clear"/>
            <w:tcMar>
              <w:top w:type="dxa" w:w="60"/>
              <w:left w:type="dxa" w:w="120"/>
              <w:bottom w:type="dxa" w:w="60"/>
              <w:right w:type="dxa" w:w="120"/>
            </w:tcMar>
          </w:tcPr>
          <w:p>
            <w:pPr>
              <w:spacing w:line="312"/>
              <w:jc w:val="left"/>
            </w:pPr>
            <w:r>
              <w:rPr>
                <w:rFonts w:ascii="Times New Roman"/>
                <w:b/>
                <w:bCs/>
                <w:color w:val="000000"/>
                <w:sz w:val="21"/>
                <w:szCs w:val="21"/>
              </w:rPr>
              <w:t xml:space="preserve">4</w:t>
            </w:r>
          </w:p>
        </w:tc>
        <w:tc>
          <w:tcPr>
            <w:tcW w:type="pct" w:w="1700"/>
            <w:shd w:fill="EDF3F5" w:val="clear"/>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Backfill de david9999 (una fila, reversible)</w:t>
            </w:r>
          </w:p>
        </w:tc>
        <w:tc>
          <w:tcPr>
            <w:tcW w:type="pct" w:w="3000"/>
            <w:shd w:fill="EDF3F5" w:val="clear"/>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Autorización escrita específica del SQL del dossier §5. Requiere antes recrear el script ejecutor o aprobar la ejecución directa del SQL.</w:t>
            </w:r>
          </w:p>
        </w:tc>
      </w:tr>
      <w:tr>
        <w:trPr>
          <w:cantSplit/>
        </w:trPr>
        <w:tc>
          <w:tcPr>
            <w:tcW w:type="pct" w:w="300"/>
            <w:tcMar>
              <w:top w:type="dxa" w:w="60"/>
              <w:left w:type="dxa" w:w="120"/>
              <w:bottom w:type="dxa" w:w="60"/>
              <w:right w:type="dxa" w:w="120"/>
            </w:tcMar>
          </w:tcPr>
          <w:p>
            <w:pPr>
              <w:spacing w:line="312"/>
              <w:jc w:val="left"/>
            </w:pPr>
            <w:r>
              <w:rPr>
                <w:rFonts w:ascii="Times New Roman"/>
                <w:b/>
                <w:bCs/>
                <w:color w:val="000000"/>
                <w:sz w:val="21"/>
                <w:szCs w:val="21"/>
              </w:rPr>
              <w:t xml:space="preserve">5</w:t>
            </w:r>
          </w:p>
        </w:tc>
        <w:tc>
          <w:tcPr>
            <w:tcW w:type="pct" w:w="17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Decisiones de negocio pendientes</w:t>
            </w:r>
          </w:p>
        </w:tc>
        <w:tc>
          <w:tcPr>
            <w:tcW w:type="pct" w:w="3000"/>
            <w:tcMar>
              <w:top w:type="dxa" w:w="60"/>
              <w:left w:type="dxa" w:w="120"/>
              <w:bottom w:type="dxa" w:w="60"/>
              <w:right w:type="dxa" w:w="120"/>
            </w:tcMar>
          </w:tcPr>
          <w:p>
            <w:pPr>
              <w:spacing w:line="312"/>
              <w:jc w:val="left"/>
            </w:pPr>
            <w:r>
              <w:rPr>
                <w:rFonts w:ascii="Times New Roman"/>
                <w:b w:val="false"/>
                <w:bCs w:val="false"/>
                <w:color w:val="000000"/>
                <w:sz w:val="21"/>
                <w:szCs w:val="21"/>
              </w:rPr>
              <w:t xml:space="preserve">A (política de stock negativo), B.1 (alcance del admin), C (COGS histórico), D (persistencia de incidents). No bloquean la P1.</w:t>
            </w:r>
          </w:p>
        </w:tc>
      </w:tr>
    </w:tbl>
    <w:p>
      <w:pPr>
        <w:spacing w:after="120"/>
      </w:pPr>
    </w:p>
    <w:p>
      <w:pPr>
        <w:spacing w:after="120" w:line="312"/>
        <w:jc w:val="both"/>
      </w:pPr>
      <w:r>
        <w:rPr>
          <w:rFonts w:ascii="Times New Roman"/>
          <w:color w:val="000000"/>
          <w:sz w:val="24"/>
          <w:szCs w:val="24"/>
        </w:rPr>
        <w:t xml:space="preserve">Restricción de seguridad reiterada: mientras no exista la autorización correspondiente, no se ejecuta ninguna escritura en producción, no se aplican migraciones ni se modifican políticas, no se repite ningún merge, no se ejecuta el backfill y ninguna exposición se declara corregida sin la prueba efectiva del rol anon con resultado cero fallos.</w:t>
      </w:r>
    </w:p>
    <w:p>
      <w:pPr>
        <w:pStyle w:val="Heading1"/>
        <w:spacing w:after="160" w:before="360" w:line="312"/>
      </w:pPr>
      <w:bookmarkStart w:name="_Toc10" w:id="10"/>
      <w:r>
        <w:rPr>
          <w:rFonts w:ascii="Times New Roman" w:eastAsia="SimHei"/>
          <w:b/>
          <w:bCs/>
          <w:color w:val="162235"/>
          <w:sz w:val="32"/>
          <w:szCs w:val="32"/>
        </w:rPr>
        <w:t xml:space="preserve">8. Anexo: método de verificación y trazabilidad</w:t>
      </w:r>
      <w:bookmarkEnd w:id="10"/>
    </w:p>
    <w:p>
      <w:pPr>
        <w:spacing w:after="120" w:line="312"/>
        <w:jc w:val="both"/>
      </w:pPr>
      <w:r>
        <w:rPr>
          <w:rFonts w:ascii="Times New Roman"/>
          <w:color w:val="000000"/>
          <w:sz w:val="24"/>
          <w:szCs w:val="24"/>
        </w:rPr>
        <w:t xml:space="preserve">La recuperación siguió la Fase 1 de la instrucción: clon limpio del repositorio oficial con credenciales de solo lectura autenticadas, inspección de main, historial y referencias remotas, consulta de los PR mediante la API de GitHub y localización de toda la evidencia de DT-03 y CP-SEC-027 en el historial. La Fase 2 se ejecutó íntegramente en modo solo lectura sobre la base de datos viva: consultas SELECT al catálogo (registro de migraciones, definiciones de funciones, vistas, políticas y grants) a través de la Management API, y pruebas efectivas con la clave publishable desde el exterior vía PostgREST. Se re-ejecutó además el script oficial de verificación post-migración del propio repositorio, que no escribe nada.</w:t>
      </w:r>
    </w:p>
    <w:p>
      <w:pPr>
        <w:spacing w:after="120" w:line="312"/>
        <w:jc w:val="both"/>
      </w:pPr>
      <w:r>
        <w:rPr>
          <w:rFonts w:ascii="Times New Roman"/>
          <w:color w:val="000000"/>
          <w:sz w:val="24"/>
          <w:szCs w:val="24"/>
        </w:rPr>
        <w:t xml:space="preserve">Toda la evidencia de esta sesión queda persistida: la captura en crudo del estado de producción (JSON con las doce últimas migraciones registradas, el cuerpo vivo de validate_operation_date, las políticas y grants vivos, los conteos de exposición y el estado de la fila de david9999) en el directorio de diagnóstico junto a este informe, y la evidencia previa en las carpetas docs/audits/evidence/ del repositorio. El clon de recuperación permanece en el entorno de trabajo como copia de solo lectura de referencia; ninguna escritura, migración, despliegue o fusión fue ejecutada en ninguna fase de esta sesión, y el diagnóstico se detiene aquí conforme a la instrucción recibida.</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olor w:val="808080"/>
        <w:sz w:val="18"/>
        <w:szCs w:val="18"/>
      </w:rPr>
      <w:t xml:space="preserve">COSTPRO — Recuperación del entorno y diagnóstico · 2026-10-19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62235"/>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62235"/>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2026-10-19T11:18:01.026Z</dcterms:created>
  <dcterms:modified xsi:type="dcterms:W3CDTF">2026-10-19T11:18:01.026Z</dcterms:modified>
</cp:coreProperties>
</file>

<file path=docProps/custom.xml><?xml version="1.0" encoding="utf-8"?>
<Properties xmlns="http://schemas.openxmlformats.org/officeDocument/2006/custom-properties" xmlns:vt="http://schemas.openxmlformats.org/officeDocument/2006/docPropsVTypes"/>
</file>