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Calibri" w:cs="Calibri" w:eastAsia="Calibri" w:hAnsi="Calibri"/>
          <w:b/>
          <w:bCs/>
          <w:color w:val="1E3A5F"/>
          <w:sz w:val="52"/>
          <w:szCs w:val="52"/>
        </w:rPr>
        <w:t xml:space="preserve">PLAN DE NEGOCIOS</w:t>
      </w:r>
    </w:p>
    <w:p>
      <w:pPr>
        <w:spacing w:after="80"/>
        <w:jc w:val="center"/>
      </w:pPr>
      <w:r>
        <w:rPr>
          <w:rFonts w:ascii="Calibri" w:cs="Calibri" w:eastAsia="Calibri" w:hAnsi="Calibri"/>
          <w:color w:val="334155"/>
          <w:sz w:val="22"/>
          <w:szCs w:val="22"/>
        </w:rPr>
        <w:t xml:space="preserve">Propuesta de negocio con inversión extranjera — Bases metodológicas GOC-2026-O57</w:t>
      </w:r>
    </w:p>
    <w:p>
      <w:pPr>
        <w:spacing w:after="400"/>
        <w:jc w:val="center"/>
      </w:pPr>
      <w:r>
        <w:rPr>
          <w:rFonts w:ascii="Calibri" w:cs="Calibri" w:eastAsia="Calibri" w:hAnsi="Calibri"/>
          <w:color w:val="64748B"/>
          <w:sz w:val="17"/>
          <w:szCs w:val="17"/>
        </w:rPr>
        <w:t xml:space="preserve">Elaborado con PLANEX Cuba</w:t>
      </w:r>
    </w:p>
    <w:p>
      <w:pPr>
        <w:spacing w:after="120"/>
        <w:jc w:val="center"/>
      </w:pPr>
      <w:r>
        <w:rPr>
          <w:rFonts w:ascii="Calibri" w:cs="Calibri" w:eastAsia="Calibri" w:hAnsi="Calibri"/>
          <w:b/>
          <w:bCs/>
          <w:color w:val="334155"/>
          <w:sz w:val="34"/>
          <w:szCs w:val="34"/>
        </w:rPr>
        <w:t xml:space="preserve">Clínica Estomatológica «Sonrisa Habana»</w:t>
      </w:r>
    </w:p>
    <w:p>
      <w:pPr>
        <w:spacing w:after="300"/>
        <w:jc w:val="center"/>
      </w:pPr>
      <w:r>
        <w:rPr>
          <w:rFonts w:ascii="Calibri" w:cs="Calibri" w:eastAsia="Calibri" w:hAnsi="Calibri"/>
          <w:color w:val="64748B"/>
          <w:sz w:val="21"/>
          <w:szCs w:val="21"/>
        </w:rPr>
        <w:t xml:space="preserve">Constitución de una empresa mixta para la prestación de servicios estomatológicos integrales en La Habana</w:t>
      </w:r>
    </w:p>
    <w:p>
      <w:pPr>
        <w:spacing w:after="50"/>
        <w:jc w:val="center"/>
      </w:pPr>
      <w:r>
        <w:rPr>
          <w:rFonts w:ascii="Calibri" w:cs="Calibri" w:eastAsia="Calibri" w:hAnsi="Calibri"/>
          <w:b/>
          <w:bCs/>
          <w:color w:val="334155"/>
          <w:sz w:val="19"/>
          <w:szCs w:val="19"/>
        </w:rPr>
        <w:t xml:space="preserve">Estado general del plan: </w:t>
      </w:r>
      <w:r>
        <w:rPr>
          <w:rFonts w:ascii="Calibri" w:cs="Calibri" w:eastAsia="Calibri" w:hAnsi="Calibri"/>
          <w:color w:val="334155"/>
          <w:sz w:val="19"/>
          <w:szCs w:val="19"/>
        </w:rPr>
        <w:t xml:space="preserve">Borrador de demostración (datos ficticios)</w:t>
      </w:r>
    </w:p>
    <w:p>
      <w:pPr>
        <w:spacing w:after="50"/>
        <w:jc w:val="center"/>
      </w:pPr>
      <w:r>
        <w:rPr>
          <w:rFonts w:ascii="Calibri" w:cs="Calibri" w:eastAsia="Calibri" w:hAnsi="Calibri"/>
          <w:b/>
          <w:bCs/>
          <w:color w:val="334155"/>
          <w:sz w:val="19"/>
          <w:szCs w:val="19"/>
        </w:rPr>
        <w:t xml:space="preserve">Inversión total: </w:t>
      </w:r>
      <w:r>
        <w:rPr>
          <w:rFonts w:ascii="Calibri" w:cs="Calibri" w:eastAsia="Calibri" w:hAnsi="Calibri"/>
          <w:color w:val="334155"/>
          <w:sz w:val="19"/>
          <w:szCs w:val="19"/>
        </w:rPr>
        <w:t xml:space="preserve">1.099.640,0 miles de CUP</w:t>
      </w:r>
    </w:p>
    <w:p>
      <w:pPr>
        <w:spacing w:after="50"/>
        <w:jc w:val="center"/>
      </w:pPr>
      <w:r>
        <w:rPr>
          <w:rFonts w:ascii="Calibri" w:cs="Calibri" w:eastAsia="Calibri" w:hAnsi="Calibri"/>
          <w:b/>
          <w:bCs/>
          <w:color w:val="334155"/>
          <w:sz w:val="19"/>
          <w:szCs w:val="19"/>
        </w:rPr>
        <w:t xml:space="preserve">Horizonte de análisis: </w:t>
      </w:r>
      <w:r>
        <w:rPr>
          <w:rFonts w:ascii="Calibri" w:cs="Calibri" w:eastAsia="Calibri" w:hAnsi="Calibri"/>
          <w:color w:val="334155"/>
          <w:sz w:val="19"/>
          <w:szCs w:val="19"/>
        </w:rPr>
        <w:t xml:space="preserve">10 años</w:t>
      </w:r>
    </w:p>
    <w:p>
      <w:pPr>
        <w:spacing w:after="50"/>
        <w:jc w:val="center"/>
      </w:pPr>
      <w:r>
        <w:rPr>
          <w:rFonts w:ascii="Calibri" w:cs="Calibri" w:eastAsia="Calibri" w:hAnsi="Calibri"/>
          <w:b/>
          <w:bCs/>
          <w:color w:val="334155"/>
          <w:sz w:val="19"/>
          <w:szCs w:val="19"/>
        </w:rPr>
        <w:t xml:space="preserve">Recuperación de la inversión total (flujo del proyecto, simple): </w:t>
      </w:r>
      <w:r>
        <w:rPr>
          <w:rFonts w:ascii="Calibri" w:cs="Calibri" w:eastAsia="Calibri" w:hAnsi="Calibri"/>
          <w:color w:val="334155"/>
          <w:sz w:val="19"/>
          <w:szCs w:val="19"/>
        </w:rPr>
        <w:t xml:space="preserve">3,5 años</w:t>
      </w:r>
    </w:p>
    <w:p>
      <w:pPr>
        <w:spacing w:after="50"/>
        <w:jc w:val="center"/>
      </w:pPr>
      <w:r>
        <w:rPr>
          <w:rFonts w:ascii="Calibri" w:cs="Calibri" w:eastAsia="Calibri" w:hAnsi="Calibri"/>
          <w:b/>
          <w:bCs/>
          <w:color w:val="334155"/>
          <w:sz w:val="19"/>
          <w:szCs w:val="19"/>
        </w:rPr>
        <w:t xml:space="preserve">Recuperación del capital aportado (flujo de los socios, simple): </w:t>
      </w:r>
      <w:r>
        <w:rPr>
          <w:rFonts w:ascii="Calibri" w:cs="Calibri" w:eastAsia="Calibri" w:hAnsi="Calibri"/>
          <w:color w:val="334155"/>
          <w:sz w:val="19"/>
          <w:szCs w:val="19"/>
        </w:rPr>
        <w:t xml:space="preserve">3,2 años</w:t>
      </w:r>
    </w:p>
    <w:p>
      <w:pPr>
        <w:spacing w:after="50"/>
        <w:jc w:val="center"/>
      </w:pPr>
      <w:r>
        <w:rPr>
          <w:rFonts w:ascii="Calibri" w:cs="Calibri" w:eastAsia="Calibri" w:hAnsi="Calibri"/>
          <w:b/>
          <w:bCs/>
          <w:color w:val="334155"/>
          <w:sz w:val="19"/>
          <w:szCs w:val="19"/>
        </w:rPr>
        <w:t xml:space="preserve">Moneda de presentación del documento: </w:t>
      </w:r>
      <w:r>
        <w:rPr>
          <w:rFonts w:ascii="Calibri" w:cs="Calibri" w:eastAsia="Calibri" w:hAnsi="Calibri"/>
          <w:color w:val="334155"/>
          <w:sz w:val="19"/>
          <w:szCs w:val="19"/>
        </w:rPr>
        <w:t xml:space="preserve">CUP — Miles de CUP (kCUP)</w:t>
      </w:r>
    </w:p>
    <w:p>
      <w:pPr>
        <w:spacing w:after="50"/>
        <w:jc w:val="center"/>
      </w:pPr>
      <w:r>
        <w:rPr>
          <w:rFonts w:ascii="Calibri" w:cs="Calibri" w:eastAsia="Calibri" w:hAnsi="Calibri"/>
          <w:b/>
          <w:bCs/>
          <w:color w:val="334155"/>
          <w:sz w:val="19"/>
          <w:szCs w:val="19"/>
        </w:rPr>
        <w:t xml:space="preserve">Fecha del documento: </w:t>
      </w:r>
      <w:r>
        <w:rPr>
          <w:rFonts w:ascii="Calibri" w:cs="Calibri" w:eastAsia="Calibri" w:hAnsi="Calibri"/>
          <w:color w:val="334155"/>
          <w:sz w:val="19"/>
          <w:szCs w:val="19"/>
        </w:rPr>
        <w:t xml:space="preserve">25 de octubre de 2026</w:t>
      </w:r>
    </w:p>
    <w:p>
      <w:pPr>
        <w:spacing w:after="50"/>
        <w:jc w:val="center"/>
      </w:pPr>
      <w:r>
        <w:rPr>
          <w:rFonts w:ascii="Calibri" w:cs="Calibri" w:eastAsia="Calibri" w:hAnsi="Calibri"/>
          <w:b/>
          <w:bCs/>
          <w:color w:val="334155"/>
          <w:sz w:val="19"/>
          <w:szCs w:val="19"/>
        </w:rPr>
        <w:t xml:space="preserve">Versión de esquema: </w:t>
      </w:r>
      <w:r>
        <w:rPr>
          <w:rFonts w:ascii="Calibri" w:cs="Calibri" w:eastAsia="Calibri" w:hAnsi="Calibri"/>
          <w:color w:val="334155"/>
          <w:sz w:val="19"/>
          <w:szCs w:val="19"/>
        </w:rPr>
        <w:t xml:space="preserve">2.0.0</w:t>
      </w:r>
    </w:p>
    <w:p>
      <w:pPr>
        <w:spacing w:before="200"/>
      </w:pP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r>
    </w:tbl>
    <w:p>
      <w:pPr>
        <w:sectPr>
          <w:pgSz w:w="11906" w:h="16838" w:orient="portrait"/>
          <w:pgMar w:top="1440" w:right="1440" w:bottom="1440" w:left="1440" w:header="708" w:footer="708" w:gutter="0"/>
          <w:pgNumType/>
          <w:docGrid w:linePitch="360"/>
        </w:sectPr>
      </w:pPr>
    </w:p>
    <w:p>
      <w:pPr>
        <w:pStyle w:val="Heading1"/>
        <w:pageBreakBefore/>
      </w:pPr>
      <w:bookmarkStart w:name="_Toc1" w:id="1"/>
      <w:r>
        <w:rPr>
          <w:rFonts w:ascii="Calibri" w:cs="Calibri" w:eastAsia="Calibri" w:hAnsi="Calibri"/>
          <w:b/>
          <w:bCs/>
          <w:color w:val="1E3A5F"/>
          <w:sz w:val="30"/>
          <w:szCs w:val="30"/>
        </w:rPr>
        <w:t xml:space="preserve">Índice</w:t>
      </w:r>
      <w:bookmarkEnd w:id="1"/>
    </w:p>
    <w:sdt>
      <w:sdtPr>
        <w:alias w:val="Índice del plan de negocios"/>
      </w:sdtPr>
      <w:sdtContent>
        <w:p>
          <w:pPr>
            <w:pStyle w:val="TOC1"/>
            <w:tabs>
              <w:tab w:val="right" w:pos="9026" w:leader="dot"/>
            </w:tabs>
          </w:pPr>
          <w:r>
            <w:fldChar w:fldCharType="begin" w:dirty="true"/>
            <w:instrText xml:space="preserve">TOC \h \o "1-1"</w:instrText>
            <w:fldChar w:fldCharType="separate"/>
          </w:r>
          <w:hyperlink w:history="1" w:anchor="_Toc1">
            <w:r>
              <w:t xml:space="preserve">Índice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4.1  Información general</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4.4  Resumen ejecutivo</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4.5  Descripción del negocio</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4.6  Aspectos técnicos y operativos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4.7  Análisis financiero</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4.7.1  Flujos de caja y recuperación de la inversión</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4.8  Análisis o caracterización del mercado</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4.9  Fuerza de trabajo</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4.10  Inversiones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4.11  Indicadores de beneficios directos al país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4.12  Conclusiones</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Diagnóstico y controles de consistencia</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Notas, parámetros y supuestos del modelo</w:t>
            </w:r>
            <w:r>
              <w:tab/>
            </w:r>
            <w:r>
              <w:fldChar w:fldCharType="begin" w:dirty="true"/>
              <w:instrText xml:space="preserve">PAGEREF _Toc14 \h</w:instrText>
              <w:fldChar w:fldCharType="separate"/>
              <w:fldChar w:fldCharType="end"/>
            </w:r>
          </w:hyperlink>
        </w:p>
        <w:p>
          <w:r>
            <w:fldChar w:fldCharType="end"/>
          </w:r>
        </w:p>
      </w:sdtContent>
    </w:sdt>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ageBreakBefore/>
      </w:pPr>
      <w:bookmarkStart w:name="_Toc2" w:id="2"/>
      <w:r>
        <w:rPr>
          <w:rFonts w:ascii="Calibri" w:cs="Calibri" w:eastAsia="Calibri" w:hAnsi="Calibri"/>
          <w:b/>
          <w:bCs/>
          <w:color w:val="1E3A5F"/>
          <w:sz w:val="30"/>
          <w:szCs w:val="30"/>
        </w:rPr>
        <w:t xml:space="preserve">4.1  Información general</w:t>
      </w:r>
      <w:bookmarkEnd w:id="2"/>
    </w:p>
    <w:p>
      <w:pPr>
        <w:spacing w:after="40" w:before="40"/>
        <w:jc w:val="left"/>
      </w:pPr>
      <w:r>
        <w:rPr>
          <w:rFonts w:ascii="Calibri" w:cs="Calibri" w:eastAsia="Calibri" w:hAnsi="Calibri"/>
          <w:b/>
          <w:bCs/>
          <w:color w:val="1E3A5F"/>
          <w:sz w:val="19"/>
          <w:szCs w:val="19"/>
        </w:rPr>
        <w:t xml:space="preserve">Elaborado por: </w:t>
      </w:r>
      <w:r>
        <w:rPr>
          <w:rFonts w:ascii="Calibri" w:cs="Calibri" w:eastAsia="Calibri" w:hAnsi="Calibri"/>
          <w:color w:val="334155"/>
          <w:sz w:val="19"/>
          <w:szCs w:val="19"/>
        </w:rPr>
        <w:t xml:space="preserve">[Pendiente: nombre y apellidos de quien elabora] (Especialista de inversiones (ejemplo ilustrativo))</w:t>
      </w:r>
    </w:p>
    <w:p>
      <w:pPr>
        <w:spacing w:after="40" w:before="40"/>
        <w:jc w:val="left"/>
      </w:pPr>
      <w:r>
        <w:rPr>
          <w:rFonts w:ascii="Calibri" w:cs="Calibri" w:eastAsia="Calibri" w:hAnsi="Calibri"/>
          <w:b/>
          <w:bCs/>
          <w:color w:val="1E3A5F"/>
          <w:sz w:val="19"/>
          <w:szCs w:val="19"/>
        </w:rPr>
        <w:t xml:space="preserve">Firma o identificación: </w:t>
      </w:r>
      <w:r>
        <w:rPr>
          <w:rFonts w:ascii="Calibri" w:cs="Calibri" w:eastAsia="Calibri" w:hAnsi="Calibri"/>
          <w:color w:val="334155"/>
          <w:sz w:val="19"/>
          <w:szCs w:val="19"/>
        </w:rPr>
        <w:t xml:space="preserve">—</w:t>
      </w:r>
    </w:p>
    <w:p>
      <w:pPr>
        <w:spacing w:after="40" w:before="40"/>
        <w:jc w:val="left"/>
      </w:pPr>
      <w:r>
        <w:rPr>
          <w:rFonts w:ascii="Calibri" w:cs="Calibri" w:eastAsia="Calibri" w:hAnsi="Calibri"/>
          <w:b/>
          <w:bCs/>
          <w:color w:val="1E3A5F"/>
          <w:sz w:val="19"/>
          <w:szCs w:val="19"/>
        </w:rPr>
        <w:t xml:space="preserve">Fecha: </w:t>
      </w:r>
      <w:r>
        <w:rPr>
          <w:rFonts w:ascii="Calibri" w:cs="Calibri" w:eastAsia="Calibri" w:hAnsi="Calibri"/>
          <w:color w:val="334155"/>
          <w:sz w:val="19"/>
          <w:szCs w:val="19"/>
        </w:rPr>
        <w:t xml:space="preserve">25 de octubre de 2026</w:t>
      </w:r>
    </w:p>
    <w:p>
      <w:pPr>
        <w:spacing w:after="60" w:before="60" w:line="276"/>
        <w:jc w:val="both"/>
      </w:pPr>
      <w:r>
        <w:rPr>
          <w:rFonts w:ascii="Calibri" w:cs="Calibri" w:eastAsia="Calibri" w:hAnsi="Calibri"/>
          <w:color w:val="334155"/>
          <w:sz w:val="20"/>
          <w:szCs w:val="20"/>
        </w:rPr>
        <w:t xml:space="preserve">Declaración de responsabilidad sobre la veracidad y confiabilidad de los datos:</w:t>
      </w:r>
    </w:p>
    <w:p>
      <w:pPr>
        <w:spacing w:after="60" w:before="60" w:line="276"/>
        <w:jc w:val="both"/>
      </w:pPr>
      <w:r>
        <w:rPr>
          <w:rFonts w:ascii="Calibri" w:cs="Calibri" w:eastAsia="Calibri" w:hAnsi="Calibri"/>
          <w:i/>
          <w:iCs/>
          <w:color w:val="334155"/>
          <w:sz w:val="20"/>
          <w:szCs w:val="20"/>
        </w:rPr>
        <w:t xml:space="preserve">PENDIENTE DE ACEPTAR: el elaborador no ha aceptado la declaración de responsabilidad en la aplicación. El documento no puede presentarse como definitivo ni como firmado.</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BORRADOR NO APTO PARA PRESENTACIÓN: hay 3 campo(s) obligatorio(s) sin completar en 4.1 (Nombre y apellidos de quien elabora; Firma o identificación; Declaración de responsabilidad no aceptada). Este documento es un borrador: no simula identidad, firma ni responsabilidad de persona alguna y no está en condiciones de entregarse a un cliente o inversionista hasta completar los campos y aceptar la declaración.</w:t>
            </w:r>
          </w:p>
        </w:tc>
      </w:tr>
    </w:tbl>
    <w:p>
      <w:pPr>
        <w:pStyle w:val="Heading2"/>
        <w:spacing w:after="80" w:before="220"/>
      </w:pPr>
      <w:r>
        <w:rPr>
          <w:rFonts w:ascii="Calibri" w:cs="Calibri" w:eastAsia="Calibri" w:hAnsi="Calibri"/>
          <w:b/>
          <w:bCs/>
          <w:color w:val="1E3A5F"/>
          <w:sz w:val="24"/>
          <w:szCs w:val="24"/>
        </w:rPr>
        <w:t xml:space="preserve">4.2  Título</w:t>
      </w:r>
    </w:p>
    <w:p>
      <w:pPr>
        <w:spacing w:after="40" w:before="40"/>
        <w:jc w:val="left"/>
      </w:pPr>
      <w:r>
        <w:rPr>
          <w:rFonts w:ascii="Calibri" w:cs="Calibri" w:eastAsia="Calibri" w:hAnsi="Calibri"/>
          <w:b/>
          <w:bCs/>
          <w:color w:val="1E3A5F"/>
          <w:sz w:val="19"/>
          <w:szCs w:val="19"/>
        </w:rPr>
        <w:t xml:space="preserve">Nombre del proyecto: </w:t>
      </w:r>
      <w:r>
        <w:rPr>
          <w:rFonts w:ascii="Calibri" w:cs="Calibri" w:eastAsia="Calibri" w:hAnsi="Calibri"/>
          <w:color w:val="334155"/>
          <w:sz w:val="19"/>
          <w:szCs w:val="19"/>
        </w:rPr>
        <w:t xml:space="preserve">Clínica Estomatológica «Sonrisa Habana»</w:t>
      </w:r>
    </w:p>
    <w:p>
      <w:pPr>
        <w:spacing w:after="40" w:before="40"/>
        <w:jc w:val="left"/>
      </w:pPr>
      <w:r>
        <w:rPr>
          <w:rFonts w:ascii="Calibri" w:cs="Calibri" w:eastAsia="Calibri" w:hAnsi="Calibri"/>
          <w:b/>
          <w:bCs/>
          <w:color w:val="1E3A5F"/>
          <w:sz w:val="19"/>
          <w:szCs w:val="19"/>
        </w:rPr>
        <w:t xml:space="preserve">Denominación de la propuesta: </w:t>
      </w:r>
      <w:r>
        <w:rPr>
          <w:rFonts w:ascii="Calibri" w:cs="Calibri" w:eastAsia="Calibri" w:hAnsi="Calibri"/>
          <w:color w:val="334155"/>
          <w:sz w:val="19"/>
          <w:szCs w:val="19"/>
        </w:rPr>
        <w:t xml:space="preserve">Constitución de una empresa mixta para la prestación de servicios estomatológicos integrales en La Habana</w:t>
      </w:r>
    </w:p>
    <w:p>
      <w:pPr>
        <w:pStyle w:val="Heading1"/>
        <w:pageBreakBefore/>
      </w:pPr>
      <w:bookmarkStart w:name="_Toc3" w:id="3"/>
      <w:r>
        <w:rPr>
          <w:rFonts w:ascii="Calibri" w:cs="Calibri" w:eastAsia="Calibri" w:hAnsi="Calibri"/>
          <w:b/>
          <w:bCs/>
          <w:color w:val="1E3A5F"/>
          <w:sz w:val="30"/>
          <w:szCs w:val="30"/>
        </w:rPr>
        <w:t xml:space="preserve">4.4  Resumen ejecutivo</w:t>
      </w:r>
      <w:bookmarkEnd w:id="3"/>
    </w:p>
    <w:p>
      <w:pPr>
        <w:spacing w:after="60" w:before="60" w:line="276"/>
        <w:jc w:val="both"/>
      </w:pPr>
      <w:r>
        <w:rPr>
          <w:rFonts w:ascii="Calibri" w:cs="Calibri" w:eastAsia="Calibri" w:hAnsi="Calibri"/>
          <w:color w:val="334155"/>
          <w:sz w:val="20"/>
          <w:szCs w:val="20"/>
        </w:rPr>
        <w:t xml:space="preserve">Ejemplo ilustrativo de una propuesta de constitución de una empresa mixta entre un inversionista extranjero del sector de servicios de salud y una entidad nacional cubana, para la prestación de servicios estomatológicos integrales en La Habana. La propuesta contempla la rehabilitación y equipamiento de una instalación asistencial con 5 gabinetes, la incorporación de tecnologías de imagenología digital y laboratorio de prótesis, y la generación de empleo calificado. Todas las cifras de este ejemplo son datos ficticios de demostración de la aplicación: la síntesis cuantitativa del resumen se genera automáticamente desde el modelo financiero y se recalcula al cambiar cualquier parámetro o fórmula. Antes de cualquier presentación oficial deben sustituirse los supuestos y validarse las autorizaciones legales, sanitarias y tributarias aplicables.</w:t>
      </w:r>
    </w:p>
    <w:p>
      <w:pPr>
        <w:spacing w:after="60" w:before="60" w:line="276"/>
        <w:jc w:val="both"/>
      </w:pPr>
      <w:r>
        <w:rPr>
          <w:rFonts w:ascii="Calibri" w:cs="Calibri" w:eastAsia="Calibri" w:hAnsi="Calibri"/>
          <w:i/>
          <w:iCs/>
          <w:color w:val="334155"/>
          <w:sz w:val="20"/>
          <w:szCs w:val="20"/>
        </w:rPr>
        <w:t xml:space="preserve">ESTADO GENERAL DEL PLAN: Borrador de demostración (datos ficticios). Plantilla de demostración con datos ficticios: sus cifras NO son datos reales y el informe no está en condiciones de presentarse a un cliente o inversionista. El diagnóstico del final del documento desarrolla las seis dimensiones de control; el plan no se clasifica como globalmente «correcto» porque las sumas cuadren.</w:t>
      </w:r>
    </w:p>
    <w:p>
      <w:pPr>
        <w:pStyle w:val="NotaTabla"/>
        <w:keepNext/>
        <w:keepLines/>
        <w:spacing w:after="80" w:before="200"/>
      </w:pPr>
      <w:r>
        <w:rPr>
          <w:rFonts w:ascii="Calibri" w:cs="Calibri" w:eastAsia="Calibri" w:hAnsi="Calibri"/>
          <w:b/>
          <w:bCs/>
          <w:color w:val="1E3A5F"/>
          <w:sz w:val="18"/>
          <w:szCs w:val="18"/>
        </w:rPr>
        <w:t xml:space="preserve">Tabla 1. Cifras clave (vinculadas al modelo financiero activo)</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13"/>
        <w:gridCol w:w="4513"/>
      </w:tblGrid>
      <w:tr>
        <w:trPr>
          <w:cantSplit/>
          <w:tblHeader/>
        </w:trPr>
        <w:tc>
          <w:tcPr>
            <w:tcW w:type="dxa" w:w="4513"/>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Indicador</w:t>
            </w:r>
          </w:p>
        </w:tc>
        <w:tc>
          <w:tcPr>
            <w:tcW w:type="dxa" w:w="451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Valor</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Estado general del plan</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Borrador de demostración (datos ficticios)</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total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1.099.640,0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Aportaciones de los socios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876.740,0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Crédito externo previsto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222.900,0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Horizonte de análisis (años)</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Ingresos totales del año 1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719.075,4</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Utilidad después de impuestos del año 1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186.832,4</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Recuperación de la INVERSIÓN TOTAL (flujo del proyecto, simple sin descontar)</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3,5 años</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Recuperación del CAPITAL APORTADO (flujo de los socios, simple sin descontar)</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3,2 años</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Beneficios directos al país acumulados — período completo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3.193.002,6</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Beneficios directos al país — explotación, años 1–N (miles de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3.192.426,6</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Empleos directos en operación</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27</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Salario promedio anual (CUP)</w:t>
            </w:r>
          </w:p>
        </w:tc>
        <w:tc>
          <w:tcPr>
            <w:tcW w:type="dxa" w:w="451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567.111 CUP</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Resumen ejecutivo — análisis dinámico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Clínica Estomatológica «Sonrisa Habana» es una propuesta de Empresa Mixta (Ley 118/2014; Decreto-Ley 335/2018 — referencia ilustrativa a validar) con una inversión total calculada de 1.099.640,0 miles de CUP, financiada con 876.740,0 kCUP de aportaciones de los socios y un crédito de 222.900,0 kCUP, sobre un horizonte de análisis de 10 años. Con los supuestos activos, el modelo proyecta ingresos del año 1 por 719.075,4 miles de CUP, utilidad después de impuestos de 186.832,4 kCUP y una plantilla de 27 trabajadores en operación. La inversión total se recupera en 3,5 años (recuperación simple, sin descontar) por el flujo de caja del proyecto; el capital aportado por los socios, en 3,2 años. Los beneficios directos al país acumulan 3.193.002,6 miles de CUP en el período completo (explotación: 3.192.426,6 kCUP), con impuestos sobre utilidades por 1.773.676,0 kCUP y dividendos de la parte cubana por 906.667,9 kCUP. Riesgos y advertencias activas: gastos del año 0 sin cobertura financiera declarada; tasa tributaria de demostración que condiciona las conclusiones económicas. Mientras no se corrijan, el resumen no puede presentarse como una evaluación favorable. ADVERTENCIA ECONÓMICA: la tasa de impuesto aplicada (35,0 %) es un SUPUESTO DE DEMOSTRACIÓN no validado normativamente: la utilidad neta, los flujos FCFF/FCFE, las recuperaciones, los dividendos y los beneficios al país dependen de ella, por lo que las conclusiones económicas quedan CONDICIONADAS a la validación de la tasa legal aplicable. Datos pendientes de verificar: tasa tributaria aplicable, tipo de cambio oficial vigente, licencias y autorizaciones, certificaciones de aportes y demanda solvente documentada.</w:t>
      </w:r>
    </w:p>
    <w:p>
      <w:pPr>
        <w:pStyle w:val="NotaTexto"/>
        <w:spacing w:after="60" w:before="60" w:line="276"/>
        <w:jc w:val="both"/>
      </w:pPr>
      <w:r>
        <w:rPr>
          <w:rFonts w:ascii="Calibri" w:cs="Calibri" w:eastAsia="Calibri" w:hAnsi="Calibri"/>
          <w:color w:val="334155"/>
          <w:sz w:val="16"/>
          <w:szCs w:val="16"/>
        </w:rPr>
        <w:t xml:space="preserve">Las cifras del resumen cuantitativo provienen del modelo de cálculo activo (análisis dinámico) y se actualizan al cambiar parámetros o fórmulas.</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ADVERTENCIA: 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r>
    </w:tbl>
    <w:p>
      <w:pPr>
        <w:pStyle w:val="Heading1"/>
        <w:pageBreakBefore/>
      </w:pPr>
      <w:bookmarkStart w:name="_Toc4" w:id="4"/>
      <w:r>
        <w:rPr>
          <w:rFonts w:ascii="Calibri" w:cs="Calibri" w:eastAsia="Calibri" w:hAnsi="Calibri"/>
          <w:b/>
          <w:bCs/>
          <w:color w:val="1E3A5F"/>
          <w:sz w:val="30"/>
          <w:szCs w:val="30"/>
        </w:rPr>
        <w:t xml:space="preserve">4.5  Descripción del negocio</w:t>
      </w:r>
      <w:bookmarkEnd w:id="4"/>
    </w:p>
    <w:p>
      <w:pPr>
        <w:spacing w:after="40" w:before="40"/>
        <w:jc w:val="left"/>
      </w:pPr>
      <w:r>
        <w:rPr>
          <w:rFonts w:ascii="Calibri" w:cs="Calibri" w:eastAsia="Calibri" w:hAnsi="Calibri"/>
          <w:b/>
          <w:bCs/>
          <w:color w:val="1E3A5F"/>
          <w:sz w:val="19"/>
          <w:szCs w:val="19"/>
        </w:rPr>
        <w:t xml:space="preserve">Modalidad de la inversión extranjera: </w:t>
      </w:r>
      <w:r>
        <w:rPr>
          <w:rFonts w:ascii="Calibri" w:cs="Calibri" w:eastAsia="Calibri" w:hAnsi="Calibri"/>
          <w:color w:val="334155"/>
          <w:sz w:val="19"/>
          <w:szCs w:val="19"/>
        </w:rPr>
        <w:t xml:space="preserve">Empresa Mixta (Ley 118/2014; Decreto-Ley 335/2018 — referencia ilustrativa a validar)</w:t>
      </w:r>
    </w:p>
    <w:p>
      <w:pPr>
        <w:spacing w:after="40" w:before="40"/>
        <w:jc w:val="left"/>
      </w:pPr>
      <w:r>
        <w:rPr>
          <w:rFonts w:ascii="Calibri" w:cs="Calibri" w:eastAsia="Calibri" w:hAnsi="Calibri"/>
          <w:b/>
          <w:bCs/>
          <w:color w:val="1E3A5F"/>
          <w:sz w:val="19"/>
          <w:szCs w:val="19"/>
        </w:rPr>
        <w:t xml:space="preserve">Objeto social o contractual: </w:t>
      </w:r>
      <w:r>
        <w:rPr>
          <w:rFonts w:ascii="Calibri" w:cs="Calibri" w:eastAsia="Calibri" w:hAnsi="Calibri"/>
          <w:color w:val="334155"/>
          <w:sz w:val="19"/>
          <w:szCs w:val="19"/>
        </w:rPr>
        <w:t xml:space="preserve">Prestación de servicios estomatológicos integrales: consulta y diagnóstico, odontología preventiva, restauraciones, endodoncia, periodoncia, cirugía oral, prótesis estomatológica, ortodoncia e imagenología dental; atención a pacientes nacionales e internacionales y servicios de laboratorio de prótesis.</w:t>
      </w:r>
    </w:p>
    <w:p>
      <w:pPr>
        <w:spacing w:after="40" w:before="40"/>
        <w:jc w:val="left"/>
      </w:pPr>
      <w:r>
        <w:rPr>
          <w:rFonts w:ascii="Calibri" w:cs="Calibri" w:eastAsia="Calibri" w:hAnsi="Calibri"/>
          <w:b/>
          <w:bCs/>
          <w:color w:val="1E3A5F"/>
          <w:sz w:val="19"/>
          <w:szCs w:val="19"/>
        </w:rPr>
        <w:t xml:space="preserve">Plazo de vigencia: </w:t>
      </w:r>
      <w:r>
        <w:rPr>
          <w:rFonts w:ascii="Calibri" w:cs="Calibri" w:eastAsia="Calibri" w:hAnsi="Calibri"/>
          <w:color w:val="334155"/>
          <w:sz w:val="19"/>
          <w:szCs w:val="19"/>
        </w:rPr>
        <w:t xml:space="preserve">20 años renovables (supuesto ilustrativo)</w:t>
      </w:r>
    </w:p>
    <w:p>
      <w:pPr>
        <w:spacing w:after="40" w:before="40"/>
        <w:jc w:val="left"/>
      </w:pPr>
      <w:r>
        <w:rPr>
          <w:rFonts w:ascii="Calibri" w:cs="Calibri" w:eastAsia="Calibri" w:hAnsi="Calibri"/>
          <w:b/>
          <w:bCs/>
          <w:color w:val="1E3A5F"/>
          <w:sz w:val="19"/>
          <w:szCs w:val="19"/>
        </w:rPr>
        <w:t xml:space="preserve">Fundamentación y propuesta de valor: </w:t>
      </w:r>
      <w:r>
        <w:rPr>
          <w:rFonts w:ascii="Calibri" w:cs="Calibri" w:eastAsia="Calibri" w:hAnsi="Calibri"/>
          <w:color w:val="334155"/>
          <w:sz w:val="19"/>
          <w:szCs w:val="19"/>
        </w:rPr>
        <w:t xml:space="preserve">La propuesta responde a la demanda insatisfecha de servicios estomatológicos especializados con estándares internacionales, tanto para la población nacional con capacidad de pago como para pacientes internacionales. La clínica incorpora tecnología de diagnóstico digital, esterilización de última generación y protocolos de bioseguridad, con transferencia de conocimiento al personal cubano. Texto ilustrativo: debe sustentarse en estudios reales de demanda y competencia.</w:t>
      </w:r>
    </w:p>
    <w:p>
      <w:pPr>
        <w:spacing w:after="40" w:before="40"/>
        <w:jc w:val="left"/>
      </w:pPr>
      <w:r>
        <w:rPr>
          <w:rFonts w:ascii="Calibri" w:cs="Calibri" w:eastAsia="Calibri" w:hAnsi="Calibri"/>
          <w:b/>
          <w:bCs/>
          <w:color w:val="1E3A5F"/>
          <w:sz w:val="19"/>
          <w:szCs w:val="19"/>
        </w:rPr>
        <w:t xml:space="preserve">Relación con los objetivos de la inversión extranjera: </w:t>
      </w:r>
      <w:r>
        <w:rPr>
          <w:rFonts w:ascii="Calibri" w:cs="Calibri" w:eastAsia="Calibri" w:hAnsi="Calibri"/>
          <w:color w:val="334155"/>
          <w:sz w:val="19"/>
          <w:szCs w:val="19"/>
        </w:rPr>
        <w:t xml:space="preserve">Vinculación ilustrativa con los objetivos de la Ley 118: sustitución de servicios importados por oferta nacional; generación de ingresos exportables (atención a pacientes internacionales); transferencia de tecnología; creación de empleo calificado; encadenamientos con proveedores nacionales cuando exista oferta.</w:t>
      </w:r>
    </w:p>
    <w:p>
      <w:pPr>
        <w:spacing w:after="40" w:before="40"/>
        <w:jc w:val="left"/>
      </w:pPr>
      <w:r>
        <w:rPr>
          <w:rFonts w:ascii="Calibri" w:cs="Calibri" w:eastAsia="Calibri" w:hAnsi="Calibri"/>
          <w:b/>
          <w:bCs/>
          <w:color w:val="1E3A5F"/>
          <w:sz w:val="19"/>
          <w:szCs w:val="19"/>
        </w:rPr>
        <w:t xml:space="preserve">Relación con el PNDES: </w:t>
      </w:r>
      <w:r>
        <w:rPr>
          <w:rFonts w:ascii="Calibri" w:cs="Calibri" w:eastAsia="Calibri" w:hAnsi="Calibri"/>
          <w:color w:val="334155"/>
          <w:sz w:val="19"/>
          <w:szCs w:val="19"/>
        </w:rPr>
        <w:t xml:space="preserve">Alineación ilustrativa con el Plan Nacional de Desarrollo Económico y Social: transformación de los servicios con alto valor agregado y exportables; elevación de la calidad de vida mediante servicios de salud. (Validar la alineación real con el PNDES vigente.)</w:t>
      </w:r>
    </w:p>
    <w:p>
      <w:pPr>
        <w:spacing w:after="40" w:before="40"/>
        <w:jc w:val="left"/>
      </w:pPr>
      <w:r>
        <w:rPr>
          <w:rFonts w:ascii="Calibri" w:cs="Calibri" w:eastAsia="Calibri" w:hAnsi="Calibri"/>
          <w:b/>
          <w:bCs/>
          <w:color w:val="1E3A5F"/>
          <w:sz w:val="19"/>
          <w:szCs w:val="19"/>
        </w:rPr>
        <w:t xml:space="preserve">Relación con la estrategia territorial: </w:t>
      </w:r>
      <w:r>
        <w:rPr>
          <w:rFonts w:ascii="Calibri" w:cs="Calibri" w:eastAsia="Calibri" w:hAnsi="Calibri"/>
          <w:color w:val="334155"/>
          <w:sz w:val="19"/>
          <w:szCs w:val="19"/>
        </w:rPr>
        <w:t xml:space="preserve">Contribución ilustrativa a la Estrategia de Desarrollo Territorial de La Habana: fortalecimiento del polo de servicios de salud y posicionamiento como destino de turismo de salud. (Validar con la EDT municipal aplicable.)</w:t>
      </w:r>
    </w:p>
    <w:p>
      <w:pPr>
        <w:spacing w:after="40" w:before="40"/>
        <w:jc w:val="left"/>
      </w:pPr>
      <w:r>
        <w:rPr>
          <w:rFonts w:ascii="Calibri" w:cs="Calibri" w:eastAsia="Calibri" w:hAnsi="Calibri"/>
          <w:b/>
          <w:bCs/>
          <w:color w:val="1E3A5F"/>
          <w:sz w:val="19"/>
          <w:szCs w:val="19"/>
        </w:rPr>
        <w:t xml:space="preserve">Bienes y servicios: </w:t>
      </w:r>
      <w:r>
        <w:rPr>
          <w:rFonts w:ascii="Calibri" w:cs="Calibri" w:eastAsia="Calibri" w:hAnsi="Calibri"/>
          <w:color w:val="334155"/>
          <w:sz w:val="19"/>
          <w:szCs w:val="19"/>
        </w:rPr>
        <w:t xml:space="preserve">Servicios estomatológicos especializados con equipamiento digital. Nueve líneas de servicio con precios, demanda prevista, duración y recursos requeridos definidos en 4.6; el motor de cálculo limita la producción a la capacidad instalada del escenario activo. El detalle de precios y volúmenes es un supuesto ficticio precargado para demostrar el modelo.</w:t>
      </w:r>
    </w:p>
    <w:p>
      <w:pPr>
        <w:spacing w:after="40" w:before="40"/>
        <w:jc w:val="left"/>
      </w:pPr>
      <w:r>
        <w:rPr>
          <w:rFonts w:ascii="Calibri" w:cs="Calibri" w:eastAsia="Calibri" w:hAnsi="Calibri"/>
          <w:b/>
          <w:bCs/>
          <w:color w:val="1E3A5F"/>
          <w:sz w:val="19"/>
          <w:szCs w:val="19"/>
        </w:rPr>
        <w:t xml:space="preserve">Mercado interno: </w:t>
      </w:r>
      <w:r>
        <w:rPr>
          <w:rFonts w:ascii="Calibri" w:cs="Calibri" w:eastAsia="Calibri" w:hAnsi="Calibri"/>
          <w:color w:val="334155"/>
          <w:sz w:val="19"/>
          <w:szCs w:val="19"/>
        </w:rPr>
        <w:t xml:space="preserve">Demanda de la población con capacidad de pago en La Habana y municipios cercanos; convenios con entidades empleadoras para planes de atención. La demanda solvente y su captación son supuestos ilustrativos definidos en 4.8.</w:t>
      </w:r>
    </w:p>
    <w:p>
      <w:pPr>
        <w:spacing w:after="40" w:before="40"/>
        <w:jc w:val="left"/>
      </w:pPr>
      <w:r>
        <w:rPr>
          <w:rFonts w:ascii="Calibri" w:cs="Calibri" w:eastAsia="Calibri" w:hAnsi="Calibri"/>
          <w:b/>
          <w:bCs/>
          <w:color w:val="1E3A5F"/>
          <w:sz w:val="19"/>
          <w:szCs w:val="19"/>
        </w:rPr>
        <w:t xml:space="preserve">Mercado externo: </w:t>
      </w:r>
      <w:r>
        <w:rPr>
          <w:rFonts w:ascii="Calibri" w:cs="Calibri" w:eastAsia="Calibri" w:hAnsi="Calibri"/>
          <w:color w:val="334155"/>
          <w:sz w:val="19"/>
          <w:szCs w:val="19"/>
        </w:rPr>
        <w:t xml:space="preserve">Atención a pacientes internacionales (turismo de salud) mediante acuerdos con turoperadores y plataformas de reservas médicas. Supuesto ilustrativo: participación creciente a partir del tercer año.</w:t>
      </w:r>
    </w:p>
    <w:p>
      <w:pPr>
        <w:spacing w:after="40" w:before="40"/>
        <w:jc w:val="left"/>
      </w:pPr>
      <w:r>
        <w:rPr>
          <w:rFonts w:ascii="Calibri" w:cs="Calibri" w:eastAsia="Calibri" w:hAnsi="Calibri"/>
          <w:b/>
          <w:bCs/>
          <w:color w:val="1E3A5F"/>
          <w:sz w:val="19"/>
          <w:szCs w:val="19"/>
        </w:rPr>
        <w:t xml:space="preserve">Regla de distribución de beneficios: </w:t>
      </w:r>
      <w:r>
        <w:rPr>
          <w:rFonts w:ascii="Calibri" w:cs="Calibri" w:eastAsia="Calibri" w:hAnsi="Calibri"/>
          <w:color w:val="334155"/>
          <w:sz w:val="19"/>
          <w:szCs w:val="19"/>
        </w:rPr>
        <w:t xml:space="preserve">Distribución de utilidades conforme a la participación en el capital social (60 % socio extranjero / 40 % socio nacional, supuesto ilustrativo), previa absorción de pérdidas acumuladas y constitución de las reservas que correspondan según la legislación vigente. El módulo de dividendos del modelo distingue utilidad contable, utilidad distribuible, dividendos propuestos y dividendos pagables según la caja disponible. (Regla a validar jurídicamente.)</w:t>
      </w:r>
    </w:p>
    <w:p>
      <w:pPr>
        <w:pStyle w:val="NotaTabla"/>
        <w:keepNext/>
        <w:keepLines/>
        <w:spacing w:after="80" w:before="200"/>
      </w:pPr>
      <w:r>
        <w:rPr>
          <w:rFonts w:ascii="Calibri" w:cs="Calibri" w:eastAsia="Calibri" w:hAnsi="Calibri"/>
          <w:b/>
          <w:bCs/>
          <w:color w:val="1E3A5F"/>
          <w:sz w:val="18"/>
          <w:szCs w:val="18"/>
        </w:rPr>
        <w:t xml:space="preserve">Tabla 2. Inversionista extranjero</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3717"/>
        <w:gridCol w:w="5309"/>
      </w:tblGrid>
      <w:tr>
        <w:trPr>
          <w:cantSplit/>
          <w:tblHeader/>
        </w:trPr>
        <w:tc>
          <w:tcPr>
            <w:tcW w:type="dxa" w:w="371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Campo</w:t>
            </w:r>
          </w:p>
        </w:tc>
        <w:tc>
          <w:tcPr>
            <w:tcW w:type="dxa" w:w="530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Contenido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Nombre</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Grupo Dental Internacional S.A. (ficticio)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Domicilio</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Av. Ejemplo 123, Ciudad Ejemplo, País Ejemplo (dato ficticio)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Identificación fiscal</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NIF-EJEMPLO-000000 (ficticio)</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Experiencia</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Operador ilustrativo de redes de clínicas dentales con 15 años de experiencia (dato ficticio para la demostración).</w:t>
            </w:r>
          </w:p>
        </w:tc>
      </w:tr>
      <w:tr>
        <w:trPr>
          <w:cantSplit/>
        </w:trPr>
        <w:tc>
          <w:tcPr>
            <w:tcW w:type="dxa" w:w="371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Vinculación con Cuba</w:t>
            </w:r>
          </w:p>
        </w:tc>
        <w:tc>
          <w:tcPr>
            <w:tcW w:type="dxa" w:w="5309"/>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Sin operaciones previas en Cuba (supuesto ilustrativo).</w:t>
            </w:r>
          </w:p>
        </w:tc>
      </w:tr>
    </w:tbl>
    <w:p>
      <w:pPr>
        <w:pStyle w:val="NotaTabla"/>
        <w:keepNext/>
        <w:keepLines/>
        <w:spacing w:after="80" w:before="200"/>
      </w:pPr>
      <w:r>
        <w:rPr>
          <w:rFonts w:ascii="Calibri" w:cs="Calibri" w:eastAsia="Calibri" w:hAnsi="Calibri"/>
          <w:b/>
          <w:bCs/>
          <w:color w:val="1E3A5F"/>
          <w:sz w:val="18"/>
          <w:szCs w:val="18"/>
        </w:rPr>
        <w:t xml:space="preserve">Tabla 3. Inversionista nacional</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13"/>
        <w:gridCol w:w="4513"/>
      </w:tblGrid>
      <w:tr>
        <w:trPr>
          <w:cantSplit/>
          <w:tblHeader/>
        </w:trPr>
        <w:tc>
          <w:tcPr>
            <w:tcW w:type="dxa" w:w="4513"/>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Campo</w:t>
            </w:r>
          </w:p>
        </w:tc>
        <w:tc>
          <w:tcPr>
            <w:tcW w:type="dxa" w:w="451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Contenido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Nombre</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Entidad Nacional de Servicios de Salud (ficticia)</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Domicilio</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Calle Ejemplo 456, La Habana, Cuba (dato ficticio)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Identificación fiscal</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Código ONAT ficticio (dato ilustrativo)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Experiencia (objeto social vigente, cuando corresponda)</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Entidad empleadora y prestadora de servicios de salud conforme a su objeto social vigente (dato ficticio).</w:t>
            </w:r>
          </w:p>
        </w:tc>
      </w:tr>
      <w:tr>
        <w:trPr>
          <w:cantSplit/>
        </w:trPr>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Vinculación con Cuba</w:t>
            </w:r>
          </w:p>
        </w:tc>
        <w:tc>
          <w:tcPr>
            <w:tcW w:type="dxa" w:w="451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Aporta instalaciones y fuerza de trabajo calificada (supuesto ilustrativo).</w:t>
            </w:r>
          </w:p>
        </w:tc>
      </w:tr>
    </w:tbl>
    <w:p>
      <w:pPr>
        <w:pStyle w:val="NotaTabla"/>
        <w:keepNext/>
        <w:keepLines/>
        <w:spacing w:after="80" w:before="200"/>
      </w:pPr>
      <w:r>
        <w:rPr>
          <w:rFonts w:ascii="Calibri" w:cs="Calibri" w:eastAsia="Calibri" w:hAnsi="Calibri"/>
          <w:b/>
          <w:bCs/>
          <w:color w:val="1E3A5F"/>
          <w:sz w:val="18"/>
          <w:szCs w:val="18"/>
        </w:rPr>
        <w:t xml:space="preserve">Tabla 4. Aportaciones de los socios (montos en kUSD de origen; equivalente en miles de CUP; año 0 = montaje/arranque, que financia la inversión total)</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1133"/>
        <w:gridCol w:w="1931"/>
        <w:gridCol w:w="1259"/>
        <w:gridCol w:w="504"/>
        <w:gridCol w:w="504"/>
        <w:gridCol w:w="1008"/>
        <w:gridCol w:w="756"/>
        <w:gridCol w:w="1931"/>
      </w:tblGrid>
      <w:tr>
        <w:trPr>
          <w:cantSplit/>
          <w:tblHeader/>
        </w:trPr>
        <w:tc>
          <w:tcPr>
            <w:tcW w:type="dxa" w:w="1133"/>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Socio</w:t>
            </w:r>
          </w:p>
        </w:tc>
        <w:tc>
          <w:tcPr>
            <w:tcW w:type="dxa" w:w="1931"/>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Tipo de aporte</w:t>
            </w:r>
          </w:p>
        </w:tc>
        <w:tc>
          <w:tcPr>
            <w:tcW w:type="dxa" w:w="125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Año 0 (montaje)</w:t>
            </w:r>
          </w:p>
        </w:tc>
        <w:tc>
          <w:tcPr>
            <w:tcW w:type="dxa" w:w="504"/>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Año 1</w:t>
            </w:r>
          </w:p>
        </w:tc>
        <w:tc>
          <w:tcPr>
            <w:tcW w:type="dxa" w:w="504"/>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Año 2</w:t>
            </w:r>
          </w:p>
        </w:tc>
        <w:tc>
          <w:tcPr>
            <w:tcW w:type="dxa" w:w="100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Total (kUSD)</w:t>
            </w:r>
          </w:p>
        </w:tc>
        <w:tc>
          <w:tcPr>
            <w:tcW w:type="dxa" w:w="756"/>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En kCUP</w:t>
            </w:r>
          </w:p>
        </w:tc>
        <w:tc>
          <w:tcPr>
            <w:tcW w:type="dxa" w:w="1931"/>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Ref. doc.</w:t>
            </w:r>
          </w:p>
        </w:tc>
      </w:tr>
      <w:tr>
        <w:trPr>
          <w:cantSplit/>
        </w:trPr>
        <w:tc>
          <w:tcPr>
            <w:tcW w:type="dxa" w:w="113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Extranjero</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Efectivo</w:t>
            </w:r>
          </w:p>
        </w:tc>
        <w:tc>
          <w:tcPr>
            <w:tcW w:type="dxa" w:w="125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420,0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0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420,0</w:t>
            </w:r>
          </w:p>
        </w:tc>
        <w:tc>
          <w:tcPr>
            <w:tcW w:type="dxa" w:w="75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312.060,0</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13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Extranjero</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Activos fijos tangibles</w:t>
            </w:r>
          </w:p>
        </w:tc>
        <w:tc>
          <w:tcPr>
            <w:tcW w:type="dxa" w:w="125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288,0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0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288,0</w:t>
            </w:r>
          </w:p>
        </w:tc>
        <w:tc>
          <w:tcPr>
            <w:tcW w:type="dxa" w:w="75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213.984,0</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13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Nacional</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Activos fijos tangibles</w:t>
            </w:r>
          </w:p>
        </w:tc>
        <w:tc>
          <w:tcPr>
            <w:tcW w:type="dxa" w:w="125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180,0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0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180,0</w:t>
            </w:r>
          </w:p>
        </w:tc>
        <w:tc>
          <w:tcPr>
            <w:tcW w:type="dxa" w:w="75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133.740,0</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13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Nacional</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Activos circulantes</w:t>
            </w:r>
          </w:p>
        </w:tc>
        <w:tc>
          <w:tcPr>
            <w:tcW w:type="dxa" w:w="125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0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152,0</w:t>
            </w:r>
          </w:p>
        </w:tc>
        <w:tc>
          <w:tcPr>
            <w:tcW w:type="dxa" w:w="75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112.936,0</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r>
        <w:trPr>
          <w:cantSplit/>
        </w:trPr>
        <w:tc>
          <w:tcPr>
            <w:tcW w:type="dxa" w:w="113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Nacional</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Efectivo</w:t>
            </w:r>
          </w:p>
        </w:tc>
        <w:tc>
          <w:tcPr>
            <w:tcW w:type="dxa" w:w="125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50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c>
          <w:tcPr>
            <w:tcW w:type="dxa" w:w="100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140,0</w:t>
            </w:r>
          </w:p>
        </w:tc>
        <w:tc>
          <w:tcPr>
            <w:tcW w:type="dxa" w:w="75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104.020,0</w:t>
            </w:r>
          </w:p>
        </w:tc>
        <w:tc>
          <w:tcPr>
            <w:tcW w:type="dxa" w:w="193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HIPÓTESIS (no validada)</w:t>
            </w:r>
          </w:p>
        </w:tc>
      </w:tr>
    </w:tbl>
    <w:p>
      <w:pPr>
        <w:pStyle w:val="NotaTexto"/>
        <w:spacing w:after="60" w:before="60" w:line="276"/>
        <w:jc w:val="both"/>
      </w:pPr>
      <w:r>
        <w:rPr>
          <w:rFonts w:ascii="Calibri" w:cs="Calibri" w:eastAsia="Calibri" w:hAnsi="Calibri"/>
          <w:color w:val="334155"/>
          <w:sz w:val="16"/>
          <w:szCs w:val="16"/>
        </w:rPr>
        <w:t xml:space="preserve">Los aportes de derechos reales requieren la certificación de la Dirección de Patrimonio del MFP cuando corresponda (metodología 4.5). Los aportes en activos deben conciliar con el inventario de inversiones para evitar la doble contabilización del mismo bien. Una referencia «HIPÓTESIS (no validada)» NO cuenta como respaldo acreditado: identifique el documento (título, emisor, fecha) y adjunte el soporte.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las aportaciones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Las aportaciones comprometidas suman 876.740,0 miles de CUP: el inversionista extranjero aporta 526.044,0 (60,0 %) y la parte nacional 350.696,0 (40,0 %). Por tipo de aporte, Efectivo con 416.080,0 (47,5 %), Activos fijos tangibles con 347.724,0 (39,7 %), Activos circulantes con 112.936,0 (12,9 %). La composición del capital resultante es 60,0 % extranjero / 40,0 % nacional; el parámetro de participación cubana configurado es 40,0 % y el diagnóstico comprueba su coherencia con estas aportaciones. Con estas aportaciones y las demás fuentes, la financiación disponible cubre exactamente la inversión total calculada (diferencia de 0,0 kCUP) bajo las premisas vigentes; ello no implica que los fondos estén comprometidos ni desembolsados: las aportaciones requieren documentación de respaldo. Estas cifras son estimaciones de la plantilla mientras no se adjunten los documentos de respaldo; no constituyen validación jurídica de los aportes.</w:t>
      </w:r>
    </w:p>
    <w:p>
      <w:pPr>
        <w:pStyle w:val="Heading1"/>
        <w:pageBreakBefore/>
      </w:pPr>
      <w:bookmarkStart w:name="_Toc5" w:id="5"/>
      <w:r>
        <w:rPr>
          <w:rFonts w:ascii="Calibri" w:cs="Calibri" w:eastAsia="Calibri" w:hAnsi="Calibri"/>
          <w:b/>
          <w:bCs/>
          <w:color w:val="1E3A5F"/>
          <w:sz w:val="30"/>
          <w:szCs w:val="30"/>
        </w:rPr>
        <w:t xml:space="preserve">4.6  Aspectos técnicos y operativos</w:t>
      </w:r>
      <w:bookmarkEnd w:id="5"/>
    </w:p>
    <w:p>
      <w:pPr>
        <w:spacing w:after="40" w:before="40"/>
        <w:jc w:val="left"/>
      </w:pPr>
      <w:r>
        <w:rPr>
          <w:rFonts w:ascii="Calibri" w:cs="Calibri" w:eastAsia="Calibri" w:hAnsi="Calibri"/>
          <w:b/>
          <w:bCs/>
          <w:color w:val="1E3A5F"/>
          <w:sz w:val="19"/>
          <w:szCs w:val="19"/>
        </w:rPr>
        <w:t xml:space="preserve">Caracterización de bienes y servicios: </w:t>
      </w:r>
      <w:r>
        <w:rPr>
          <w:rFonts w:ascii="Calibri" w:cs="Calibri" w:eastAsia="Calibri" w:hAnsi="Calibri"/>
          <w:color w:val="334155"/>
          <w:sz w:val="19"/>
          <w:szCs w:val="19"/>
        </w:rPr>
        <w:t xml:space="preserve">Clínica estomatológica integral con 5 gabinetes de atención (ampliables a 7 según el escenario activo), 1 laboratorio de prótesis, 1 sala de imagenología dental (2 equipos), esterilización central con autoclaves de vacío y compresores dedicados, recepción y administración. Modelo operativo con cita programada y horario extendido (lunes a sábado). Instalación en local existente sujeto a adecuación y montaje (supuesto ilustrativo).</w:t>
      </w:r>
    </w:p>
    <w:p>
      <w:pPr>
        <w:spacing w:after="40" w:before="40"/>
        <w:jc w:val="left"/>
      </w:pPr>
      <w:r>
        <w:rPr>
          <w:rFonts w:ascii="Calibri" w:cs="Calibri" w:eastAsia="Calibri" w:hAnsi="Calibri"/>
          <w:b/>
          <w:bCs/>
          <w:color w:val="1E3A5F"/>
          <w:sz w:val="19"/>
          <w:szCs w:val="19"/>
        </w:rPr>
        <w:t xml:space="preserve">Capacidad instalada: </w:t>
      </w:r>
      <w:r>
        <w:rPr>
          <w:rFonts w:ascii="Calibri" w:cs="Calibri" w:eastAsia="Calibri" w:hAnsi="Calibri"/>
          <w:color w:val="334155"/>
          <w:sz w:val="19"/>
          <w:szCs w:val="19"/>
        </w:rPr>
        <w:t xml:space="preserve">La capacidad se deriva de los recursos operativos de la tabla 4.6 (no de una cifra aislada): 5 gabinetes × 8 h/día × 288 días/año, con 5 % de mantenimiento; 2 equipos de imagenología a 6 h/día; laboratorio de prótesis a 6 h/día; y 12 profesionales a 6 h/día. Cada servicio declara su duración media y los recursos que ocupa simultáneamente; como los gabinetes y los profesionales se COMPARTEN entre líneas, el motor reparte el tiempo disponible (asignación proporcional) y limita la producción a lo realmente atendible. Escenario ACTIVO: B (ampliación) — véase la ampliación programada en la tabla de recursos.</w:t>
      </w:r>
    </w:p>
    <w:p>
      <w:pPr>
        <w:spacing w:after="40" w:before="40"/>
        <w:jc w:val="left"/>
      </w:pPr>
      <w:r>
        <w:rPr>
          <w:rFonts w:ascii="Calibri" w:cs="Calibri" w:eastAsia="Calibri" w:hAnsi="Calibri"/>
          <w:b/>
          <w:bCs/>
          <w:color w:val="1E3A5F"/>
          <w:sz w:val="19"/>
          <w:szCs w:val="19"/>
        </w:rPr>
        <w:t xml:space="preserve">Plazo para alcanzar los niveles previstos: </w:t>
      </w:r>
      <w:r>
        <w:rPr>
          <w:rFonts w:ascii="Calibri" w:cs="Calibri" w:eastAsia="Calibri" w:hAnsi="Calibri"/>
          <w:color w:val="334155"/>
          <w:sz w:val="19"/>
          <w:szCs w:val="19"/>
        </w:rPr>
        <w:t xml:space="preserve">Crecimiento de la demanda del 5 % anual desde el año 1 (supuesto ilustrativo); la ampliación de gabinetes programada en la tabla de recursos operativos (escenario B) sostiene el crecimiento posterior: el año de entrada, el CAPEX y la depreciación correspondiente se derivan del dato estructurado de la ampliación, no de este texto.</w:t>
      </w:r>
    </w:p>
    <w:p>
      <w:pPr>
        <w:spacing w:after="40" w:before="40"/>
        <w:jc w:val="left"/>
      </w:pPr>
      <w:r>
        <w:rPr>
          <w:rFonts w:ascii="Calibri" w:cs="Calibri" w:eastAsia="Calibri" w:hAnsi="Calibri"/>
          <w:b/>
          <w:bCs/>
          <w:color w:val="1E3A5F"/>
          <w:sz w:val="19"/>
          <w:szCs w:val="19"/>
        </w:rPr>
        <w:t xml:space="preserve">Tecnologías utilizadas: </w:t>
      </w:r>
      <w:r>
        <w:rPr>
          <w:rFonts w:ascii="Calibri" w:cs="Calibri" w:eastAsia="Calibri" w:hAnsi="Calibri"/>
          <w:color w:val="334155"/>
          <w:sz w:val="19"/>
          <w:szCs w:val="19"/>
        </w:rPr>
        <w:t xml:space="preserve">Instalación base con equipamiento básico existente (dato ficticio).</w:t>
      </w:r>
    </w:p>
    <w:p>
      <w:pPr>
        <w:spacing w:after="40" w:before="40"/>
        <w:jc w:val="left"/>
      </w:pPr>
      <w:r>
        <w:rPr>
          <w:rFonts w:ascii="Calibri" w:cs="Calibri" w:eastAsia="Calibri" w:hAnsi="Calibri"/>
          <w:b/>
          <w:bCs/>
          <w:color w:val="1E3A5F"/>
          <w:sz w:val="19"/>
          <w:szCs w:val="19"/>
        </w:rPr>
        <w:t xml:space="preserve">Tecnologías a incorporar: </w:t>
      </w:r>
      <w:r>
        <w:rPr>
          <w:rFonts w:ascii="Calibri" w:cs="Calibri" w:eastAsia="Calibri" w:hAnsi="Calibri"/>
          <w:color w:val="334155"/>
          <w:sz w:val="19"/>
          <w:szCs w:val="19"/>
        </w:rPr>
        <w:t xml:space="preserve">Radiógrafos digitales panorámicos/periapicales, sillones de última generación, autoclaves de vacío clase B, sistema de gestión clínica digital y laboratorio de prótesis CAD/CAM básico (todos supuestos ilustrativos).</w:t>
      </w:r>
    </w:p>
    <w:p>
      <w:pPr>
        <w:spacing w:after="40" w:before="40"/>
        <w:jc w:val="left"/>
      </w:pPr>
      <w:r>
        <w:rPr>
          <w:rFonts w:ascii="Calibri" w:cs="Calibri" w:eastAsia="Calibri" w:hAnsi="Calibri"/>
          <w:b/>
          <w:bCs/>
          <w:color w:val="1E3A5F"/>
          <w:sz w:val="19"/>
          <w:szCs w:val="19"/>
        </w:rPr>
        <w:t xml:space="preserve">Localización: </w:t>
      </w:r>
      <w:r>
        <w:rPr>
          <w:rFonts w:ascii="Calibri" w:cs="Calibri" w:eastAsia="Calibri" w:hAnsi="Calibri"/>
          <w:color w:val="334155"/>
          <w:sz w:val="19"/>
          <w:szCs w:val="19"/>
        </w:rPr>
        <w:t xml:space="preserve">Municipio Playa, La Habana, Cuba (dirección ficticia: Calle Ejemplo e/ Ejemplo y Ejemplo, Reparto Ejemplo).</w:t>
      </w:r>
    </w:p>
    <w:p>
      <w:pPr>
        <w:spacing w:after="40" w:before="40"/>
        <w:jc w:val="left"/>
      </w:pPr>
      <w:r>
        <w:rPr>
          <w:rFonts w:ascii="Calibri" w:cs="Calibri" w:eastAsia="Calibri" w:hAnsi="Calibri"/>
          <w:b/>
          <w:bCs/>
          <w:color w:val="1E3A5F"/>
          <w:sz w:val="19"/>
          <w:szCs w:val="19"/>
        </w:rPr>
        <w:t xml:space="preserve">Infraestructura requerida: </w:t>
      </w:r>
      <w:r>
        <w:rPr>
          <w:rFonts w:ascii="Calibri" w:cs="Calibri" w:eastAsia="Calibri" w:hAnsi="Calibri"/>
          <w:color w:val="334155"/>
          <w:sz w:val="19"/>
          <w:szCs w:val="19"/>
        </w:rPr>
        <w:t xml:space="preserve">Red eléctrica, agua, alcantarillado, comunicaciones y acceso vial disponibles en la ubicación (supuesto ilustrativo).</w:t>
      </w:r>
    </w:p>
    <w:p>
      <w:pPr>
        <w:spacing w:after="40" w:before="40"/>
        <w:jc w:val="left"/>
      </w:pPr>
      <w:r>
        <w:rPr>
          <w:rFonts w:ascii="Calibri" w:cs="Calibri" w:eastAsia="Calibri" w:hAnsi="Calibri"/>
          <w:b/>
          <w:bCs/>
          <w:color w:val="1E3A5F"/>
          <w:sz w:val="19"/>
          <w:szCs w:val="19"/>
        </w:rPr>
        <w:t xml:space="preserve">Terrenos e instalaciones: </w:t>
      </w:r>
      <w:r>
        <w:rPr>
          <w:rFonts w:ascii="Calibri" w:cs="Calibri" w:eastAsia="Calibri" w:hAnsi="Calibri"/>
          <w:color w:val="334155"/>
          <w:sz w:val="19"/>
          <w:szCs w:val="19"/>
        </w:rPr>
        <w:t xml:space="preserve">Local en régimen de usufructo/arrendamiento estatal con canon anual parametrizado (supuesto ficticio).</w:t>
      </w:r>
    </w:p>
    <w:p>
      <w:pPr>
        <w:spacing w:after="40" w:before="40"/>
        <w:jc w:val="left"/>
      </w:pPr>
      <w:r>
        <w:rPr>
          <w:rFonts w:ascii="Calibri" w:cs="Calibri" w:eastAsia="Calibri" w:hAnsi="Calibri"/>
          <w:b/>
          <w:bCs/>
          <w:color w:val="1E3A5F"/>
          <w:sz w:val="19"/>
          <w:szCs w:val="19"/>
        </w:rPr>
        <w:t xml:space="preserve">Necesidades de construcción: </w:t>
      </w:r>
      <w:r>
        <w:rPr>
          <w:rFonts w:ascii="Calibri" w:cs="Calibri" w:eastAsia="Calibri" w:hAnsi="Calibri"/>
          <w:color w:val="334155"/>
          <w:sz w:val="19"/>
          <w:szCs w:val="19"/>
        </w:rPr>
        <w:t xml:space="preserve">Adecuación de 450 m²: climatización, red de aire comprimido, aspiración centralizada, área de esterilización y laboratorio (monto ilustrativo en la tabla de inversiones).</w:t>
      </w:r>
    </w:p>
    <w:p>
      <w:pPr>
        <w:pStyle w:val="NotaTexto"/>
        <w:spacing w:after="60" w:before="60" w:line="276"/>
        <w:jc w:val="both"/>
        <w:sectPr>
          <w:headerReference w:type="default" r:id="rId8"/>
          <w:footerReference w:type="default" r:id="rId9"/>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Escenario de capacidad ACTIVO: B — ampliaciones programadas.</w:t>
      </w:r>
    </w:p>
    <w:p>
      <w:pPr>
        <w:pStyle w:val="NotaTabla"/>
        <w:keepNext/>
        <w:keepLines/>
        <w:spacing w:after="80" w:before="200"/>
      </w:pPr>
      <w:r>
        <w:rPr>
          <w:rFonts w:ascii="Calibri" w:cs="Calibri" w:eastAsia="Calibri" w:hAnsi="Calibri"/>
          <w:b/>
          <w:bCs/>
          <w:color w:val="1E3A5F"/>
          <w:sz w:val="18"/>
          <w:szCs w:val="18"/>
        </w:rPr>
        <w:t xml:space="preserve">Tabla 5. Recursos operativos (la capacidad se deriva de estos datos)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4434"/>
        <w:gridCol w:w="1314"/>
        <w:gridCol w:w="657"/>
        <w:gridCol w:w="985"/>
        <w:gridCol w:w="876"/>
        <w:gridCol w:w="985"/>
        <w:gridCol w:w="1642"/>
        <w:gridCol w:w="3065"/>
      </w:tblGrid>
      <w:tr>
        <w:trPr>
          <w:cantSplit/>
          <w:tblHeader/>
        </w:trPr>
        <w:tc>
          <w:tcPr>
            <w:tcW w:type="dxa" w:w="4434"/>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Recurso</w:t>
            </w:r>
          </w:p>
        </w:tc>
        <w:tc>
          <w:tcPr>
            <w:tcW w:type="dxa" w:w="131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Tipo</w:t>
            </w:r>
          </w:p>
        </w:tc>
        <w:tc>
          <w:tcPr>
            <w:tcW w:type="dxa" w:w="65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Cant.</w:t>
            </w:r>
          </w:p>
        </w:tc>
        <w:tc>
          <w:tcPr>
            <w:tcW w:type="dxa" w:w="98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Horas/día</w:t>
            </w:r>
          </w:p>
        </w:tc>
        <w:tc>
          <w:tcPr>
            <w:tcW w:type="dxa" w:w="87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Días/año</w:t>
            </w:r>
          </w:p>
        </w:tc>
        <w:tc>
          <w:tcPr>
            <w:tcW w:type="dxa" w:w="98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Mantenim.</w:t>
            </w:r>
          </w:p>
        </w:tc>
        <w:tc>
          <w:tcPr>
            <w:tcW w:type="dxa" w:w="164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Disp. desde año</w:t>
            </w:r>
          </w:p>
        </w:tc>
        <w:tc>
          <w:tcPr>
            <w:tcW w:type="dxa" w:w="306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Ampliaciones</w:t>
            </w:r>
          </w:p>
        </w:tc>
      </w:tr>
      <w:tr>
        <w:trPr>
          <w:cantSplit/>
        </w:trPr>
        <w:tc>
          <w:tcPr>
            <w:tcW w:type="dxa" w:w="443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Gabinetes de atención (sillones)</w:t>
            </w:r>
          </w:p>
        </w:tc>
        <w:tc>
          <w:tcPr>
            <w:tcW w:type="dxa" w:w="131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w:t>
            </w:r>
          </w:p>
        </w:tc>
        <w:tc>
          <w:tcPr>
            <w:tcW w:type="dxa" w:w="65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8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5,0 %</w:t>
            </w:r>
          </w:p>
        </w:tc>
        <w:tc>
          <w:tcPr>
            <w:tcW w:type="dxa" w:w="164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30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+2 en año 7 (111.450,0 kCUP)</w:t>
            </w:r>
          </w:p>
        </w:tc>
      </w:tr>
      <w:tr>
        <w:trPr>
          <w:cantSplit/>
        </w:trPr>
        <w:tc>
          <w:tcPr>
            <w:tcW w:type="dxa" w:w="443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w:t>
            </w:r>
          </w:p>
        </w:tc>
        <w:tc>
          <w:tcPr>
            <w:tcW w:type="dxa" w:w="131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w:t>
            </w:r>
          </w:p>
        </w:tc>
        <w:tc>
          <w:tcPr>
            <w:tcW w:type="dxa" w:w="65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8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10,0 %</w:t>
            </w:r>
          </w:p>
        </w:tc>
        <w:tc>
          <w:tcPr>
            <w:tcW w:type="dxa" w:w="164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30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r>
      <w:tr>
        <w:trPr>
          <w:cantSplit/>
        </w:trPr>
        <w:tc>
          <w:tcPr>
            <w:tcW w:type="dxa" w:w="443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131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Local / área</w:t>
            </w:r>
          </w:p>
        </w:tc>
        <w:tc>
          <w:tcPr>
            <w:tcW w:type="dxa" w:w="65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8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5,0 %</w:t>
            </w:r>
          </w:p>
        </w:tc>
        <w:tc>
          <w:tcPr>
            <w:tcW w:type="dxa" w:w="164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30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r>
      <w:tr>
        <w:trPr>
          <w:cantSplit/>
        </w:trPr>
        <w:tc>
          <w:tcPr>
            <w:tcW w:type="dxa" w:w="443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Profesionales estomatológicos</w:t>
            </w:r>
          </w:p>
        </w:tc>
        <w:tc>
          <w:tcPr>
            <w:tcW w:type="dxa" w:w="131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Profesional</w:t>
            </w:r>
          </w:p>
        </w:tc>
        <w:tc>
          <w:tcPr>
            <w:tcW w:type="dxa" w:w="65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8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288</w:t>
            </w:r>
          </w:p>
        </w:tc>
        <w:tc>
          <w:tcPr>
            <w:tcW w:type="dxa" w:w="98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5,0 %</w:t>
            </w:r>
          </w:p>
        </w:tc>
        <w:tc>
          <w:tcPr>
            <w:tcW w:type="dxa" w:w="164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306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r>
    </w:tbl>
    <w:p>
      <w:pPr>
        <w:pStyle w:val="NotaTabla"/>
        <w:keepNext/>
        <w:keepLines/>
        <w:spacing w:after="80" w:before="200"/>
      </w:pPr>
      <w:r>
        <w:rPr>
          <w:rFonts w:ascii="Calibri" w:cs="Calibri" w:eastAsia="Calibri" w:hAnsi="Calibri"/>
          <w:b/>
          <w:bCs/>
          <w:color w:val="1E3A5F"/>
          <w:sz w:val="18"/>
          <w:szCs w:val="18"/>
        </w:rPr>
        <w:t xml:space="preserve">Tabla 6. Ampliaciones programadas según la tabla de recursos (derivadas del modelo: el año de la capacidad, el CAPEX y la depreciación provienen del mismo dato estructurado)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683"/>
        <w:gridCol w:w="909"/>
        <w:gridCol w:w="2364"/>
        <w:gridCol w:w="1182"/>
        <w:gridCol w:w="3092"/>
        <w:gridCol w:w="2728"/>
      </w:tblGrid>
      <w:tr>
        <w:trPr>
          <w:cantSplit/>
          <w:tblHeader/>
        </w:trPr>
        <w:tc>
          <w:tcPr>
            <w:tcW w:type="dxa" w:w="3683"/>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Recurso</w:t>
            </w:r>
          </w:p>
        </w:tc>
        <w:tc>
          <w:tcPr>
            <w:tcW w:type="dxa" w:w="90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Incremento</w:t>
            </w:r>
          </w:p>
        </w:tc>
        <w:tc>
          <w:tcPr>
            <w:tcW w:type="dxa" w:w="236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de entrada (capacidad)</w:t>
            </w:r>
          </w:p>
        </w:tc>
        <w:tc>
          <w:tcPr>
            <w:tcW w:type="dxa" w:w="118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CAPEX del año</w:t>
            </w:r>
          </w:p>
        </w:tc>
        <w:tc>
          <w:tcPr>
            <w:tcW w:type="dxa" w:w="309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Depreciación desde el año de entrada</w:t>
            </w:r>
          </w:p>
        </w:tc>
        <w:tc>
          <w:tcPr>
            <w:tcW w:type="dxa" w:w="272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Vida útil / VNL al cierre</w:t>
            </w:r>
          </w:p>
        </w:tc>
      </w:tr>
      <w:tr>
        <w:trPr>
          <w:cantSplit/>
        </w:trPr>
        <w:tc>
          <w:tcPr>
            <w:tcW w:type="dxa" w:w="36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Gabinetes de atención (sillones)</w:t>
            </w:r>
          </w:p>
        </w:tc>
        <w:tc>
          <w:tcPr>
            <w:tcW w:type="dxa" w:w="90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+2 uds.</w:t>
            </w:r>
          </w:p>
        </w:tc>
        <w:tc>
          <w:tcPr>
            <w:tcW w:type="dxa" w:w="236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w:t>
            </w:r>
          </w:p>
        </w:tc>
        <w:tc>
          <w:tcPr>
            <w:tcW w:type="dxa" w:w="118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111.450,0</w:t>
            </w:r>
          </w:p>
        </w:tc>
        <w:tc>
          <w:tcPr>
            <w:tcW w:type="dxa" w:w="309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11.145,0 kCUP/año desde el año 7</w:t>
            </w:r>
          </w:p>
        </w:tc>
        <w:tc>
          <w:tcPr>
            <w:tcW w:type="dxa" w:w="272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10 años (VNL al cierre: 66.870,0)</w:t>
            </w:r>
          </w:p>
        </w:tc>
      </w:tr>
    </w:tbl>
    <w:p>
      <w:pPr>
        <w:sectPr>
          <w:headerReference w:type="default" r:id="rId10"/>
          <w:footerReference w:type="default" r:id="rId11"/>
          <w:pgSz w:w="11906" w:h="16838" w:orient="landscape"/>
          <w:pgMar w:top="1440" w:right="1440" w:bottom="1440" w:left="1440" w:header="708" w:footer="708" w:gutter="0"/>
          <w:pgNumType/>
          <w:docGrid w:linePitch="360"/>
        </w:sectPr>
      </w:pPr>
    </w:p>
    <w:p>
      <w:pPr>
        <w:pStyle w:val="NotaTexto"/>
        <w:spacing w:after="60" w:before="60" w:line="276"/>
        <w:jc w:val="both"/>
        <w:sectPr>
          <w:headerReference w:type="default" r:id="rId12"/>
          <w:footerReference w:type="default" r:id="rId13"/>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año de entrada de cada ampliación es el dato estructurado registrado en la tabla de recursos (año 7); el CAPEX, la depreciación y las tablas de capacidad y flujos usan ese mismo año. Toda mención narrativa a una fecha de ampliación debe corresponderse con este registro.</w:t>
      </w:r>
    </w:p>
    <w:p>
      <w:pPr>
        <w:pStyle w:val="NotaTabla"/>
        <w:keepNext/>
        <w:keepLines/>
        <w:spacing w:after="80" w:before="200"/>
      </w:pPr>
      <w:r>
        <w:rPr>
          <w:rFonts w:ascii="Calibri" w:cs="Calibri" w:eastAsia="Calibri" w:hAnsi="Calibri"/>
          <w:b/>
          <w:bCs/>
          <w:color w:val="1E3A5F"/>
          <w:sz w:val="18"/>
          <w:szCs w:val="18"/>
        </w:rPr>
        <w:t xml:space="preserve">Tabla 7. Servicios previstos (año 1; precios y costos unitarios en CUP; demanda vs. capacidad del escenario activo; canal de comercialización 4.8)</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2877"/>
        <w:gridCol w:w="852"/>
        <w:gridCol w:w="1065"/>
        <w:gridCol w:w="994"/>
        <w:gridCol w:w="1137"/>
        <w:gridCol w:w="639"/>
        <w:gridCol w:w="1634"/>
        <w:gridCol w:w="1208"/>
        <w:gridCol w:w="1989"/>
        <w:gridCol w:w="1563"/>
      </w:tblGrid>
      <w:tr>
        <w:trPr>
          <w:cantSplit/>
          <w:tblHeader/>
        </w:trPr>
        <w:tc>
          <w:tcPr>
            <w:tcW w:type="dxa" w:w="2877"/>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Servicio</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Precio unit.</w:t>
            </w:r>
          </w:p>
        </w:tc>
        <w:tc>
          <w:tcPr>
            <w:tcW w:type="dxa" w:w="106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Demanda mensual</w:t>
            </w:r>
          </w:p>
        </w:tc>
        <w:tc>
          <w:tcPr>
            <w:tcW w:type="dxa" w:w="99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Duración (min)</w:t>
            </w:r>
          </w:p>
        </w:tc>
        <w:tc>
          <w:tcPr>
            <w:tcW w:type="dxa" w:w="113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Recursos que usa</w:t>
            </w:r>
          </w:p>
        </w:tc>
        <w:tc>
          <w:tcPr>
            <w:tcW w:type="dxa" w:w="63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CVU</w:t>
            </w:r>
          </w:p>
        </w:tc>
        <w:tc>
          <w:tcPr>
            <w:tcW w:type="dxa" w:w="163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Cantidad realizable/mes</w:t>
            </w:r>
          </w:p>
        </w:tc>
        <w:tc>
          <w:tcPr>
            <w:tcW w:type="dxa" w:w="120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Capacidad mensual</w:t>
            </w:r>
          </w:p>
        </w:tc>
        <w:tc>
          <w:tcPr>
            <w:tcW w:type="dxa" w:w="198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Canal</w:t>
            </w:r>
          </w:p>
        </w:tc>
        <w:tc>
          <w:tcPr>
            <w:tcW w:type="dxa" w:w="156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Estado de la capacidad</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Consulta estomatológica</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18.575,0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1.824,0</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Odontología preventiva (profilaxis y sellado)</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26.005,0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160</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160,0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1.368,0</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Restauraciones (obturaciones)</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220</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220,0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1.216,0</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Endodoncia</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111.450,0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912,0</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Periodoncia</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1.094,4</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Cirugía oral</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33.435,0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912,0</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Prótesis estomatológica</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91,2</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Exportación</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Ortodoncia</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891.600,0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608,0</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 en plaza</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r>
        <w:trPr>
          <w:cantSplit/>
        </w:trPr>
        <w:tc>
          <w:tcPr>
            <w:tcW w:type="dxa" w:w="287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Imagenología dental</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33.435,0</w:t>
            </w:r>
          </w:p>
        </w:tc>
        <w:tc>
          <w:tcPr>
            <w:tcW w:type="dxa" w:w="106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130</w:t>
            </w:r>
          </w:p>
        </w:tc>
        <w:tc>
          <w:tcPr>
            <w:tcW w:type="dxa" w:w="99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20,0</w:t>
            </w:r>
          </w:p>
        </w:tc>
        <w:tc>
          <w:tcPr>
            <w:tcW w:type="dxa" w:w="113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w:t>
            </w:r>
          </w:p>
        </w:tc>
        <w:tc>
          <w:tcPr>
            <w:tcW w:type="dxa" w:w="63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16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130,0</w:t>
            </w:r>
          </w:p>
        </w:tc>
        <w:tc>
          <w:tcPr>
            <w:tcW w:type="dxa" w:w="12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777,6</w:t>
            </w:r>
          </w:p>
        </w:tc>
        <w:tc>
          <w:tcPr>
            <w:tcW w:type="dxa" w:w="198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Plataformas (pagos exterior)</w:t>
            </w:r>
          </w:p>
        </w:tc>
        <w:tc>
          <w:tcPr>
            <w:tcW w:type="dxa" w:w="15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Atendible</w:t>
            </w:r>
          </w:p>
        </w:tc>
      </w:tr>
    </w:tbl>
    <w:p>
      <w:pPr>
        <w:pStyle w:val="NotaTabla"/>
        <w:keepNext/>
        <w:keepLines/>
        <w:spacing w:after="80" w:before="200"/>
      </w:pPr>
      <w:r>
        <w:rPr>
          <w:rFonts w:ascii="Calibri" w:cs="Calibri" w:eastAsia="Calibri" w:hAnsi="Calibri"/>
          <w:b/>
          <w:bCs/>
          <w:color w:val="1E3A5F"/>
          <w:sz w:val="18"/>
          <w:szCs w:val="18"/>
        </w:rPr>
        <w:t xml:space="preserve">Tabla 8. Utilización de los recursos operativos por año (reproducible: horas-mes demandadas ÷ horas-mes disponibles)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6388"/>
        <w:gridCol w:w="946"/>
        <w:gridCol w:w="946"/>
        <w:gridCol w:w="946"/>
        <w:gridCol w:w="946"/>
        <w:gridCol w:w="946"/>
        <w:gridCol w:w="946"/>
        <w:gridCol w:w="946"/>
        <w:gridCol w:w="946"/>
      </w:tblGrid>
      <w:tr>
        <w:trPr>
          <w:cantSplit/>
          <w:tblHeader/>
        </w:trPr>
        <w:tc>
          <w:tcPr>
            <w:tcW w:type="dxa" w:w="6388"/>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Recurso</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9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Máx.</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Gabinetes de atención (sillones)</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89,6 %</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25,9 %</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31 %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48 %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47,6 %</w:t>
            </w:r>
          </w:p>
        </w:tc>
      </w:tr>
      <w:tr>
        <w:trPr>
          <w:cantSplit/>
        </w:trPr>
        <w:tc>
          <w:tcPr>
            <w:tcW w:type="dxa" w:w="638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Profesionales estomatológicos</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54 %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69 %</w:t>
            </w:r>
          </w:p>
        </w:tc>
        <w:tc>
          <w:tcPr>
            <w:tcW w:type="dxa" w:w="9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68,6 %</w:t>
            </w:r>
          </w:p>
        </w:tc>
      </w:tr>
    </w:tbl>
    <w:p>
      <w:pPr>
        <w:sectPr>
          <w:headerReference w:type="default" r:id="rId14"/>
          <w:footerReference w:type="default" r:id="rId15"/>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La utilización máxima agregada no basta: cada valor de la tabla se reproduce como horas-mes demandadas divididas por horas-mes disponibles del recurso en el año (asignación pro-rata entre líneas que comparten el recurso). Véase la figura «Utilización de los recursos operativos por año (horas-mes demandadas ÷ horas-mes disponibles)» para la trayectoria completa por año.</w:t>
      </w:r>
    </w:p>
    <w:p>
      <w:pPr>
        <w:pStyle w:val="NotaTabla"/>
        <w:keepNext/>
        <w:keepLines/>
        <w:spacing w:after="80" w:before="240"/>
      </w:pPr>
      <w:r>
        <w:rPr>
          <w:rFonts w:ascii="Calibri" w:cs="Calibri" w:eastAsia="Calibri" w:hAnsi="Calibri"/>
          <w:b/>
          <w:bCs/>
          <w:color w:val="1E3A5F"/>
          <w:sz w:val="18"/>
          <w:szCs w:val="18"/>
        </w:rPr>
        <w:t xml:space="preserve">Figura 1. Utilización de los recursos operativos por año (horas-mes demandadas ÷ horas-mes disponibles)</w:t>
      </w:r>
    </w:p>
    <w:p>
      <w:pPr>
        <w:keepLines/>
        <w:spacing w:after="80"/>
        <w:jc w:val="center"/>
      </w:pPr>
      <w:r>
        <w:drawing>
          <wp:inline distT="0" distB="0" distL="0" distR="0">
            <wp:extent cx="5524500" cy="27622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64748B"/>
          <w:sz w:val="16"/>
          <w:szCs w:val="16"/>
        </w:rPr>
        <w:t xml:space="preserve">—— </w:t>
      </w:r>
      <w:r>
        <w:rPr>
          <w:rFonts w:ascii="Calibri" w:cs="Calibri" w:eastAsia="Calibri" w:hAnsi="Calibri"/>
          <w:color w:val="64748B"/>
          <w:sz w:val="16"/>
          <w:szCs w:val="16"/>
        </w:rPr>
        <w:t xml:space="preserve">Umbral de referencia (90 %)</w:t>
      </w:r>
      <w:r>
        <w:rPr>
          <w:rFonts w:ascii="Calibri" w:cs="Calibri" w:eastAsia="Calibri" w:hAnsi="Calibri"/>
          <w:color w:val="64748B"/>
          <w:sz w:val="14"/>
          <w:szCs w:val="14"/>
        </w:rPr>
        <w:t xml:space="preserve">   ·   </w:t>
      </w:r>
      <w:r>
        <w:rPr>
          <w:rFonts w:ascii="Calibri" w:cs="Calibri" w:eastAsia="Calibri" w:hAnsi="Calibri"/>
          <w:color w:val="0F766E"/>
          <w:sz w:val="16"/>
          <w:szCs w:val="16"/>
        </w:rPr>
        <w:t xml:space="preserve">—— </w:t>
      </w:r>
      <w:r>
        <w:rPr>
          <w:rFonts w:ascii="Calibri" w:cs="Calibri" w:eastAsia="Calibri" w:hAnsi="Calibri"/>
          <w:color w:val="64748B"/>
          <w:sz w:val="16"/>
          <w:szCs w:val="16"/>
        </w:rPr>
        <w:t xml:space="preserve">Gabinetes de atención (sillones)</w:t>
      </w:r>
      <w:r>
        <w:rPr>
          <w:rFonts w:ascii="Calibri" w:cs="Calibri" w:eastAsia="Calibri" w:hAnsi="Calibri"/>
          <w:color w:val="64748B"/>
          <w:sz w:val="14"/>
          <w:szCs w:val="14"/>
        </w:rPr>
        <w:t xml:space="preserve">   ·   </w:t>
      </w:r>
      <w:r>
        <w:rPr>
          <w:rFonts w:ascii="Calibri" w:cs="Calibri" w:eastAsia="Calibri" w:hAnsi="Calibri"/>
          <w:color w:val="7C3AED"/>
          <w:sz w:val="16"/>
          <w:szCs w:val="16"/>
        </w:rPr>
        <w:t xml:space="preserve">—— </w:t>
      </w:r>
      <w:r>
        <w:rPr>
          <w:rFonts w:ascii="Calibri" w:cs="Calibri" w:eastAsia="Calibri" w:hAnsi="Calibri"/>
          <w:color w:val="64748B"/>
          <w:sz w:val="16"/>
          <w:szCs w:val="16"/>
        </w:rPr>
        <w:t xml:space="preserve">Equipos de imagenología dental</w:t>
      </w:r>
      <w:r>
        <w:rPr>
          <w:rFonts w:ascii="Calibri" w:cs="Calibri" w:eastAsia="Calibri" w:hAnsi="Calibri"/>
          <w:color w:val="64748B"/>
          <w:sz w:val="14"/>
          <w:szCs w:val="14"/>
        </w:rPr>
        <w:t xml:space="preserve">   ·   </w:t>
      </w:r>
      <w:r>
        <w:rPr>
          <w:rFonts w:ascii="Calibri" w:cs="Calibri" w:eastAsia="Calibri" w:hAnsi="Calibri"/>
          <w:color w:val="BE185D"/>
          <w:sz w:val="16"/>
          <w:szCs w:val="16"/>
        </w:rPr>
        <w:t xml:space="preserve">—— </w:t>
      </w:r>
      <w:r>
        <w:rPr>
          <w:rFonts w:ascii="Calibri" w:cs="Calibri" w:eastAsia="Calibri" w:hAnsi="Calibri"/>
          <w:color w:val="64748B"/>
          <w:sz w:val="16"/>
          <w:szCs w:val="16"/>
        </w:rPr>
        <w:t xml:space="preserve">Laboratorio de prótesis</w:t>
      </w:r>
      <w:r>
        <w:rPr>
          <w:rFonts w:ascii="Calibri" w:cs="Calibri" w:eastAsia="Calibri" w:hAnsi="Calibri"/>
          <w:color w:val="64748B"/>
          <w:sz w:val="14"/>
          <w:szCs w:val="14"/>
        </w:rPr>
        <w:t xml:space="preserve">   ·   </w:t>
      </w:r>
      <w:r>
        <w:rPr>
          <w:rFonts w:ascii="Calibri" w:cs="Calibri" w:eastAsia="Calibri" w:hAnsi="Calibri"/>
          <w:color w:val="4D7C0F"/>
          <w:sz w:val="16"/>
          <w:szCs w:val="16"/>
        </w:rPr>
        <w:t xml:space="preserve">—— </w:t>
      </w:r>
      <w:r>
        <w:rPr>
          <w:rFonts w:ascii="Calibri" w:cs="Calibri" w:eastAsia="Calibri" w:hAnsi="Calibri"/>
          <w:color w:val="64748B"/>
          <w:sz w:val="16"/>
          <w:szCs w:val="16"/>
        </w:rPr>
        <w:t xml:space="preserve">Profesionales estomatológicos</w:t>
      </w:r>
    </w:p>
    <w:p>
      <w:pPr>
        <w:pStyle w:val="NotaTexto"/>
        <w:spacing w:after="60" w:before="20"/>
      </w:pPr>
      <w:r>
        <w:rPr>
          <w:rFonts w:ascii="Calibri" w:cs="Calibri" w:eastAsia="Calibri" w:hAnsi="Calibri"/>
          <w:color w:val="64748B"/>
          <w:sz w:val="16"/>
          <w:szCs w:val="16"/>
        </w:rPr>
        <w:t xml:space="preserve">Unidades del eje vertical: % de utilización. Eje horizontal: Años de operación (1–10). </w:t>
      </w:r>
      <w:r>
        <w:rPr>
          <w:rFonts w:ascii="Calibri" w:cs="Calibri" w:eastAsia="Calibri" w:hAnsi="Calibri"/>
          <w:i/>
          <w:iCs/>
          <w:color w:val="64748B"/>
          <w:sz w:val="16"/>
          <w:szCs w:val="16"/>
        </w:rPr>
        <w:t xml:space="preserve">Nota. Fuente: modelo de cálculo activo (capacidad del escenario activo, años 1–10). La utilización de cada recurso y año se reproduce como horas-mes demandadas divididas por horas-mes disponibles (tabla de utilización del apartado 4.6); el umbral de referencia es un parámetro de análisis, no un límite técnico.</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capacidad y servicios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En el año 1 los ingresos por servicios ascienden a 719.075,4 miles de CUP. Las tres líneas principales («Restauraciones (obturaciones)» con 16,4 %, «Prótesis estomatológica» con 13,9 %, «Ortodoncia» con 13,4 %) concentran 43,6 % del ingreso, encabezadas por «Restauraciones (obturaciones)» con 117.691,2 miles de CUP. El margen de contribución del año 1 es 529.744,1 miles de CUP (73,7 % de los ingresos). La línea que más margen aporta es «Restauraciones (obturaciones)» (82.383,8 miles de CUP) y la que menos, «Odontología preventiva (profilaxis y sellado)» (35.664,0). Escenario activo: B (ampliación de capacidad). Las ampliaciones programadas en la tabla de recursos generan CAPEX en sus años de ejecución y amplían la capacidad disponible; el total de CAPEX de ampliaciones del horizonte es 111.450,0 miles de CUP. Con la capacidad del escenario activo, toda la demanda prevista de todas las líneas puede atenderse dentro del horizonte: no hay ventas limitadas por capacidad. Ningún recurso supera el umbral de utilización de referencia (90,0 %); el más cargado es «Gabinetes de atención (sillones)» con 89,6 % en el año 6.</w:t>
      </w:r>
    </w:p>
    <w:p>
      <w:pPr>
        <w:pStyle w:val="NotaTabla"/>
        <w:keepNext/>
        <w:keepLines/>
        <w:spacing w:after="80" w:before="200"/>
      </w:pPr>
      <w:r>
        <w:rPr>
          <w:rFonts w:ascii="Calibri" w:cs="Calibri" w:eastAsia="Calibri" w:hAnsi="Calibri"/>
          <w:b/>
          <w:bCs/>
          <w:color w:val="1E3A5F"/>
          <w:sz w:val="18"/>
          <w:szCs w:val="18"/>
        </w:rPr>
        <w:t xml:space="preserve">Tabla 9. Estimación de consumos y residuos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485"/>
        <w:gridCol w:w="775"/>
        <w:gridCol w:w="886"/>
        <w:gridCol w:w="997"/>
        <w:gridCol w:w="1883"/>
      </w:tblGrid>
      <w:tr>
        <w:trPr>
          <w:cantSplit/>
          <w:tblHeader/>
        </w:trPr>
        <w:tc>
          <w:tcPr>
            <w:tcW w:type="dxa" w:w="4485"/>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Concepto</w:t>
            </w:r>
          </w:p>
        </w:tc>
        <w:tc>
          <w:tcPr>
            <w:tcW w:type="dxa" w:w="77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Unidad</w:t>
            </w:r>
          </w:p>
        </w:tc>
        <w:tc>
          <w:tcPr>
            <w:tcW w:type="dxa" w:w="886"/>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Cantidad</w:t>
            </w:r>
          </w:p>
        </w:tc>
        <w:tc>
          <w:tcPr>
            <w:tcW w:type="dxa" w:w="997"/>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Período</w:t>
            </w:r>
          </w:p>
        </w:tc>
        <w:tc>
          <w:tcPr>
            <w:tcW w:type="dxa" w:w="188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Observación</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Agua potable</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m³/día</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Electricidad</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kWh/día</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320</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Portador energético (respaldo)</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L/mes</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Residuos sólidos asimilables</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kg/día</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45</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r>
        <w:trPr>
          <w:cantSplit/>
        </w:trPr>
        <w:tc>
          <w:tcPr>
            <w:tcW w:type="dxa" w:w="448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Residuos biomédicos (DYMED)</w:t>
            </w:r>
          </w:p>
        </w:tc>
        <w:tc>
          <w:tcPr>
            <w:tcW w:type="dxa" w:w="77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kg/mes</w:t>
            </w:r>
          </w:p>
        </w:tc>
        <w:tc>
          <w:tcPr>
            <w:tcW w:type="dxa" w:w="886"/>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60</w:t>
            </w:r>
          </w:p>
        </w:tc>
        <w:tc>
          <w:tcPr>
            <w:tcW w:type="dxa" w:w="99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18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ficticio</w:t>
            </w:r>
          </w:p>
        </w:tc>
      </w:tr>
    </w:tbl>
    <w:p>
      <w:pPr>
        <w:pStyle w:val="Heading1"/>
        <w:pageBreakBefore/>
      </w:pPr>
      <w:bookmarkStart w:name="_Toc6" w:id="6"/>
      <w:r>
        <w:rPr>
          <w:rFonts w:ascii="Calibri" w:cs="Calibri" w:eastAsia="Calibri" w:hAnsi="Calibri"/>
          <w:b/>
          <w:bCs/>
          <w:color w:val="1E3A5F"/>
          <w:sz w:val="30"/>
          <w:szCs w:val="30"/>
        </w:rPr>
        <w:t xml:space="preserve">4.7  Análisis financiero</w:t>
      </w:r>
      <w:bookmarkEnd w:id="6"/>
    </w:p>
    <w:p>
      <w:pPr>
        <w:pStyle w:val="NotaTabla"/>
        <w:keepNext/>
        <w:keepLines/>
        <w:spacing w:after="80" w:before="200"/>
      </w:pPr>
      <w:r>
        <w:rPr>
          <w:rFonts w:ascii="Calibri" w:cs="Calibri" w:eastAsia="Calibri" w:hAnsi="Calibri"/>
          <w:b/>
          <w:bCs/>
          <w:color w:val="1E3A5F"/>
          <w:sz w:val="18"/>
          <w:szCs w:val="18"/>
        </w:rPr>
        <w:t xml:space="preserve">Tabla 10. Costo total de la inversión inicial (partidas con su moneda de origen y su equivalente en miles de CUP)</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5260"/>
        <w:gridCol w:w="1818"/>
        <w:gridCol w:w="1948"/>
      </w:tblGrid>
      <w:tr>
        <w:trPr>
          <w:cantSplit/>
          <w:tblHeader/>
        </w:trPr>
        <w:tc>
          <w:tcPr>
            <w:tcW w:type="dxa" w:w="5260"/>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Componente</w:t>
            </w:r>
          </w:p>
        </w:tc>
        <w:tc>
          <w:tcPr>
            <w:tcW w:type="dxa" w:w="181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 original</w:t>
            </w:r>
          </w:p>
        </w:tc>
        <w:tc>
          <w:tcPr>
            <w:tcW w:type="dxa" w:w="1948"/>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En miles de CUP</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Gastos previos (facturados en USD)</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45,0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33.435,0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fija facturada en USD (no es el equivalente en CUP: ver monto original)</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1.200,0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891.600,0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fija facturada en CUP (convertida con el tipo de cambio parametrizado)</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kCUP</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Capital de trabajo (kUSD)</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235,0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174.605,0</w:t>
            </w:r>
          </w:p>
        </w:tc>
      </w:tr>
      <w:tr>
        <w:trPr>
          <w:cantSplit/>
        </w:trPr>
        <w:tc>
          <w:tcPr>
            <w:tcW w:type="dxa" w:w="526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TOTAL</w:t>
            </w:r>
          </w:p>
        </w:tc>
        <w:tc>
          <w:tcPr>
            <w:tcW w:type="dxa" w:w="181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1.480,0 kUSD</w:t>
            </w:r>
          </w:p>
        </w:tc>
        <w:tc>
          <w:tcPr>
            <w:tcW w:type="dxa" w:w="1948"/>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1.099.640,0</w:t>
            </w:r>
          </w:p>
        </w:tc>
      </w:tr>
    </w:tbl>
    <w:p>
      <w:pPr>
        <w:pStyle w:val="NotaTexto"/>
        <w:spacing w:after="60" w:before="60" w:line="276"/>
        <w:jc w:val="both"/>
      </w:pPr>
      <w:r>
        <w:rPr>
          <w:rFonts w:ascii="Calibri" w:cs="Calibri" w:eastAsia="Calibri" w:hAnsi="Calibri"/>
          <w:color w:val="334155"/>
          <w:sz w:val="16"/>
          <w:szCs w:val="16"/>
        </w:rPr>
        <w:t xml:space="preserve">La columna «Monto original» muestra las partidas en la moneda en que se facturan (kUSD o kCUP); la columna «En miles de CUP» es el EQUIVALENTE convertido con el tipo de cambio parametrizado (743,0 CUP/USD, fuente y fecha en la nota de conversión). Nunca se presentan como USD los importes convertidos.</w:t>
      </w:r>
    </w:p>
    <w:p>
      <w:pPr>
        <w:pStyle w:val="NotaTabla"/>
        <w:keepNext/>
        <w:keepLines/>
        <w:spacing w:after="80" w:before="200"/>
      </w:pPr>
      <w:r>
        <w:rPr>
          <w:rFonts w:ascii="Calibri" w:cs="Calibri" w:eastAsia="Calibri" w:hAnsi="Calibri"/>
          <w:b/>
          <w:bCs/>
          <w:color w:val="1E3A5F"/>
          <w:sz w:val="18"/>
          <w:szCs w:val="18"/>
        </w:rPr>
        <w:t xml:space="preserve">Tabla 11. Fuentes de financiamiento (miles de CUP)</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6604"/>
        <w:gridCol w:w="2422"/>
      </w:tblGrid>
      <w:tr>
        <w:trPr>
          <w:cantSplit/>
          <w:tblHeader/>
        </w:trPr>
        <w:tc>
          <w:tcPr>
            <w:tcW w:type="dxa" w:w="6604"/>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Fuente</w:t>
            </w:r>
          </w:p>
        </w:tc>
        <w:tc>
          <w:tcPr>
            <w:tcW w:type="dxa" w:w="2422"/>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w:t>
            </w:r>
          </w:p>
        </w:tc>
      </w:tr>
      <w:tr>
        <w:trPr>
          <w:cantSplit/>
        </w:trPr>
        <w:tc>
          <w:tcPr>
            <w:tcW w:type="dxa" w:w="660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Aportaciones de los socios</w:t>
            </w:r>
          </w:p>
        </w:tc>
        <w:tc>
          <w:tcPr>
            <w:tcW w:type="dxa" w:w="242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876.740,0</w:t>
            </w:r>
          </w:p>
        </w:tc>
      </w:tr>
      <w:tr>
        <w:trPr>
          <w:cantSplit/>
        </w:trPr>
        <w:tc>
          <w:tcPr>
            <w:tcW w:type="dxa" w:w="660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Otras fuentes disponibles</w:t>
            </w:r>
          </w:p>
        </w:tc>
        <w:tc>
          <w:tcPr>
            <w:tcW w:type="dxa" w:w="242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60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Crédito externo</w:t>
            </w:r>
          </w:p>
        </w:tc>
        <w:tc>
          <w:tcPr>
            <w:tcW w:type="dxa" w:w="242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222.900,0</w:t>
            </w:r>
          </w:p>
        </w:tc>
      </w:tr>
      <w:tr>
        <w:trPr>
          <w:cantSplit/>
        </w:trPr>
        <w:tc>
          <w:tcPr>
            <w:tcW w:type="dxa" w:w="660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Financiación disponible</w:t>
            </w:r>
          </w:p>
        </w:tc>
        <w:tc>
          <w:tcPr>
            <w:tcW w:type="dxa" w:w="242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1.099.640,0</w:t>
            </w:r>
          </w:p>
        </w:tc>
      </w:tr>
      <w:tr>
        <w:trPr>
          <w:cantSplit/>
        </w:trPr>
        <w:tc>
          <w:tcPr>
            <w:tcW w:type="dxa" w:w="660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Necesidad de financiación</w:t>
            </w:r>
          </w:p>
        </w:tc>
        <w:tc>
          <w:tcPr>
            <w:tcW w:type="dxa" w:w="242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222.900,0</w:t>
            </w:r>
          </w:p>
        </w:tc>
      </w:tr>
      <w:tr>
        <w:trPr>
          <w:cantSplit/>
        </w:trPr>
        <w:tc>
          <w:tcPr>
            <w:tcW w:type="dxa" w:w="660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Diferencia (exceso/insuficiencia)</w:t>
            </w:r>
          </w:p>
        </w:tc>
        <w:tc>
          <w:tcPr>
            <w:tcW w:type="dxa" w:w="2422"/>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inversión y financiación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16"/>
          <w:footerReference w:type="default" r:id="rId17"/>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La inversión inicial total calculada es 1.099.640,0 miles de CUP, compuesta por gastos previos de 33.435,0 (3,0 %), inversión fija de 891.600,0 (81,1 %) y capital de trabajo inicial de 174.605,0 (15,9 %). Las partidas de mayor peso son «Equipamiento clínico (5 sillones e instrumental)» (520,0 USD), «Equipos de imagenología dental (2)» (180,0 USD), «Adecuación y montaje de instalaciones» (180,0 USD). Las fuentes disponibles suman 1.099.640,0 miles de CUP (aportaciones 876.740,0, otras fuentes 0,0, crédito 222.900,0). La necesidad de financiación (inversión menos aportaciones y otras fuentes) es 222.900,0 kCUP, cubierta por el crédito previsto; el servicio de esa deuda (intereses y amortizaciones) se analiza en el calendario correspondiente. La diferencia de financiación es nula bajo las premisas vigentes: el modelo cubre la inversión calculada. No se afirma que la financiación esté concedida ni que los fondos estén disponibles de manera real. Calendario de desembolsos de aportaciones (misma convención de años 0/1/2 que las tablas de financiación y flujos): año 0 (montaje/arranque — financia la inversión total del año 0): 876.740,0 kCUP; año 1 (operación): 0,0 kCUP; año 2 (operación): 0,0 kCUP. Cobertura temporal: las fuentes COMPROMETIDAS para todo el proyecto suman 1.099.640,0 kCUP, pero las disponibles con desembolso efectivo en el año 0 suman 1.099.640,0 kCUP (aportaciones con vencimiento en el año 0 876.740,0; principal del crédito desembolsado en el año 0 (222.900,0)). El control por período exige que cada necesidad esté cubierta el año en que se produce, no en el agregado del horizonte. DÉFICIT TEMPORAL de tesorería en: año 0 (faltan 576,0 kCUP; cubiertas desde el año 1). Además, la financiación total comprometida no cubre la necesidad total: el problema es de cuantía Y de calendario. Reprograme los desembolsos, amplíe el capital de trabajo o declare el supuesto. Conciliación del desembolso inicial: la inversión total (1.099.640,0 kCUP) más las salidas de caja del año 0 explícitamente identificadas (nómina de montaje 576,0: total 576,0 kCUP; gastos de la fase de montaje del año 0 registrados como gasto del período, no capitalizables y NO incluidos en la inversión total — el capital de trabajo ya está dentro de la inversión total y no se duplica) exigen una necesidad total de arranque de 1.100.216,0 kCUP; las fuentes con desembolso efectivo en el año 0 suman 1.099.640,0 kCUP, de modo que queda una BRECHA TEMPORAL de 576,0 kCUP que debe financiarse (mayor capital de trabajo, aporte anticipado o crédito con desembolso en el año 0) o declararse expresamente como supuesto pendiente (la brecha según el total nominal comprometido es 576,0 kCUP: ni siquiera el agregado del horizonte cubre la necesidad). El gasto del año 0 se cuantifica desde partidas de salida de caja explícitas e inventariadas — nómina de montaje, interés pagado según el calendario de deuda e impuesto devengado con su estado de pago declarado —, no desde el resultado contable después de impuestos. Los desembolsos del año 0 y del año 1 conservan el mismo significado en todas las tablas.</w:t>
      </w:r>
    </w:p>
    <w:p>
      <w:pPr>
        <w:pStyle w:val="NotaTabla"/>
        <w:keepNext/>
        <w:keepLines/>
        <w:spacing w:after="80" w:before="200"/>
      </w:pPr>
      <w:r>
        <w:rPr>
          <w:rFonts w:ascii="Calibri" w:cs="Calibri" w:eastAsia="Calibri" w:hAnsi="Calibri"/>
          <w:b/>
          <w:bCs/>
          <w:color w:val="1E3A5F"/>
          <w:sz w:val="18"/>
          <w:szCs w:val="18"/>
        </w:rPr>
        <w:t xml:space="preserve">Tabla 12. Cobertura temporal de la financiación y tesorería proyectada (miles de CUP; fuentes comprometidas para todo el proyecto: 1.099.640,0 kCUP)</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1894"/>
        <w:gridCol w:w="1870"/>
        <w:gridCol w:w="1216"/>
        <w:gridCol w:w="1870"/>
        <w:gridCol w:w="1777"/>
        <w:gridCol w:w="2151"/>
        <w:gridCol w:w="1777"/>
        <w:gridCol w:w="1403"/>
      </w:tblGrid>
      <w:tr>
        <w:trPr>
          <w:cantSplit/>
          <w:tblHeader/>
        </w:trPr>
        <w:tc>
          <w:tcPr>
            <w:tcW w:type="dxa" w:w="1894"/>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Período</w:t>
            </w:r>
          </w:p>
        </w:tc>
        <w:tc>
          <w:tcPr>
            <w:tcW w:type="dxa" w:w="187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Aportaciones del año</w:t>
            </w:r>
          </w:p>
        </w:tc>
        <w:tc>
          <w:tcPr>
            <w:tcW w:type="dxa" w:w="121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Otras fuentes</w:t>
            </w:r>
          </w:p>
        </w:tc>
        <w:tc>
          <w:tcPr>
            <w:tcW w:type="dxa" w:w="187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Crédito (desembolso)</w:t>
            </w:r>
          </w:p>
        </w:tc>
        <w:tc>
          <w:tcPr>
            <w:tcW w:type="dxa" w:w="177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Fuentes del período</w:t>
            </w:r>
          </w:p>
        </w:tc>
        <w:tc>
          <w:tcPr>
            <w:tcW w:type="dxa" w:w="2151"/>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Necesidades del período</w:t>
            </w:r>
          </w:p>
        </w:tc>
        <w:tc>
          <w:tcPr>
            <w:tcW w:type="dxa" w:w="177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Cobertura acumulada</w:t>
            </w:r>
          </w:p>
        </w:tc>
        <w:tc>
          <w:tcPr>
            <w:tcW w:type="dxa" w:w="140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Caja proyectada</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0 (montaje)</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876.740,0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1.099.640,0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1.100.216,0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273.280,3</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2</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526.925,3</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3</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809.140,1</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4</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876.740,0</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5</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875.086,4</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6</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943.975,9</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7</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111.450,0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-112.026,0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990.619,8</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8</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-112.026,0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1.171.021,9</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9</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-112.026,0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1.360.607,1</w:t>
            </w:r>
          </w:p>
        </w:tc>
      </w:tr>
      <w:tr>
        <w:trPr>
          <w:cantSplit/>
        </w:trPr>
        <w:tc>
          <w:tcPr>
            <w:tcW w:type="dxa" w:w="189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1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87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-112.026,0</w:t>
            </w:r>
          </w:p>
        </w:tc>
        <w:tc>
          <w:tcPr>
            <w:tcW w:type="dxa" w:w="140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1.561.683,9</w:t>
            </w:r>
          </w:p>
        </w:tc>
      </w:tr>
    </w:tbl>
    <w:p>
      <w:pPr>
        <w:sectPr>
          <w:headerReference w:type="default" r:id="rId18"/>
          <w:footerReference w:type="default" r:id="rId19"/>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Dos vistas complementarias: «Cobertura acumulada» = fuentes acumuladas - necesidades acumuladas de inversión y arranque (detecta desembolsos tardíos); «Caja proyectada» = tesorería con los flujos operativos, el servicio de la deuda y los dividendos (aportaciones fechadas + otras fuentes + desembolsos del crédito + FCFE sin el principal - dividendos; en el año 0 ambas vistas coinciden). Las «otras fuentes» no declaran fecha: se suponen disponibles en el año 0 (supuesto documentado). Necesidades: año 0 = inversión total + salidas de caja no capitalizables del arranque; años posteriores = CAPEX de ampliaciones. Déficits de tesorería: año 0: faltan 576,0 kCUP (cubiertas desde el año 1). El impuesto se toma como devengado pagado en el mismo período (supuesto del modelo simplificado, no un pago verificado).</w:t>
      </w:r>
    </w:p>
    <w:p>
      <w:pPr>
        <w:pStyle w:val="NotaTexto"/>
        <w:spacing w:after="60" w:before="60" w:line="276"/>
        <w:jc w:val="both"/>
        <w:sectPr>
          <w:headerReference w:type="default" r:id="rId20"/>
          <w:footerReference w:type="default" r:id="rId21"/>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Crédito: Gracia de principal (se pagan intereses), 1 año(s); método: Capital constante (cuotas de principal iguales) en 5 anualidades; desembolso en el año 0. Tasa: 8,0 % (supuesto editable).</w:t>
      </w:r>
    </w:p>
    <w:p>
      <w:pPr>
        <w:pStyle w:val="NotaTabla"/>
        <w:keepNext/>
        <w:keepLines/>
        <w:spacing w:after="80" w:before="200"/>
      </w:pPr>
      <w:r>
        <w:rPr>
          <w:rFonts w:ascii="Calibri" w:cs="Calibri" w:eastAsia="Calibri" w:hAnsi="Calibri"/>
          <w:b/>
          <w:bCs/>
          <w:color w:val="1E3A5F"/>
          <w:sz w:val="18"/>
          <w:szCs w:val="18"/>
        </w:rPr>
        <w:t xml:space="preserve">Tabla 13. Calendario financiero de la deuda (miles de CUP): saldo final = saldo inicial + desembolso + capitalización - amortización</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1821"/>
        <w:gridCol w:w="2505"/>
        <w:gridCol w:w="1927"/>
        <w:gridCol w:w="3275"/>
        <w:gridCol w:w="2312"/>
        <w:gridCol w:w="2119"/>
      </w:tblGrid>
      <w:tr>
        <w:trPr>
          <w:cantSplit/>
          <w:tblHeader/>
        </w:trPr>
        <w:tc>
          <w:tcPr>
            <w:tcW w:type="dxa" w:w="182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Período</w:t>
            </w:r>
          </w:p>
        </w:tc>
        <w:tc>
          <w:tcPr>
            <w:tcW w:type="dxa" w:w="250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Saldo inicial</w:t>
            </w:r>
          </w:p>
        </w:tc>
        <w:tc>
          <w:tcPr>
            <w:tcW w:type="dxa" w:w="192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Desembolso</w:t>
            </w:r>
          </w:p>
        </w:tc>
        <w:tc>
          <w:tcPr>
            <w:tcW w:type="dxa" w:w="327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Interés devengado</w:t>
            </w:r>
          </w:p>
        </w:tc>
        <w:tc>
          <w:tcPr>
            <w:tcW w:type="dxa" w:w="231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Amortización</w:t>
            </w:r>
          </w:p>
        </w:tc>
        <w:tc>
          <w:tcPr>
            <w:tcW w:type="dxa" w:w="211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Saldo final</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0</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2</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3</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14.265,6</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4</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10.699,2</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5</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7.132,8</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6</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3.566,4</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7</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8</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9</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18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10</w:t>
            </w:r>
          </w:p>
        </w:tc>
        <w:tc>
          <w:tcPr>
            <w:tcW w:type="dxa" w:w="250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2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3275"/>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31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119"/>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bl>
    <w:p>
      <w:pPr>
        <w:pStyle w:val="NotaTabla"/>
        <w:keepNext/>
        <w:keepLines/>
        <w:spacing w:after="80" w:before="200"/>
      </w:pPr>
      <w:r>
        <w:rPr>
          <w:rFonts w:ascii="Calibri" w:cs="Calibri" w:eastAsia="Calibri" w:hAnsi="Calibri"/>
          <w:b/>
          <w:bCs/>
          <w:color w:val="1E3A5F"/>
          <w:sz w:val="18"/>
          <w:szCs w:val="18"/>
        </w:rPr>
        <w:t xml:space="preserve">Tabla 14. Depreciación por activo (kCUP; por activo, limitada al importe depreciable; años de muestra y extremos)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807"/>
        <w:gridCol w:w="2162"/>
        <w:gridCol w:w="846"/>
        <w:gridCol w:w="1034"/>
        <w:gridCol w:w="752"/>
        <w:gridCol w:w="752"/>
        <w:gridCol w:w="752"/>
        <w:gridCol w:w="752"/>
        <w:gridCol w:w="752"/>
        <w:gridCol w:w="752"/>
        <w:gridCol w:w="846"/>
        <w:gridCol w:w="752"/>
      </w:tblGrid>
      <w:tr>
        <w:trPr>
          <w:cantSplit/>
          <w:tblHeader/>
        </w:trPr>
        <w:tc>
          <w:tcPr>
            <w:tcW w:type="dxa" w:w="3807"/>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Activo</w:t>
            </w:r>
          </w:p>
        </w:tc>
        <w:tc>
          <w:tcPr>
            <w:tcW w:type="dxa" w:w="216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Base depreciable (kCUP)</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Vida útil</w:t>
            </w:r>
          </w:p>
        </w:tc>
        <w:tc>
          <w:tcPr>
            <w:tcW w:type="dxa" w:w="103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Disp. desde</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Residual</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8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Acumulada</w:t>
            </w:r>
          </w:p>
        </w:tc>
        <w:tc>
          <w:tcPr>
            <w:tcW w:type="dxa" w:w="7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VNL</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clínico (5 sillones e instrumental)</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 (2)</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de esterilización y compresores</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Mobiliario clínico y de oficina</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5.572,5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5.572,5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5.572,5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5.572,5</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Informática y software de gestión clínica</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26.005,0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5.201,0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5.201,0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5.201,0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5.201,0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26.005,0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Adecuación y montaje de instalaciones</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Vehículos (ver desglose)</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33.435,0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4.179,4</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4.179,4</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4.179,4</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4.179,4</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33.435,0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Ampliación de Gabinetes de atención (sillones) (+2 uds., año 7)</w:t>
            </w:r>
          </w:p>
        </w:tc>
        <w:tc>
          <w:tcPr>
            <w:tcW w:type="dxa" w:w="216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111.450,0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3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11.145,0</w:t>
            </w:r>
          </w:p>
        </w:tc>
        <w:tc>
          <w:tcPr>
            <w:tcW w:type="dxa" w:w="8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7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66.870,0</w:t>
            </w:r>
          </w:p>
        </w:tc>
      </w:tr>
    </w:tbl>
    <w:p>
      <w:pPr>
        <w:sectPr>
          <w:headerReference w:type="default" r:id="rId22"/>
          <w:footerReference w:type="default" r:id="rId23"/>
          <w:pgSz w:w="11906" w:h="16838" w:orient="landscape"/>
          <w:pgMar w:top="1440" w:right="1440" w:bottom="1440" w:left="1440" w:header="708" w:footer="708" w:gutter="0"/>
          <w:pgNumType/>
          <w:docGrid w:linePitch="360"/>
        </w:sectPr>
      </w:pP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deuda y depreciación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24"/>
          <w:footerReference w:type="default" r:id="rId25"/>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El crédito de 222.900,0 miles de CUP se desembolsa en el año 0 con tasa del 8,0 %, gracia de 1 año(s) de tipo de principal (los intereses se pagan corriente) y amortización por capital constante en 5 anualidades. A lo largo del horizonte se devengan 71.328,0 miles de CUP de intereses y se amortizan 222.900,0; el saldo pendiente al cierre del horizonte es 0,0 kCUP. La tabla de deuda verifica saldo final = saldo inicial + desembolso + capitalización - amortización en cada período y ningún período amortiza por encima del saldo. El servicio máximo de la deuda (interés pagado + amortización) es 62.412,0 kCUP en el año 2: compárelo con el flujo de caja del proyecto del mismo año (309.815,8 kCUP) para valorar el margen de cobertura. Los flujos del proyecto reincorporan el interés DESPUÉS DE IMPUESTOS: del interés devengado total (71.328,0 kCUP), el escudo fiscal deducido del impuesto asciende a 24.964,8 kCUP y solo 46.363,2 kCUP vuelven al FCFF. El FCFE restituye ese escudo (los socios sí lo disfrutan vía menor impuesto), de modo que FCFF y FCFE reconcilian: FCFF - FCFE = intereses pagados - escudo - desembolsos + amortizaciones. El registro de activos depreciables contiene 9 activo(s). La depreciación anual total es 87.023,9 miles de CUP en el año 1 y alcanza su máximo (92.967,9) en el año 7; cada activo deprecia desde su año de disponibilidad, respeta su vida útil y nunca supera su importe depreciable. 2 activo(s) quedan con valor neto en libros al final del horizonte (p. ej. «Adecuación y montaje de instalaciones» con 66.870,0 kCUP): el plan debe declarar el tratamiento de ese valor residual al cierre. La depreciación es un gasto no monetario: reduce la utilidad contable pero el flujo de caja la reincorpora una sola vez; las amortizaciones del principal, en cambio, son salidas de caja del financiador y no gasto del estado de resultados.</w:t>
      </w:r>
    </w:p>
    <w:p>
      <w:pPr>
        <w:pStyle w:val="NotaTabla"/>
        <w:keepNext/>
        <w:keepLines/>
        <w:spacing w:after="80" w:before="200"/>
      </w:pPr>
      <w:r>
        <w:rPr>
          <w:rFonts w:ascii="Calibri" w:cs="Calibri" w:eastAsia="Calibri" w:hAnsi="Calibri"/>
          <w:b/>
          <w:bCs/>
          <w:color w:val="1E3A5F"/>
          <w:sz w:val="18"/>
          <w:szCs w:val="18"/>
        </w:rPr>
        <w:t xml:space="preserve">Tabla 15. Proyección de ingresos, costos y utilidades (miles de CUP)</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375"/>
        <w:gridCol w:w="500"/>
        <w:gridCol w:w="750"/>
        <w:gridCol w:w="750"/>
        <w:gridCol w:w="750"/>
        <w:gridCol w:w="750"/>
        <w:gridCol w:w="750"/>
        <w:gridCol w:w="750"/>
        <w:gridCol w:w="917"/>
        <w:gridCol w:w="917"/>
        <w:gridCol w:w="917"/>
        <w:gridCol w:w="917"/>
        <w:gridCol w:w="917"/>
        <w:gridCol w:w="1000"/>
      </w:tblGrid>
      <w:tr>
        <w:trPr>
          <w:cantSplit/>
          <w:tblHeader/>
        </w:trPr>
        <w:tc>
          <w:tcPr>
            <w:tcW w:type="dxa" w:w="337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Concepto</w:t>
            </w:r>
          </w:p>
        </w:tc>
        <w:tc>
          <w:tcPr>
            <w:tcW w:type="dxa" w:w="50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Unidad</w:t>
            </w:r>
          </w:p>
        </w:tc>
        <w:tc>
          <w:tcPr>
            <w:tcW w:type="dxa" w:w="7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7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7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7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7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75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9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9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9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9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91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100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Total</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Ingresos por servicios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719.075,4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777.680,0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841.061,0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909.607,4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983.740,4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1.063.915,3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1.150.624,4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1.244.400,3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1.345.818,9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1.455.503,1</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10.491.426,3</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INGRESOS TOTALES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719.075,4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777.680,0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841.061,0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909.607,4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983.740,4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1.063.915,3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1.150.624,4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1.244.400,3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1.345.818,9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1.455.503,1</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10.491.426,3</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Costos variables (materiales y consumibles)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189.331,3</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206.749,7</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225.770,7</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246.541,6</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269.223,4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293.992,0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321.039,3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350.574,9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382.827,8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418.047,9</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2.904.098,6</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de la fuerza de trabajo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15.312,0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16.077,6</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16.881,5</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17.725,6</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18.611,8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19.542,4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20.519,5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21.545,5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22.622,8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23.753,9</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193.168,7</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(arrendamiento)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267.480,0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 públicos (agua, electricidad, portadores)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297.200,0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administrativos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35.953,8</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38.884,0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42.053,0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45.480,4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49.187,0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53.195,8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57.531,2</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62.220,0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67.290,9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72.775,2</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524.571,3</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gastos fijos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74.300,0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Depreciación</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87.023,9</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87.023,9</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87.023,9</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87.023,9</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87.023,9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81.822,9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92.967,9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92.967,9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83.216,0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83.216,0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869.310,0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Intereses del crédito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14.265,6</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10.699,2</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7.132,8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3.566,4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71.328,0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COSTOS Y GASTOS TOTALES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431.640,9</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452.755,2</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472.182,7</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493.658,6</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517.367,0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538.307,5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578.245,9</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613.496,3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642.145,5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683.981,0</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5.424.356,6</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UTILIDAD ANTES DE IMPUESTOS (1-2)</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287.434,5</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324.924,8</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368.878,3</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415.948,8</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466.373,5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525.607,8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572.378,5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630.904,0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703.673,4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771.522,1</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5.067.069,7</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100.602,1</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113.723,7</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129.107,4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145.582,1</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163.230,7</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183.962,7</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200.332,5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220.816,4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246.285,7</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270.032,7</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1.773.676,0</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UTILIDAD DESPUÉS DE IMPUESTOS (3-4)</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186.832,4</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211.201,1</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239.770,9</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270.366,7</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303.142,8</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341.645,1</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372.046,0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410.087,6</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457.387,7</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501.489,4</w:t>
            </w:r>
          </w:p>
        </w:tc>
        <w:tc>
          <w:tcPr>
            <w:tcW w:type="dxa" w:w="100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3.293.393,7</w:t>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Amortización del principal del crédito (memoria; flujo de financiación, no gasto)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0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Saldo de la deuda al cierre (memoria; flujo de financiación, no gasto)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178.320,0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0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
            </w:r>
          </w:p>
        </w:tc>
      </w:tr>
      <w:tr>
        <w:trPr>
          <w:cantSplit/>
        </w:trPr>
        <w:tc>
          <w:tcPr>
            <w:tcW w:type="dxa" w:w="337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Dividendos pagables (memoria; no es gasto)</w:t>
            </w:r>
          </w:p>
        </w:tc>
        <w:tc>
          <w:tcPr>
            <w:tcW w:type="dxa" w:w="5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kCUP</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245.210,7</w:t>
            </w:r>
          </w:p>
        </w:tc>
        <w:tc>
          <w:tcPr>
            <w:tcW w:type="dxa" w:w="75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347.240,3</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309.998,4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306.920,0</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322.653,4</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351.018,5</w:t>
            </w:r>
          </w:p>
        </w:tc>
        <w:tc>
          <w:tcPr>
            <w:tcW w:type="dxa" w:w="91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383.628,5</w:t>
            </w:r>
          </w:p>
        </w:tc>
        <w:tc>
          <w:tcPr>
            <w:tcW w:type="dxa" w:w="100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
            </w:r>
          </w:p>
        </w:tc>
      </w:tr>
    </w:tbl>
    <w:p>
      <w:pPr>
        <w:sectPr>
          <w:headerReference w:type="default" r:id="rId26"/>
          <w:footerReference w:type="default" r:id="rId27"/>
          <w:pgSz w:w="11906" w:h="16838" w:orient="landscape"/>
          <w:pgMar w:top="1440" w:right="1440" w:bottom="1440" w:left="1440" w:header="708" w:footer="708" w:gutter="0"/>
          <w:pgNumType/>
          <w:docGrid w:linePitch="360"/>
        </w:sectPr>
      </w:pP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ingresos, costos y utilidades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Los ingresos totales pasan de 719.075,4 miles de CUP en el año 1 a 1.455.503,1 en el año 10 (crecimiento medio implícito 8,1 % anual). Esa trayectoria resulta de la demanda prevista, los precios con su crecimiento parametrizado y la limitación por capacidad del escenario activo; no incluye facturación por encima de lo atendible. En el año 1 los costos variables absorben 26,3 % de los ingresos, la fuerza de trabajo 2,1 % y los costos fijos de operación (canon, mantenimiento, servicios públicos, gastos administrativos y otros) 16,0 %. La depreciación del período es 87.023,9 miles de CUP: es un gasto contable que no representa salida de caja. Con la regla tributaria activa (tasa parametrizada de 35,0 %, supuesto de demostración), el impuesto del año 1 es 100.602,1 miles de CUP y la utilidad después de impuestos 186.832,4 (26,0 % de margen neto). La utilidad antes de impuestos mejora de 287.434,5 (año 1) a 771.522,1 (año 10): el modelo atribuye la variación al crecimiento de demanda y precios activado por las reglas vigentes, sin cambios de capacidad adicionales a los programados. Los costos fijos (canon, servicios públicos, otros gastos fijos, aranceles, otros impuestos y royalties) permanecen a valores nominales constantes durante el horizonte por la HIPÓTESIS del parámetro «inflacion_costos_fijos» = 0 %: es una hipótesis de GASTOS NOMINALES CONSTANTES sujeta a PRUEBA CONTRACTUAL — solo es válida si los contratos reales fijan importes nominales por todo el período — y no se califica automáticamente de conservadora: si los contratos efectivamente se indexan, mantener 0 % SUBESTIMA los costos y SOBREESTIMA el resultado. Al cambiar el parámetro a un valor positivo, el informe presentará la sensibilidad de resultados frente a la indexación.</w:t>
      </w:r>
    </w:p>
    <w:p>
      <w:pPr>
        <w:pStyle w:val="NotaTabla"/>
        <w:keepNext/>
        <w:keepLines/>
        <w:spacing w:after="80" w:before="240"/>
      </w:pPr>
      <w:r>
        <w:rPr>
          <w:rFonts w:ascii="Calibri" w:cs="Calibri" w:eastAsia="Calibri" w:hAnsi="Calibri"/>
          <w:b/>
          <w:bCs/>
          <w:color w:val="1E3A5F"/>
          <w:sz w:val="18"/>
          <w:szCs w:val="18"/>
        </w:rPr>
        <w:t xml:space="preserve">Figura 2. Evolución de ingresos, costos y utilidad durante el horizonte</w:t>
      </w:r>
    </w:p>
    <w:p>
      <w:pPr>
        <w:keepLines/>
        <w:spacing w:after="80"/>
        <w:jc w:val="center"/>
      </w:pPr>
      <w:r>
        <w:drawing>
          <wp:inline distT="0" distB="0" distL="0" distR="0">
            <wp:extent cx="5524500" cy="2762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2563EB"/>
          <w:sz w:val="16"/>
          <w:szCs w:val="16"/>
        </w:rPr>
        <w:t xml:space="preserve">—— </w:t>
      </w:r>
      <w:r>
        <w:rPr>
          <w:rFonts w:ascii="Calibri" w:cs="Calibri" w:eastAsia="Calibri" w:hAnsi="Calibri"/>
          <w:color w:val="64748B"/>
          <w:sz w:val="16"/>
          <w:szCs w:val="16"/>
        </w:rPr>
        <w:t xml:space="preserve">Ingresos totales</w:t>
      </w:r>
      <w:r>
        <w:rPr>
          <w:rFonts w:ascii="Calibri" w:cs="Calibri" w:eastAsia="Calibri" w:hAnsi="Calibri"/>
          <w:color w:val="64748B"/>
          <w:sz w:val="14"/>
          <w:szCs w:val="14"/>
        </w:rPr>
        <w:t xml:space="preserve">   ·   </w:t>
      </w:r>
      <w:r>
        <w:rPr>
          <w:rFonts w:ascii="Calibri" w:cs="Calibri" w:eastAsia="Calibri" w:hAnsi="Calibri"/>
          <w:color w:val="B91C1C"/>
          <w:sz w:val="16"/>
          <w:szCs w:val="16"/>
        </w:rPr>
        <w:t xml:space="preserve">—— </w:t>
      </w:r>
      <w:r>
        <w:rPr>
          <w:rFonts w:ascii="Calibri" w:cs="Calibri" w:eastAsia="Calibri" w:hAnsi="Calibri"/>
          <w:color w:val="64748B"/>
          <w:sz w:val="16"/>
          <w:szCs w:val="16"/>
        </w:rPr>
        <w:t xml:space="preserve">Costos y gastos totales</w:t>
      </w:r>
      <w:r>
        <w:rPr>
          <w:rFonts w:ascii="Calibri" w:cs="Calibri" w:eastAsia="Calibri" w:hAnsi="Calibri"/>
          <w:color w:val="64748B"/>
          <w:sz w:val="14"/>
          <w:szCs w:val="14"/>
        </w:rPr>
        <w:t xml:space="preserve">   ·   </w:t>
      </w:r>
      <w:r>
        <w:rPr>
          <w:rFonts w:ascii="Calibri" w:cs="Calibri" w:eastAsia="Calibri" w:hAnsi="Calibri"/>
          <w:color w:val="15803D"/>
          <w:sz w:val="16"/>
          <w:szCs w:val="16"/>
        </w:rPr>
        <w:t xml:space="preserve">—— </w:t>
      </w:r>
      <w:r>
        <w:rPr>
          <w:rFonts w:ascii="Calibri" w:cs="Calibri" w:eastAsia="Calibri" w:hAnsi="Calibri"/>
          <w:color w:val="64748B"/>
          <w:sz w:val="16"/>
          <w:szCs w:val="16"/>
        </w:rPr>
        <w:t xml:space="preserve">Utilidad después de impuestos</w:t>
      </w:r>
    </w:p>
    <w:p>
      <w:pPr>
        <w:pStyle w:val="NotaTexto"/>
        <w:spacing w:after="60" w:before="20"/>
      </w:pPr>
      <w:r>
        <w:rPr>
          <w:rFonts w:ascii="Calibri" w:cs="Calibri" w:eastAsia="Calibri" w:hAnsi="Calibri"/>
          <w:color w:val="64748B"/>
          <w:sz w:val="16"/>
          <w:szCs w:val="16"/>
        </w:rPr>
        <w:t xml:space="preserve">Unidades del eje vertical: Miles de CUP (kCUP). Eje horizontal: Años de operación (1–10). </w:t>
      </w:r>
      <w:r>
        <w:rPr>
          <w:rFonts w:ascii="Calibri" w:cs="Calibri" w:eastAsia="Calibri" w:hAnsi="Calibri"/>
          <w:i/>
          <w:iCs/>
          <w:color w:val="64748B"/>
          <w:sz w:val="16"/>
          <w:szCs w:val="16"/>
        </w:rPr>
        <w:t xml:space="preserve">Nota. Fuente: modelo de cálculo activo (estado de resultados, años 1–10). Importes en miles de cup (kcup); cantidades limitadas por la capacidad del escenario activo. Los valores de cada año corresponden a las mismas cifras de la tabla «Proyección de ingresos, costos y utilidades» del apartado 4.7.</w:t>
      </w:r>
    </w:p>
    <w:p>
      <w:pPr>
        <w:pStyle w:val="NotaTexto"/>
        <w:spacing w:after="60" w:before="60" w:line="276"/>
        <w:jc w:val="both"/>
      </w:pPr>
      <w:r>
        <w:rPr>
          <w:rFonts w:ascii="Calibri" w:cs="Calibri" w:eastAsia="Calibri" w:hAnsi="Calibri"/>
          <w:color w:val="334155"/>
          <w:sz w:val="16"/>
          <w:szCs w:val="16"/>
        </w:rPr>
        <w:t xml:space="preserve">La figura muestra la evolución de ingresos, costos y utilidad del horizonte con los MISMOS valores de la tabla anterior (misma fuente: el modelo de cálculo activo); no representa escenarios no modelados.</w:t>
      </w:r>
    </w:p>
    <w:p>
      <w:pPr>
        <w:pStyle w:val="Heading1"/>
        <w:pageBreakBefore/>
      </w:pPr>
      <w:bookmarkStart w:name="_Toc7" w:id="7"/>
      <w:r>
        <w:rPr>
          <w:rFonts w:ascii="Calibri" w:cs="Calibri" w:eastAsia="Calibri" w:hAnsi="Calibri"/>
          <w:b/>
          <w:bCs/>
          <w:color w:val="1E3A5F"/>
          <w:sz w:val="30"/>
          <w:szCs w:val="30"/>
        </w:rPr>
        <w:t xml:space="preserve">4.7.1  Flujos de caja y recuperación de la inversión</w:t>
      </w:r>
      <w:bookmarkEnd w:id="7"/>
    </w:p>
    <w:p>
      <w:pPr>
        <w:pStyle w:val="NotaTexto"/>
        <w:spacing w:after="60" w:before="60" w:line="276"/>
        <w:jc w:val="both"/>
        <w:sectPr>
          <w:headerReference w:type="default" r:id="rId28"/>
          <w:footerReference w:type="default" r:id="rId29"/>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modelo calcula DOS indicadores separados: la recuperación de la INVERSIÓN TOTAL con el flujo de caja del proyecto (FCFF) y la recuperación del CAPITAL APORTADO con el flujo de los socios (FCFE). Ninguno mezcla la utilidad contable con la amortización del crédito. El FCFF reincorpora el interés DESPUÉS DE IMPUESTOS (interés devengado menos su escudo fiscal); el FCFE restituye el escudo y descuenta el interés pagado, de modo que ambos reconcilian algebraicamente: FCFF - FCFE = intereses pagados - escudo fiscal - desembolsos + amortizaciones.</w:t>
      </w:r>
    </w:p>
    <w:p>
      <w:pPr>
        <w:pStyle w:val="NotaTabla"/>
        <w:keepNext/>
        <w:keepLines/>
        <w:spacing w:after="80" w:before="200"/>
      </w:pPr>
      <w:r>
        <w:rPr>
          <w:rFonts w:ascii="Calibri" w:cs="Calibri" w:eastAsia="Calibri" w:hAnsi="Calibri"/>
          <w:b/>
          <w:bCs/>
          <w:color w:val="1E3A5F"/>
          <w:sz w:val="18"/>
          <w:szCs w:val="18"/>
        </w:rPr>
        <w:t xml:space="preserve">Tabla 16. Flujos de caja del proyecto y de los socios (miles de CUP; con el escudo fiscal del interés después de impuestos)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635"/>
        <w:gridCol w:w="1077"/>
        <w:gridCol w:w="898"/>
        <w:gridCol w:w="898"/>
        <w:gridCol w:w="898"/>
        <w:gridCol w:w="808"/>
        <w:gridCol w:w="808"/>
        <w:gridCol w:w="987"/>
        <w:gridCol w:w="987"/>
        <w:gridCol w:w="987"/>
        <w:gridCol w:w="987"/>
        <w:gridCol w:w="987"/>
      </w:tblGrid>
      <w:tr>
        <w:trPr>
          <w:cantSplit/>
          <w:tblHeader/>
        </w:trPr>
        <w:tc>
          <w:tcPr>
            <w:tcW w:type="dxa" w:w="363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Concepto (kCUP)</w:t>
            </w:r>
          </w:p>
        </w:tc>
        <w:tc>
          <w:tcPr>
            <w:tcW w:type="dxa" w:w="107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8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8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8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80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80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98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98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98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98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98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del PROYECTO (FCFF)</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-1.100.216,0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285.447,1</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309.815,8</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336.067,4</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364.345,1</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394.802,9</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425.786,1</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353.563,9</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503.055,5</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540.603,7</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584.705,4</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acumulado del proyecto</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-1.100.216,0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-814.768,9</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-504.953,1</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-168.885,7</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195.459,4</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590.262,3</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1.016.048,5</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1.369.612,3</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1.872.667,8</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2.413.271,5</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2.997.976,9</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Saldo pendiente de recuperar (inversión total)</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1.100.216,0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814.768,9</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504.953,1</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168.885,7</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Escudo fiscal del interés devengado</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6.241,2</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6.241,2</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4.993,0</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3.744,7</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2.496,5</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1.248,2</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de los SOCIOS (FCFE)</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-877.316,0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273.856,3</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253.645,0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282.214,7</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312.810,6</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345.586,6</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378.888,0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353.563,9</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503.055,5</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540.603,7</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584.705,4</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Flujo acumulado de los socios</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-877.316,0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-603.459,7</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-349.814,7</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-67.599,9</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245.210,7</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590.797,3</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969.685,3</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1.323.249,1</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1.826.304,6</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2.366.908,3</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2.951.613,7</w:t>
            </w:r>
          </w:p>
        </w:tc>
      </w:tr>
      <w:tr>
        <w:trPr>
          <w:cantSplit/>
        </w:trPr>
        <w:tc>
          <w:tcPr>
            <w:tcW w:type="dxa" w:w="363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Saldo pendiente de recuperar (capital aportado)</w:t>
            </w:r>
          </w:p>
        </w:tc>
        <w:tc>
          <w:tcPr>
            <w:tcW w:type="dxa" w:w="107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877.316,0</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603.459,7</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349.814,7</w:t>
            </w:r>
          </w:p>
        </w:tc>
        <w:tc>
          <w:tcPr>
            <w:tcW w:type="dxa" w:w="8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67.599,9</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0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8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bl>
    <w:p>
      <w:pPr>
        <w:sectPr>
          <w:headerReference w:type="default" r:id="rId30"/>
          <w:footerReference w:type="default" r:id="rId31"/>
          <w:pgSz w:w="11906" w:h="16838" w:orient="landscape"/>
          <w:pgMar w:top="1440" w:right="1440" w:bottom="1440" w:left="1440" w:header="708" w:footer="708" w:gutter="0"/>
          <w:pgNumType/>
          <w:docGrid w:linePitch="360"/>
        </w:sectPr>
      </w:pPr>
    </w:p>
    <w:p>
      <w:pPr>
        <w:pStyle w:val="NotaTabla"/>
        <w:keepNext/>
        <w:keepLines/>
        <w:spacing w:after="80" w:before="240"/>
      </w:pPr>
      <w:r>
        <w:rPr>
          <w:rFonts w:ascii="Calibri" w:cs="Calibri" w:eastAsia="Calibri" w:hAnsi="Calibri"/>
          <w:b/>
          <w:bCs/>
          <w:color w:val="1E3A5F"/>
          <w:sz w:val="18"/>
          <w:szCs w:val="18"/>
        </w:rPr>
        <w:t xml:space="preserve">Figura 3. Flujo acumulado del proyecto (FCFF) y del capital de los socios (FCFE), con cruce de cero</w:t>
      </w:r>
    </w:p>
    <w:p>
      <w:pPr>
        <w:keepLines/>
        <w:spacing w:after="80"/>
        <w:jc w:val="center"/>
      </w:pPr>
      <w:r>
        <w:drawing>
          <wp:inline distT="0" distB="0" distL="0" distR="0">
            <wp:extent cx="5524500" cy="2762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524500" cy="2762250"/>
                    </a:xfrm>
                    <a:prstGeom prst="rect">
                      <a:avLst/>
                    </a:prstGeom>
                  </pic:spPr>
                </pic:pic>
              </a:graphicData>
            </a:graphic>
          </wp:inline>
        </w:drawing>
      </w:r>
    </w:p>
    <w:p>
      <w:pPr>
        <w:spacing w:after="40" w:before="40"/>
      </w:pPr>
      <w:r>
        <w:rPr>
          <w:rFonts w:ascii="Calibri" w:cs="Calibri" w:eastAsia="Calibri" w:hAnsi="Calibri"/>
          <w:color w:val="1D4ED8"/>
          <w:sz w:val="16"/>
          <w:szCs w:val="16"/>
        </w:rPr>
        <w:t xml:space="preserve">—— </w:t>
      </w:r>
      <w:r>
        <w:rPr>
          <w:rFonts w:ascii="Calibri" w:cs="Calibri" w:eastAsia="Calibri" w:hAnsi="Calibri"/>
          <w:color w:val="64748B"/>
          <w:sz w:val="16"/>
          <w:szCs w:val="16"/>
        </w:rPr>
        <w:t xml:space="preserve">Flujo acumulado del proyecto (FCFF) — cruce en 3,5 años</w:t>
      </w:r>
      <w:r>
        <w:rPr>
          <w:rFonts w:ascii="Calibri" w:cs="Calibri" w:eastAsia="Calibri" w:hAnsi="Calibri"/>
          <w:color w:val="64748B"/>
          <w:sz w:val="14"/>
          <w:szCs w:val="14"/>
        </w:rPr>
        <w:t xml:space="preserve">   ·   </w:t>
      </w:r>
      <w:r>
        <w:rPr>
          <w:rFonts w:ascii="Calibri" w:cs="Calibri" w:eastAsia="Calibri" w:hAnsi="Calibri"/>
          <w:color w:val="B45309"/>
          <w:sz w:val="16"/>
          <w:szCs w:val="16"/>
        </w:rPr>
        <w:t xml:space="preserve">—— </w:t>
      </w:r>
      <w:r>
        <w:rPr>
          <w:rFonts w:ascii="Calibri" w:cs="Calibri" w:eastAsia="Calibri" w:hAnsi="Calibri"/>
          <w:color w:val="64748B"/>
          <w:sz w:val="16"/>
          <w:szCs w:val="16"/>
        </w:rPr>
        <w:t xml:space="preserve">Flujo acumulado de los socios (FCFE) — cruce en 3,2 años</w:t>
      </w:r>
      <w:r>
        <w:rPr>
          <w:rFonts w:ascii="Calibri" w:cs="Calibri" w:eastAsia="Calibri" w:hAnsi="Calibri"/>
          <w:color w:val="64748B"/>
          <w:sz w:val="14"/>
          <w:szCs w:val="14"/>
        </w:rPr>
        <w:t xml:space="preserve">   ·   </w:t>
      </w:r>
      <w:r>
        <w:rPr>
          <w:rFonts w:ascii="Calibri" w:cs="Calibri" w:eastAsia="Calibri" w:hAnsi="Calibri"/>
          <w:color w:val="64748B"/>
          <w:sz w:val="16"/>
          <w:szCs w:val="16"/>
        </w:rPr>
        <w:t xml:space="preserve">—— </w:t>
      </w:r>
      <w:r>
        <w:rPr>
          <w:rFonts w:ascii="Calibri" w:cs="Calibri" w:eastAsia="Calibri" w:hAnsi="Calibri"/>
          <w:color w:val="64748B"/>
          <w:sz w:val="16"/>
          <w:szCs w:val="16"/>
        </w:rPr>
        <w:t xml:space="preserve">Cero (recuperación simple, sin descontar)</w:t>
      </w:r>
    </w:p>
    <w:p>
      <w:pPr>
        <w:pStyle w:val="NotaTexto"/>
        <w:spacing w:after="60" w:before="20"/>
      </w:pPr>
      <w:r>
        <w:rPr>
          <w:rFonts w:ascii="Calibri" w:cs="Calibri" w:eastAsia="Calibri" w:hAnsi="Calibri"/>
          <w:color w:val="64748B"/>
          <w:sz w:val="16"/>
          <w:szCs w:val="16"/>
        </w:rPr>
        <w:t xml:space="preserve">Unidades del eje vertical: Miles de CUP (kCUP). Eje horizontal: Años del análisis (0–10); el cruce del eje horizontal marca la recuperación simple. </w:t>
      </w:r>
      <w:r>
        <w:rPr>
          <w:rFonts w:ascii="Calibri" w:cs="Calibri" w:eastAsia="Calibri" w:hAnsi="Calibri"/>
          <w:i/>
          <w:iCs/>
          <w:color w:val="64748B"/>
          <w:sz w:val="16"/>
          <w:szCs w:val="16"/>
        </w:rPr>
        <w:t xml:space="preserve">Nota. Fuente: modelo de cálculo activo (flujos de caja, años 0–10). Importes en miles de cup (kcup). Las verticales punteadas señalan los cruces de cero del acumulado (recuperación simple, sin descontar, por interpolación lineal intranual); el FCFF reincorpora el interés después de impuestos y el FCFE restituye su escudo fiscal.</w:t>
      </w:r>
    </w:p>
    <w:p>
      <w:pPr>
        <w:pStyle w:val="NotaTexto"/>
        <w:spacing w:after="60" w:before="60" w:line="276"/>
        <w:jc w:val="both"/>
      </w:pPr>
      <w:r>
        <w:rPr>
          <w:rFonts w:ascii="Calibri" w:cs="Calibri" w:eastAsia="Calibri" w:hAnsi="Calibri"/>
          <w:color w:val="334155"/>
          <w:sz w:val="16"/>
          <w:szCs w:val="16"/>
        </w:rPr>
        <w:t xml:space="preserve">Recuperación de la inversión total: 3,5 años (cruce en el año 4). Método: interpolación lineal del acumulado, (t-1) + |acumulado anterior| / (acumulado actual - acumulado anterior); recuperación SIMPLE, SIN DESCONTAR (los flujos no se actualizan con tasa de descuento). Recuperación del capital aportado: 3,2 años (cruce en el año 4). Horizonte &gt;= recuperación + 1 conforme a la metodología. El capital de trabajo solo se recupera si el parámetro correspondiente lo indica (regla explícita; 0 % = hipótesis conservadora que debe declararse).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del flujo de caja y la recuperación</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sectPr>
          <w:headerReference w:type="default" r:id="rId32"/>
          <w:footerReference w:type="default" r:id="rId33"/>
          <w:pgSz w:w="11906" w:h="16838" w:orient="portrait"/>
          <w:pgMar w:top="1440" w:right="1440" w:bottom="1440" w:left="1440" w:header="708" w:footer="708" w:gutter="0"/>
          <w:pgNumType/>
          <w:docGrid w:linePitch="360"/>
        </w:sectPr>
      </w:pPr>
      <w:r>
        <w:rPr>
          <w:rFonts w:ascii="Calibri" w:cs="Calibri" w:eastAsia="Calibri" w:hAnsi="Calibri"/>
          <w:color w:val="334155"/>
          <w:sz w:val="18"/>
          <w:szCs w:val="18"/>
        </w:rPr>
        <w:t xml:space="preserve">El modelo calcula DOS indicadores separados. La recuperación de la INVERSIÓN TOTAL se mide con el flujo de caja del proyecto (FCFF = utilidad neta + intereses DESPUÉS DE IMPUESTOS + depreciación - CAPEX de ampliaciones; el interés devengado se reincorpora neto de su escudo fiscal — la porción de interés que el impuesto ya absorbe —, con la inversión total como desembolso del año 0). La recuperación del CAPITAL APORTADO se mide con el flujo de los socios (FCFE = FCFF - intereses pagados + escudo fiscal + desembolsos del crédito - amortizaciones, con las aportaciones como desembolso inicial). Ambas recuperaciones son SIMPLES y SIN DESCONTAR: no se aplica tasa de descuento alguna a los flujos. Con los flujos vigentes, la inversión total de 1.099.640,0 kCUP se recupera en 3,5 años (cruce del acumulado en el año 4; interpolación lineal: (t-1) + |acumulado anterior| / (acumulado actual - acumulado anterior)). El saldo pendiente de recuperar al final del año 3 era 168.885,7 kCUP. El capital aportado por los socios (876.740,0 kCUP) se recupera en 3,2 años (cruce en el año 4), más temprana que la recuperación de la inversión total: la diferencia procede del crédito (desembolsos) y de su servicio (intereses y amortizaciones). Las ampliaciones de capacidad del escenario B añaden 111.450,0 miles de CUP de CAPEX en sus años de ejecución, retrasando el acumulado del proyecto en esos años; el modelo los incluye íntegramente (no presenta una recuperación optimista que ignore las inversiones adicionales). El capital de trabajo inicial no se recupera dentro del modelo (tratamiento conservador, parámetro de recuperación en 0 %).</w:t>
      </w:r>
    </w:p>
    <w:p>
      <w:pPr>
        <w:pStyle w:val="NotaTabla"/>
        <w:keepNext/>
        <w:keepLines/>
        <w:spacing w:after="80" w:before="200"/>
      </w:pPr>
      <w:r>
        <w:rPr>
          <w:rFonts w:ascii="Calibri" w:cs="Calibri" w:eastAsia="Calibri" w:hAnsi="Calibri"/>
          <w:b/>
          <w:bCs/>
          <w:color w:val="1E3A5F"/>
          <w:sz w:val="18"/>
          <w:szCs w:val="18"/>
        </w:rPr>
        <w:t xml:space="preserve">Tabla 17. Módulo de dividendos (kCUP): base distribuible, reserva, propuestos y PAGABLES limitados por caja (participación de CADA socio)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1152"/>
        <w:gridCol w:w="1098"/>
        <w:gridCol w:w="1098"/>
        <w:gridCol w:w="976"/>
        <w:gridCol w:w="1220"/>
        <w:gridCol w:w="1707"/>
        <w:gridCol w:w="1098"/>
        <w:gridCol w:w="1707"/>
        <w:gridCol w:w="1951"/>
        <w:gridCol w:w="1951"/>
      </w:tblGrid>
      <w:tr>
        <w:trPr>
          <w:cantSplit/>
          <w:tblHeader/>
        </w:trPr>
        <w:tc>
          <w:tcPr>
            <w:tcW w:type="dxa" w:w="1152"/>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Período</w:t>
            </w:r>
          </w:p>
        </w:tc>
        <w:tc>
          <w:tcPr>
            <w:tcW w:type="dxa" w:w="10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UDI</w:t>
            </w:r>
          </w:p>
        </w:tc>
        <w:tc>
          <w:tcPr>
            <w:tcW w:type="dxa" w:w="10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Base</w:t>
            </w:r>
          </w:p>
        </w:tc>
        <w:tc>
          <w:tcPr>
            <w:tcW w:type="dxa" w:w="97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Reserva</w:t>
            </w:r>
          </w:p>
        </w:tc>
        <w:tc>
          <w:tcPr>
            <w:tcW w:type="dxa" w:w="122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Propuestos</w:t>
            </w:r>
          </w:p>
        </w:tc>
        <w:tc>
          <w:tcPr>
            <w:tcW w:type="dxa" w:w="17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Caja acumulada</w:t>
            </w:r>
          </w:p>
        </w:tc>
        <w:tc>
          <w:tcPr>
            <w:tcW w:type="dxa" w:w="10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Pagables</w:t>
            </w:r>
          </w:p>
        </w:tc>
        <w:tc>
          <w:tcPr>
            <w:tcW w:type="dxa" w:w="17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Socio nacional</w:t>
            </w:r>
          </w:p>
        </w:tc>
        <w:tc>
          <w:tcPr>
            <w:tcW w:type="dxa" w:w="1951"/>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Socio extranjero</w:t>
            </w:r>
          </w:p>
        </w:tc>
        <w:tc>
          <w:tcPr>
            <w:tcW w:type="dxa" w:w="1951"/>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Saldo acumulable</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0</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-877.316,0</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186.832,4</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186.256,4</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18.625,6</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83.815,4</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-603.459,7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167.630,8</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2</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211.201,1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378.831,9</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37.883,2</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170.474,4</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-349.814,7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340.948,7</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3</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239.770,9</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580.719,6</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58.072,0</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261.323,8</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-67.599,9</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522.647,6</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4</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270.366,7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793.014,4</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79.301,4</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356.856,5</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245.210,7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245.210,7</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98.084,3</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147.126,4</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468.502,3</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5</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303.142,8</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771.645,0</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77.164,5</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347.240,3</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590.797,3</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347.240,3</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138.896,1</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208.344,2</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347.240,3</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6</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341.645,1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688.885,3</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68.888,5</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309.998,4</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969.685,3</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309.998,4</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123.999,4</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185.999,0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309.998,4</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372.046,0</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682.044,4</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68.204,4</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306.920,0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1.323.249,1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306.920,0</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122.768,0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184.152,0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306.920,0</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8</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410.087,6</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717.007,6</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71.700,8</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322.653,4</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1.826.304,6</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322.653,4</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129.061,4</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193.592,0</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322.653,4</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9</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457.387,7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780.041,1</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78.004,1</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351.018,5</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2.366.908,3</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351.018,5</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140.407,4</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210.611,1</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351.018,5</w:t>
            </w:r>
          </w:p>
        </w:tc>
      </w:tr>
      <w:tr>
        <w:trPr>
          <w:cantSplit/>
        </w:trPr>
        <w:tc>
          <w:tcPr>
            <w:tcW w:type="dxa" w:w="11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Año 10</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501.489,4</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852.507,9</w:t>
            </w:r>
          </w:p>
        </w:tc>
        <w:tc>
          <w:tcPr>
            <w:tcW w:type="dxa" w:w="97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85.250,8</w:t>
            </w:r>
          </w:p>
        </w:tc>
        <w:tc>
          <w:tcPr>
            <w:tcW w:type="dxa" w:w="122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383.628,5</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2.951.613,7</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383.628,5</w:t>
            </w:r>
          </w:p>
        </w:tc>
        <w:tc>
          <w:tcPr>
            <w:tcW w:type="dxa" w:w="17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153.451,4</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230.177,1</w:t>
            </w:r>
          </w:p>
        </w:tc>
        <w:tc>
          <w:tcPr>
            <w:tcW w:type="dxa" w:w="195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383.628,5</w:t>
            </w:r>
          </w:p>
        </w:tc>
      </w:tr>
    </w:tbl>
    <w:p>
      <w:pPr>
        <w:sectPr>
          <w:headerReference w:type="default" r:id="rId34"/>
          <w:footerReference w:type="default" r:id="rId35"/>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Reglas expresas del módulo (base matemática exacta): base_t = MAX(0, UDI_t + saldoAcumulable_(t-1)), donde el saldo acumulable previo son los resultados de EJERCICIOS ANTERIORES no distribuidos — utilidades retenidas netas de pérdidas, de reservas ya constituidas y de dividendos ya pagados (el saldo del año 0 arranca con la pérdida de montaje, si existe) —, de modo que la base NO es solo la utilidad del año: la reserva (pct_reserva_legal × base) se constituye UNA sola vez sobre esa base y nunca se reserva dos veces la misma utilidad; distribuible = base - reserva; propuestos = distribuible × pct_reparto; pagables = MIN(propuestos, MAX(0, caja acumulada)), donde la caja acumulada es el FCFE antes de repartos DESDE EL AÑO 0 (política conservadora que exige recuperar en caja los aportes antes de repartir); el reparto entre socios usa la PARTICIPACIÓN en el capital, que es distinta del porcentaje de reparto; saldoAcumulable_t = saldoAcumulable_(t-1) + UDI_t - reserva_t - pagables_t. La política de reservas y repartos — incluida la decisión de constituir la reserva sobre la base acumulada y no sobre la utilidad aislada del ejercicio — es un SUPUESTO EDITABLE PENDIENTE DE VALIDACIÓN JURÍDICA: la exigencia legal de constituir reservas y su base exacta deben confirmarse con la normativa societaria aplicable y con el propietario del plan antes de cualquier uso oficial. Los dividendos de la parte cubana que figuran en 4.11 salen de este mismo módulo.</w:t>
      </w:r>
    </w:p>
    <w:p>
      <w:pPr>
        <w:pStyle w:val="Heading1"/>
        <w:pageBreakBefore/>
      </w:pPr>
      <w:bookmarkStart w:name="_Toc8" w:id="8"/>
      <w:r>
        <w:rPr>
          <w:rFonts w:ascii="Calibri" w:cs="Calibri" w:eastAsia="Calibri" w:hAnsi="Calibri"/>
          <w:b/>
          <w:bCs/>
          <w:color w:val="1E3A5F"/>
          <w:sz w:val="30"/>
          <w:szCs w:val="30"/>
        </w:rPr>
        <w:t xml:space="preserve">4.8  Análisis o caracterización del mercado</w:t>
      </w:r>
      <w:bookmarkEnd w:id="8"/>
    </w:p>
    <w:p>
      <w:pPr>
        <w:spacing w:after="40" w:before="40"/>
        <w:jc w:val="left"/>
      </w:pPr>
      <w:r>
        <w:rPr>
          <w:rFonts w:ascii="Calibri" w:cs="Calibri" w:eastAsia="Calibri" w:hAnsi="Calibri"/>
          <w:b/>
          <w:bCs/>
          <w:color w:val="1E3A5F"/>
          <w:sz w:val="19"/>
          <w:szCs w:val="19"/>
        </w:rPr>
        <w:t xml:space="preserve">Caracterización de productos y servicios: </w:t>
      </w:r>
      <w:r>
        <w:rPr>
          <w:rFonts w:ascii="Calibri" w:cs="Calibri" w:eastAsia="Calibri" w:hAnsi="Calibri"/>
          <w:color w:val="334155"/>
          <w:sz w:val="19"/>
          <w:szCs w:val="19"/>
        </w:rPr>
        <w:t xml:space="preserve">Servicios estomatológicos de calidad con estándares internacionales. Descripción ilustrativa para la demostración: la caracterización real exige estudios de mercado primarios.</w:t>
      </w:r>
    </w:p>
    <w:p>
      <w:pPr>
        <w:spacing w:after="40" w:before="40"/>
        <w:jc w:val="left"/>
      </w:pPr>
      <w:r>
        <w:rPr>
          <w:rFonts w:ascii="Calibri" w:cs="Calibri" w:eastAsia="Calibri" w:hAnsi="Calibri"/>
          <w:b/>
          <w:bCs/>
          <w:color w:val="1E3A5F"/>
          <w:sz w:val="19"/>
          <w:szCs w:val="19"/>
        </w:rPr>
        <w:t xml:space="preserve">Requisitos regulatorios y registros necesarios: </w:t>
      </w:r>
      <w:r>
        <w:rPr>
          <w:rFonts w:ascii="Calibri" w:cs="Calibri" w:eastAsia="Calibri" w:hAnsi="Calibri"/>
          <w:color w:val="334155"/>
          <w:sz w:val="19"/>
          <w:szCs w:val="19"/>
        </w:rPr>
        <w:t xml:space="preserve">Licencia sanitaria (MINSAP), registro de la empresa mixta (Registro Mercantil), autorizaciones ambientales y de residuos biomédicos; requisitos de inversión extranjera (CEPEC/DAMN según corresponda). Lista ilustrativa: verificar la normativa aplicable y su estado de cumplimiento antes de la presentación.</w:t>
      </w:r>
    </w:p>
    <w:p>
      <w:pPr>
        <w:spacing w:after="40" w:before="40"/>
        <w:jc w:val="left"/>
      </w:pPr>
      <w:r>
        <w:rPr>
          <w:rFonts w:ascii="Calibri" w:cs="Calibri" w:eastAsia="Calibri" w:hAnsi="Calibri"/>
          <w:b/>
          <w:bCs/>
          <w:color w:val="1E3A5F"/>
          <w:sz w:val="19"/>
          <w:szCs w:val="19"/>
        </w:rPr>
        <w:t xml:space="preserve">Materias primas y materiales auxiliares: </w:t>
      </w:r>
      <w:r>
        <w:rPr>
          <w:rFonts w:ascii="Calibri" w:cs="Calibri" w:eastAsia="Calibri" w:hAnsi="Calibri"/>
          <w:color w:val="334155"/>
          <w:sz w:val="19"/>
          <w:szCs w:val="19"/>
        </w:rPr>
        <w:t xml:space="preserve">Materiales odontológicos y consumibles: resinas, anestésicos, aleaciones, implantes, insumos de bioseguridad y esterilización (detalle ficticio).</w:t>
      </w:r>
    </w:p>
    <w:p>
      <w:pPr>
        <w:spacing w:after="40" w:before="40"/>
        <w:jc w:val="left"/>
      </w:pPr>
      <w:r>
        <w:rPr>
          <w:rFonts w:ascii="Calibri" w:cs="Calibri" w:eastAsia="Calibri" w:hAnsi="Calibri"/>
          <w:b/>
          <w:bCs/>
          <w:color w:val="1E3A5F"/>
          <w:sz w:val="19"/>
          <w:szCs w:val="19"/>
        </w:rPr>
        <w:t xml:space="preserve">Fuentes y ubicación de los suministros: </w:t>
      </w:r>
      <w:r>
        <w:rPr>
          <w:rFonts w:ascii="Calibri" w:cs="Calibri" w:eastAsia="Calibri" w:hAnsi="Calibri"/>
          <w:color w:val="334155"/>
          <w:sz w:val="19"/>
          <w:szCs w:val="19"/>
        </w:rPr>
        <w:t xml:space="preserve">Importación vía proveedores internacionales certificados (supuesto ficticio); evaluar proveedores nacionales donde exista oferta.</w:t>
      </w:r>
    </w:p>
    <w:p>
      <w:pPr>
        <w:spacing w:after="40" w:before="40"/>
        <w:jc w:val="left"/>
      </w:pPr>
      <w:r>
        <w:rPr>
          <w:rFonts w:ascii="Calibri" w:cs="Calibri" w:eastAsia="Calibri" w:hAnsi="Calibri"/>
          <w:b/>
          <w:bCs/>
          <w:color w:val="1E3A5F"/>
          <w:sz w:val="19"/>
          <w:szCs w:val="19"/>
        </w:rPr>
        <w:t xml:space="preserve">Consumo estimado: </w:t>
      </w:r>
      <w:r>
        <w:rPr>
          <w:rFonts w:ascii="Calibri" w:cs="Calibri" w:eastAsia="Calibri" w:hAnsi="Calibri"/>
          <w:color w:val="334155"/>
          <w:sz w:val="19"/>
          <w:szCs w:val="19"/>
        </w:rPr>
        <w:t xml:space="preserve">Costo variable unitario por servicio precargado en la tabla de servicios (supuestos ficticios).</w:t>
      </w:r>
    </w:p>
    <w:p>
      <w:pPr>
        <w:spacing w:after="40" w:before="40"/>
        <w:jc w:val="left"/>
      </w:pPr>
      <w:r>
        <w:rPr>
          <w:rFonts w:ascii="Calibri" w:cs="Calibri" w:eastAsia="Calibri" w:hAnsi="Calibri"/>
          <w:b/>
          <w:bCs/>
          <w:color w:val="1E3A5F"/>
          <w:sz w:val="19"/>
          <w:szCs w:val="19"/>
        </w:rPr>
        <w:t xml:space="preserve">Demanda aparente: </w:t>
      </w:r>
      <w:r>
        <w:rPr>
          <w:rFonts w:ascii="Calibri" w:cs="Calibri" w:eastAsia="Calibri" w:hAnsi="Calibri"/>
          <w:color w:val="334155"/>
          <w:sz w:val="19"/>
          <w:szCs w:val="19"/>
        </w:rPr>
        <w:t xml:space="preserve">Supuesto ilustrativo: población servida estimada de 240 000 habitantes y prevalencia de necesidad de tratamiento del 60 % de adultos. Estimación NO verificada: una propuesta real debe aportar fuentes con fecha.</w:t>
      </w:r>
    </w:p>
    <w:p>
      <w:pPr>
        <w:spacing w:after="40" w:before="40"/>
        <w:jc w:val="left"/>
      </w:pPr>
      <w:r>
        <w:rPr>
          <w:rFonts w:ascii="Calibri" w:cs="Calibri" w:eastAsia="Calibri" w:hAnsi="Calibri"/>
          <w:b/>
          <w:bCs/>
          <w:color w:val="1E3A5F"/>
          <w:sz w:val="19"/>
          <w:szCs w:val="19"/>
        </w:rPr>
        <w:t xml:space="preserve">Demanda solvente: </w:t>
      </w:r>
      <w:r>
        <w:rPr>
          <w:rFonts w:ascii="Calibri" w:cs="Calibri" w:eastAsia="Calibri" w:hAnsi="Calibri"/>
          <w:color w:val="334155"/>
          <w:sz w:val="19"/>
          <w:szCs w:val="19"/>
        </w:rPr>
        <w:t xml:space="preserve">Supuesto ilustrativo: 38 000 personas con capacidad de pago en el área de influencia; captación objetivo del año 1 en torno al 12 %. Supuesto NO verificado.</w:t>
      </w:r>
    </w:p>
    <w:p>
      <w:pPr>
        <w:spacing w:after="40" w:before="40"/>
        <w:jc w:val="left"/>
      </w:pPr>
      <w:r>
        <w:rPr>
          <w:rFonts w:ascii="Calibri" w:cs="Calibri" w:eastAsia="Calibri" w:hAnsi="Calibri"/>
          <w:b/>
          <w:bCs/>
          <w:color w:val="1E3A5F"/>
          <w:sz w:val="19"/>
          <w:szCs w:val="19"/>
        </w:rPr>
        <w:t xml:space="preserve">Método y fuentes de estimación: </w:t>
      </w:r>
      <w:r>
        <w:rPr>
          <w:rFonts w:ascii="Calibri" w:cs="Calibri" w:eastAsia="Calibri" w:hAnsi="Calibri"/>
          <w:color w:val="334155"/>
          <w:sz w:val="19"/>
          <w:szCs w:val="19"/>
        </w:rPr>
        <w:t xml:space="preserve">Método ilustrativo por referencias públicas y supuestos de captación. La aplicación exige documentar fuentes y fechas; no simula investigación de mercado real. Fuentes ficticias de demostración: proyecciones demográficas ilustrativas y referencias sectoriales no verificadas.</w:t>
      </w:r>
    </w:p>
    <w:p>
      <w:pPr>
        <w:spacing w:after="40" w:before="40"/>
        <w:jc w:val="left"/>
      </w:pPr>
      <w:r>
        <w:rPr>
          <w:rFonts w:ascii="Calibri" w:cs="Calibri" w:eastAsia="Calibri" w:hAnsi="Calibri"/>
          <w:b/>
          <w:bCs/>
          <w:color w:val="1E3A5F"/>
          <w:sz w:val="19"/>
          <w:szCs w:val="19"/>
        </w:rPr>
        <w:t xml:space="preserve">Comercialización — exportaciones: </w:t>
      </w:r>
      <w:r>
        <w:rPr>
          <w:rFonts w:ascii="Calibri" w:cs="Calibri" w:eastAsia="Calibri" w:hAnsi="Calibri"/>
          <w:color w:val="334155"/>
          <w:sz w:val="19"/>
          <w:szCs w:val="19"/>
        </w:rPr>
        <w:t xml:space="preserve">Atención a pacientes internacionales (turismo de salud): supuesto ilustrativo, crecimiento a partir del tercer año, incluido dentro de los precios en USD de la tabla de servicios (los ingresos en divisas deben desglosarse por canales sin duplicar operaciones).</w:t>
      </w:r>
    </w:p>
    <w:p>
      <w:pPr>
        <w:spacing w:after="40" w:before="40"/>
        <w:jc w:val="left"/>
      </w:pPr>
      <w:r>
        <w:rPr>
          <w:rFonts w:ascii="Calibri" w:cs="Calibri" w:eastAsia="Calibri" w:hAnsi="Calibri"/>
          <w:b/>
          <w:bCs/>
          <w:color w:val="1E3A5F"/>
          <w:sz w:val="19"/>
          <w:szCs w:val="19"/>
        </w:rPr>
        <w:t xml:space="preserve">Comercialización — divisas (plataformas con pagos desde el exterior): </w:t>
      </w:r>
      <w:r>
        <w:rPr>
          <w:rFonts w:ascii="Calibri" w:cs="Calibri" w:eastAsia="Calibri" w:hAnsi="Calibri"/>
          <w:color w:val="334155"/>
          <w:sz w:val="19"/>
          <w:szCs w:val="19"/>
        </w:rPr>
        <w:t xml:space="preserve">Los servicios se facturan en divisas según la política establecida (supuesto ficticio a definir).</w:t>
      </w:r>
    </w:p>
    <w:p>
      <w:pPr>
        <w:spacing w:after="40" w:before="40"/>
        <w:jc w:val="left"/>
        <w:sectPr>
          <w:headerReference w:type="default" r:id="rId36"/>
          <w:footerReference w:type="default" r:id="rId37"/>
          <w:pgSz w:w="11906" w:h="16838" w:orient="portrait"/>
          <w:pgMar w:top="1440" w:right="1440" w:bottom="1440" w:left="1440" w:header="708" w:footer="708" w:gutter="0"/>
          <w:pgNumType/>
          <w:docGrid w:linePitch="360"/>
        </w:sectPr>
      </w:pPr>
      <w:r>
        <w:rPr>
          <w:rFonts w:ascii="Calibri" w:cs="Calibri" w:eastAsia="Calibri" w:hAnsi="Calibri"/>
          <w:b/>
          <w:bCs/>
          <w:color w:val="1E3A5F"/>
          <w:sz w:val="19"/>
          <w:szCs w:val="19"/>
        </w:rPr>
        <w:t xml:space="preserve">Comercialización — moneda nacional: </w:t>
      </w:r>
      <w:r>
        <w:rPr>
          <w:rFonts w:ascii="Calibri" w:cs="Calibri" w:eastAsia="Calibri" w:hAnsi="Calibri"/>
          <w:color w:val="334155"/>
          <w:sz w:val="19"/>
          <w:szCs w:val="19"/>
        </w:rPr>
        <w:t xml:space="preserve">Se contempla un componente de venta en moneda nacional a población nacional con capacidad de pago (supuesto ficticio a definir).</w:t>
      </w:r>
    </w:p>
    <w:p>
      <w:pPr>
        <w:pStyle w:val="NotaTabla"/>
        <w:keepNext/>
        <w:keepLines/>
        <w:spacing w:after="80" w:before="200"/>
      </w:pPr>
      <w:r>
        <w:rPr>
          <w:rFonts w:ascii="Calibri" w:cs="Calibri" w:eastAsia="Calibri" w:hAnsi="Calibri"/>
          <w:b/>
          <w:bCs/>
          <w:color w:val="1E3A5F"/>
          <w:sz w:val="18"/>
          <w:szCs w:val="18"/>
        </w:rPr>
        <w:t xml:space="preserve">Tabla 18. Proyección de ingresos por canal de comercialización (miles de CUP; metodología 4.8: exportaciones / plataformas con pagos desde el exterior / ventas en plaza, sin duplicar operaciones)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707"/>
        <w:gridCol w:w="824"/>
        <w:gridCol w:w="824"/>
        <w:gridCol w:w="824"/>
        <w:gridCol w:w="824"/>
        <w:gridCol w:w="824"/>
        <w:gridCol w:w="1007"/>
        <w:gridCol w:w="1007"/>
        <w:gridCol w:w="1007"/>
        <w:gridCol w:w="1007"/>
        <w:gridCol w:w="1007"/>
        <w:gridCol w:w="1098"/>
      </w:tblGrid>
      <w:tr>
        <w:trPr>
          <w:cantSplit/>
          <w:tblHeader/>
        </w:trPr>
        <w:tc>
          <w:tcPr>
            <w:tcW w:type="dxa" w:w="3707"/>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Canal</w:t>
            </w:r>
          </w:p>
        </w:tc>
        <w:tc>
          <w:tcPr>
            <w:tcW w:type="dxa" w:w="82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82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82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82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82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10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10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10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10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1007"/>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10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Total</w:t>
            </w:r>
          </w:p>
        </w:tc>
      </w:tr>
      <w:tr>
        <w:trPr>
          <w:cantSplit/>
        </w:trPr>
        <w:tc>
          <w:tcPr>
            <w:tcW w:type="dxa" w:w="37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Exportaciones</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99.859,2</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107.997,7</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116.799,5</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126.318,7</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136.613,7</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147.747,7</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159.789,1</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172.811,9</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186.896,1</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202.128,1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1.456.961,9</w:t>
            </w:r>
          </w:p>
        </w:tc>
      </w:tr>
      <w:tr>
        <w:trPr>
          <w:cantSplit/>
        </w:trPr>
        <w:tc>
          <w:tcPr>
            <w:tcW w:type="dxa" w:w="37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Ventas en plataformas con pagos desde el exterior</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52.158,6</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56.409,5</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61.006,9</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65.979,0</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71.356,3</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77.171,8</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83.461,3</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90.263,4</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97.619,8</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105.575,9</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761.002,4</w:t>
            </w:r>
          </w:p>
        </w:tc>
      </w:tr>
      <w:tr>
        <w:trPr>
          <w:cantSplit/>
        </w:trPr>
        <w:tc>
          <w:tcPr>
            <w:tcW w:type="dxa" w:w="37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Ventas en plaza</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567.057,6</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613.272,8</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663.254,5</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717.309,8</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775.770,5</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838.995,8</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907.374,0</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981.325,0</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1.061.302,9</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1.147.799,1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8.273.462,0</w:t>
            </w:r>
          </w:p>
        </w:tc>
      </w:tr>
      <w:tr>
        <w:trPr>
          <w:cantSplit/>
        </w:trPr>
        <w:tc>
          <w:tcPr>
            <w:tcW w:type="dxa" w:w="3707"/>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TOTAL</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719.075,4</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777.680,0</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841.061,0</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909.607,4</w:t>
            </w:r>
          </w:p>
        </w:tc>
        <w:tc>
          <w:tcPr>
            <w:tcW w:type="dxa" w:w="82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983.740,4</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1.063.915,3</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1.150.624,4</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1.244.400,3</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1.345.818,9</w:t>
            </w:r>
          </w:p>
        </w:tc>
        <w:tc>
          <w:tcPr>
            <w:tcW w:type="dxa" w:w="1007"/>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1.455.503,1</w:t>
            </w:r>
          </w:p>
        </w:tc>
        <w:tc>
          <w:tcPr>
            <w:tcW w:type="dxa" w:w="109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10.491.426,3</w:t>
            </w:r>
          </w:p>
        </w:tc>
      </w:tr>
    </w:tbl>
    <w:p>
      <w:pPr>
        <w:sectPr>
          <w:headerReference w:type="default" r:id="rId38"/>
          <w:footerReference w:type="default" r:id="rId39"/>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El desglose por canal asigna CADA servicio a un único canal, por lo que ninguna operación se cuenta dos veces; el total por canal y años proviene de los mismos ingresos del estado de resultados. </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mercado — lectura de los datos disponibles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El volumen de negocio modelado en el año 1 (719.075,4 miles de CUP) se apoya en la demanda prevista definida en la tabla de servicios. La aplicación no simula una investigación de mercado: los valores de demanda aparente y demanda solvente declarados en el apartado 4.8 están registrados y deben sustentarse en fuentes verificables. Las fuentes consultadas no están documentadas (o están marcadas como ficticias de demostración): el análisis de mercado del plan es un SUPUESTO de demostración. Una propuesta real exige investigaciones de demanda, precios de referencia y competidores con fecha y fuente. Conciliación demanda -&gt; captación -&gt; volumen: la demanda solvente declarada (38.000 personas) con la captación objetivo (12,0 %) implica unas 4.560 personas captadas en el año 1, mientras que el volumen previsto de servicios asciende a 13.344 servicios anuales en todas las líneas: el modelo lo reconcilia mediante la HIPÓTESIS EXPLÍCITA de pacientes recurrentes con ~ 2,9 servicios por paciente captado al año (frecuencia de visita y servicios por paciente a validar con la práctica clínica real; es un supuesto, no un dato). Desglose de ingresos del año 1 por canal (metodología 4.8, sin duplicar operaciones): ventas en plaza: 567.057,6 kCUP (78,9 %), exportaciones: 99.859,2 kCUP (13,9 %), ventas en plataformas con pagos desde el exterior: 52.158,6 kCUP (7,3 %). La estrategia de comercialización contempla ventas al exterior («Atención a pacientes internacionales (turismo de salud): supuesto ilustrativo, crecimiento a partir del tercer año, incl…»): los ingresos en divisas deben identificarse por separado en la estructura de ingresos (exportaciones / plataformas con pagos desde el exterior / venta en plaza) sin duplicar operaciones. Supuestos de mayor impacto en los resultados de mercado: precios unitarios (crecimiento 3,0 % anual), demanda (crecimiento 5,0 % anual) y tope de capacidad del escenario activo. Un error de ±10 % en la demanda del año 1 desplaza los ingresos del año 1 en ±71.907,5 miles de CUP.</w:t>
      </w:r>
    </w:p>
    <w:p>
      <w:pPr>
        <w:pStyle w:val="Heading1"/>
        <w:pageBreakBefore/>
      </w:pPr>
      <w:bookmarkStart w:name="_Toc9" w:id="9"/>
      <w:r>
        <w:rPr>
          <w:rFonts w:ascii="Calibri" w:cs="Calibri" w:eastAsia="Calibri" w:hAnsi="Calibri"/>
          <w:b/>
          <w:bCs/>
          <w:color w:val="1E3A5F"/>
          <w:sz w:val="30"/>
          <w:szCs w:val="30"/>
        </w:rPr>
        <w:t xml:space="preserve">4.9  Fuerza de trabajo</w:t>
      </w:r>
      <w:bookmarkEnd w:id="9"/>
    </w:p>
    <w:p>
      <w:pPr>
        <w:spacing w:after="60" w:before="60" w:line="276"/>
        <w:jc w:val="both"/>
      </w:pPr>
      <w:r>
        <w:rPr>
          <w:rFonts w:ascii="Calibri" w:cs="Calibri" w:eastAsia="Calibri" w:hAnsi="Calibri"/>
          <w:color w:val="334155"/>
          <w:sz w:val="20"/>
          <w:szCs w:val="20"/>
        </w:rPr>
        <w:t xml:space="preserve">Entidad autorizada a contratar la fuerza de trabajo: Entidad empleadora autorizada (supuesto ilustrativo: la parte nacional contratante según la legislación vigente).</w:t>
      </w:r>
    </w:p>
    <w:p>
      <w:pPr>
        <w:pStyle w:val="NotaTabla"/>
        <w:keepNext/>
        <w:keepLines/>
        <w:spacing w:after="80" w:before="200"/>
      </w:pPr>
      <w:r>
        <w:rPr>
          <w:rFonts w:ascii="Calibri" w:cs="Calibri" w:eastAsia="Calibri" w:hAnsi="Calibri"/>
          <w:b/>
          <w:bCs/>
          <w:color w:val="1E3A5F"/>
          <w:sz w:val="18"/>
          <w:szCs w:val="18"/>
        </w:rPr>
        <w:t xml:space="preserve">Tabla 19. Fuerza de trabajo por categoría y etapa de contratación (salarios en CUP conforme a la metodología 4.9)</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3352"/>
        <w:gridCol w:w="2483"/>
        <w:gridCol w:w="709"/>
        <w:gridCol w:w="2483"/>
      </w:tblGrid>
      <w:tr>
        <w:trPr>
          <w:cantSplit/>
          <w:tblHeader/>
        </w:trPr>
        <w:tc>
          <w:tcPr>
            <w:tcW w:type="dxa" w:w="3352"/>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Categoría</w:t>
            </w:r>
          </w:p>
        </w:tc>
        <w:tc>
          <w:tcPr>
            <w:tcW w:type="dxa" w:w="248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Etapa</w:t>
            </w:r>
          </w:p>
        </w:tc>
        <w:tc>
          <w:tcPr>
            <w:tcW w:type="dxa" w:w="70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Cantidad</w:t>
            </w:r>
          </w:p>
        </w:tc>
        <w:tc>
          <w:tcPr>
            <w:tcW w:type="dxa" w:w="248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Salario promedio anual (CUP)</w:t>
            </w:r>
          </w:p>
        </w:tc>
      </w:tr>
      <w:tr>
        <w:trPr>
          <w:cantSplit/>
        </w:trPr>
        <w:tc>
          <w:tcPr>
            <w:tcW w:type="dxa" w:w="335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Cubanos — directivos</w:t>
            </w:r>
          </w:p>
        </w:tc>
        <w:tc>
          <w:tcPr>
            <w:tcW w:type="dxa" w:w="24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70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w:t>
            </w:r>
          </w:p>
        </w:tc>
        <w:tc>
          <w:tcPr>
            <w:tcW w:type="dxa" w:w="248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312.000 CUP</w:t>
            </w:r>
          </w:p>
        </w:tc>
      </w:tr>
      <w:tr>
        <w:trPr>
          <w:cantSplit/>
        </w:trPr>
        <w:tc>
          <w:tcPr>
            <w:tcW w:type="dxa" w:w="335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Cubanos — otros trabajadores</w:t>
            </w:r>
          </w:p>
        </w:tc>
        <w:tc>
          <w:tcPr>
            <w:tcW w:type="dxa" w:w="24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Montaje (año 0, transitorio)</w:t>
            </w:r>
          </w:p>
        </w:tc>
        <w:tc>
          <w:tcPr>
            <w:tcW w:type="dxa" w:w="70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6</w:t>
            </w:r>
          </w:p>
        </w:tc>
        <w:tc>
          <w:tcPr>
            <w:tcW w:type="dxa" w:w="248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96.000 CUP</w:t>
            </w:r>
          </w:p>
        </w:tc>
      </w:tr>
      <w:tr>
        <w:trPr>
          <w:cantSplit/>
        </w:trPr>
        <w:tc>
          <w:tcPr>
            <w:tcW w:type="dxa" w:w="335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Cubanos — otros trabajadores</w:t>
            </w:r>
          </w:p>
        </w:tc>
        <w:tc>
          <w:tcPr>
            <w:tcW w:type="dxa" w:w="24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70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w:t>
            </w:r>
          </w:p>
        </w:tc>
        <w:tc>
          <w:tcPr>
            <w:tcW w:type="dxa" w:w="248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207.652 CUP</w:t>
            </w:r>
          </w:p>
        </w:tc>
      </w:tr>
      <w:tr>
        <w:trPr>
          <w:cantSplit/>
        </w:trPr>
        <w:tc>
          <w:tcPr>
            <w:tcW w:type="dxa" w:w="335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Extranjeros — directivos</w:t>
            </w:r>
          </w:p>
        </w:tc>
        <w:tc>
          <w:tcPr>
            <w:tcW w:type="dxa" w:w="24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w:t>
            </w:r>
          </w:p>
        </w:tc>
        <w:tc>
          <w:tcPr>
            <w:tcW w:type="dxa" w:w="70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w:t>
            </w:r>
          </w:p>
        </w:tc>
        <w:tc>
          <w:tcPr>
            <w:tcW w:type="dxa" w:w="248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9.600.000 CUP</w:t>
            </w:r>
          </w:p>
        </w:tc>
      </w:tr>
      <w:tr>
        <w:trPr>
          <w:cantSplit/>
        </w:trPr>
        <w:tc>
          <w:tcPr>
            <w:tcW w:type="dxa" w:w="3352"/>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TOTAL (operación)</w:t>
            </w:r>
          </w:p>
        </w:tc>
        <w:tc>
          <w:tcPr>
            <w:tcW w:type="dxa" w:w="248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
            </w:r>
          </w:p>
        </w:tc>
        <w:tc>
          <w:tcPr>
            <w:tcW w:type="dxa" w:w="70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27</w:t>
            </w:r>
          </w:p>
        </w:tc>
        <w:tc>
          <w:tcPr>
            <w:tcW w:type="dxa" w:w="2483"/>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567.111 CUP</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la fuerza de trabajo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plantilla de operación prevista es de 27 trabajadores (26 cubanos y 1 extranjero(s)), más 6 trabajador(es) temporal(es) de montaje del año 0. El personal de montaje es transitorio para la ejecución del proyecto y no debe confundirse con la plantilla estable de operación. Distribución por categorías de operación: 3 en cubano — directivo, 23 en cubano — otro, 1 en extranjero — directivo. El salario promedio anual ponderado de la plantilla de operación es 567.111,1 CUP. El costo laboral del año 1 asciende a 15.312,0 miles de CUP (salarios en CUP convertidos con el tipo de cambio parametrizado, multiplicados por el factor de costo laboral de 1,0), equivalente al 2,1 % de los ingresos del año 1. El costo laboral del año 0 (montaje) es 576,0 kCUP y se registra como gasto del período: no forma parte de los gastos previos de la inversión, por lo que no está duplicado. Los pagos por la fuerza de trabajo son uno de los beneficios directos al país: el costo laboral acumulado de la explotación es 192.592,7 miles de CUP. La remuneración de cada categoría y su etapa de contratación figuran en la tabla 4.9; su validación frente a la legislación laboral vigente queda fuera del modelo.</w:t>
      </w:r>
    </w:p>
    <w:p>
      <w:pPr>
        <w:pStyle w:val="Heading1"/>
        <w:pageBreakBefore/>
        <w:sectPr>
          <w:headerReference w:type="default" r:id="rId40"/>
          <w:footerReference w:type="default" r:id="rId41"/>
          <w:pgSz w:w="11906" w:h="16838" w:orient="portrait"/>
          <w:pgMar w:top="1440" w:right="1440" w:bottom="1440" w:left="1440" w:header="708" w:footer="708" w:gutter="0"/>
          <w:pgNumType/>
          <w:docGrid w:linePitch="360"/>
        </w:sectPr>
      </w:pPr>
      <w:bookmarkStart w:name="_Toc10" w:id="10"/>
      <w:r>
        <w:rPr>
          <w:rFonts w:ascii="Calibri" w:cs="Calibri" w:eastAsia="Calibri" w:hAnsi="Calibri"/>
          <w:b/>
          <w:bCs/>
          <w:color w:val="1E3A5F"/>
          <w:sz w:val="30"/>
          <w:szCs w:val="30"/>
        </w:rPr>
        <w:t xml:space="preserve">4.10  Inversiones</w:t>
      </w:r>
      <w:bookmarkEnd w:id="10"/>
    </w:p>
    <w:p>
      <w:pPr>
        <w:pStyle w:val="NotaTabla"/>
        <w:keepNext/>
        <w:keepLines/>
        <w:spacing w:after="80" w:before="200"/>
      </w:pPr>
      <w:r>
        <w:rPr>
          <w:rFonts w:ascii="Calibri" w:cs="Calibri" w:eastAsia="Calibri" w:hAnsi="Calibri"/>
          <w:b/>
          <w:bCs/>
          <w:color w:val="1E3A5F"/>
          <w:sz w:val="18"/>
          <w:szCs w:val="18"/>
        </w:rPr>
        <w:t xml:space="preserve">Tabla 20. Inversiones por concepto (miles, en la moneda de origen indicada y en la moneda de presentación; activos con disponibilidad y residual)</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912"/>
        <w:gridCol w:w="1352"/>
        <w:gridCol w:w="580"/>
        <w:gridCol w:w="580"/>
        <w:gridCol w:w="1256"/>
        <w:gridCol w:w="1546"/>
        <w:gridCol w:w="1063"/>
        <w:gridCol w:w="773"/>
        <w:gridCol w:w="2898"/>
      </w:tblGrid>
      <w:tr>
        <w:trPr>
          <w:cantSplit/>
          <w:tblHeader/>
        </w:trPr>
        <w:tc>
          <w:tcPr>
            <w:tcW w:type="dxa" w:w="3912"/>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Concepto</w:t>
            </w:r>
          </w:p>
        </w:tc>
        <w:tc>
          <w:tcPr>
            <w:tcW w:type="dxa" w:w="13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Categoría</w:t>
            </w:r>
          </w:p>
        </w:tc>
        <w:tc>
          <w:tcPr>
            <w:tcW w:type="dxa" w:w="5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Moneda</w:t>
            </w:r>
          </w:p>
        </w:tc>
        <w:tc>
          <w:tcPr>
            <w:tcW w:type="dxa" w:w="5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Monto</w:t>
            </w:r>
          </w:p>
        </w:tc>
        <w:tc>
          <w:tcPr>
            <w:tcW w:type="dxa" w:w="125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En CUP (kCUP)</w:t>
            </w:r>
          </w:p>
        </w:tc>
        <w:tc>
          <w:tcPr>
            <w:tcW w:type="dxa" w:w="154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Vida útil (años)</w:t>
            </w:r>
          </w:p>
        </w:tc>
        <w:tc>
          <w:tcPr>
            <w:tcW w:type="dxa" w:w="106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Disp. desde</w:t>
            </w:r>
          </w:p>
        </w:tc>
        <w:tc>
          <w:tcPr>
            <w:tcW w:type="dxa" w:w="77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Residual</w:t>
            </w:r>
          </w:p>
        </w:tc>
        <w:tc>
          <w:tcPr>
            <w:tcW w:type="dxa" w:w="289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Observación</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Estudios de factibilidad y gastos de constitución</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previos</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18.575,0</w:t>
            </w:r>
          </w:p>
        </w:tc>
        <w:tc>
          <w:tcPr>
            <w:tcW w:type="dxa" w:w="154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0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 No incluye el personal de montaje (que se paga como gasto del año 0).</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Licencias, registros y autorizaciones sanitarias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previos</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8.916,0</w:t>
            </w:r>
          </w:p>
        </w:tc>
        <w:tc>
          <w:tcPr>
            <w:tcW w:type="dxa" w:w="154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0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de puesta en marcha (trámites, capacitación formal, materiales de prueba)</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previos</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154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06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77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 Sin doble contabilización: la nómina de montaje se registra como costo del año 0.</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clínico (5 sillones e instrumental)</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520,0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386.360,0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Equipos de imagenología dental (2)</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Laboratorio de prótesis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70.585,0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Equipamiento de esterilización y compresores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63.155,0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Mobiliario clínico y de oficina</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60,0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44.580,0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Informática y software de gestión clínica</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26.005,0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Adecuación y montaje de instalaciones</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180,0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133.740,0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 (quedará valor neto en libros al cierre del horizonte; el diagnóstico lo señala).</w:t>
            </w:r>
          </w:p>
        </w:tc>
      </w:tr>
      <w:tr>
        <w:trPr>
          <w:cantSplit/>
        </w:trPr>
        <w:tc>
          <w:tcPr>
            <w:tcW w:type="dxa" w:w="391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Vehículos (ver desglose)</w:t>
            </w:r>
          </w:p>
        </w:tc>
        <w:tc>
          <w:tcPr>
            <w:tcW w:type="dxa" w:w="1352"/>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w:t>
            </w:r>
          </w:p>
        </w:tc>
        <w:tc>
          <w:tcPr>
            <w:tcW w:type="dxa" w:w="5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USD</w:t>
            </w:r>
          </w:p>
        </w:tc>
        <w:tc>
          <w:tcPr>
            <w:tcW w:type="dxa" w:w="580"/>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45,0</w:t>
            </w:r>
          </w:p>
        </w:tc>
        <w:tc>
          <w:tcPr>
            <w:tcW w:type="dxa" w:w="125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33.435,0</w:t>
            </w:r>
          </w:p>
        </w:tc>
        <w:tc>
          <w:tcPr>
            <w:tcW w:type="dxa" w:w="1546"/>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8</w:t>
            </w:r>
          </w:p>
        </w:tc>
        <w:tc>
          <w:tcPr>
            <w:tcW w:type="dxa" w:w="106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w:t>
            </w:r>
          </w:p>
        </w:tc>
        <w:tc>
          <w:tcPr>
            <w:tcW w:type="dxa" w:w="773"/>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0,0 %</w:t>
            </w:r>
          </w:p>
        </w:tc>
        <w:tc>
          <w:tcPr>
            <w:tcW w:type="dxa" w:w="289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Ficticio</w:t>
            </w:r>
          </w:p>
        </w:tc>
      </w:tr>
    </w:tbl>
    <w:p>
      <w:pPr>
        <w:sectPr>
          <w:headerReference w:type="default" r:id="rId42"/>
          <w:footerReference w:type="default" r:id="rId43"/>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No se suman monedas diferentes: los montos en CUP se convierten con el tipo de cambio parametrizado (con fecha y fuente) para los totales. Los activos fijos deprecian desde su año de disponibilidad y solo por su importe depreciable.</w:t>
      </w:r>
    </w:p>
    <w:p>
      <w:pPr>
        <w:pStyle w:val="NotaTabla"/>
        <w:keepNext/>
        <w:keepLines/>
        <w:spacing w:after="80" w:before="200"/>
      </w:pPr>
      <w:r>
        <w:rPr>
          <w:rFonts w:ascii="Calibri" w:cs="Calibri" w:eastAsia="Calibri" w:hAnsi="Calibri"/>
          <w:b/>
          <w:bCs/>
          <w:color w:val="1E3A5F"/>
          <w:sz w:val="18"/>
          <w:szCs w:val="18"/>
        </w:rPr>
        <w:t xml:space="preserve">Tabla 21. Desglose de vehículos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5337"/>
        <w:gridCol w:w="1054"/>
        <w:gridCol w:w="2635"/>
      </w:tblGrid>
      <w:tr>
        <w:trPr>
          <w:cantSplit/>
          <w:tblHeader/>
        </w:trPr>
        <w:tc>
          <w:tcPr>
            <w:tcW w:type="dxa" w:w="533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Tipo</w:t>
            </w:r>
          </w:p>
        </w:tc>
        <w:tc>
          <w:tcPr>
            <w:tcW w:type="dxa" w:w="1054"/>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Cantidad</w:t>
            </w:r>
          </w:p>
        </w:tc>
        <w:tc>
          <w:tcPr>
            <w:tcW w:type="dxa" w:w="263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 (miles de CUP)</w:t>
            </w:r>
          </w:p>
        </w:tc>
      </w:tr>
      <w:tr>
        <w:trPr>
          <w:cantSplit/>
        </w:trPr>
        <w:tc>
          <w:tcPr>
            <w:tcW w:type="dxa" w:w="53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Automóvil ligero (dirección y gestión)</w:t>
            </w:r>
          </w:p>
        </w:tc>
        <w:tc>
          <w:tcPr>
            <w:tcW w:type="dxa" w:w="105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w:t>
            </w:r>
          </w:p>
        </w:tc>
        <w:tc>
          <w:tcPr>
            <w:tcW w:type="dxa" w:w="263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18.575,0</w:t>
            </w:r>
          </w:p>
        </w:tc>
      </w:tr>
      <w:tr>
        <w:trPr>
          <w:cantSplit/>
        </w:trPr>
        <w:tc>
          <w:tcPr>
            <w:tcW w:type="dxa" w:w="533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Microbús (transporte de personal y pacientes)</w:t>
            </w:r>
          </w:p>
        </w:tc>
        <w:tc>
          <w:tcPr>
            <w:tcW w:type="dxa" w:w="1054"/>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w:t>
            </w:r>
          </w:p>
        </w:tc>
        <w:tc>
          <w:tcPr>
            <w:tcW w:type="dxa" w:w="2635"/>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14.860,0</w:t>
            </w:r>
          </w:p>
        </w:tc>
      </w:tr>
    </w:tbl>
    <w:p>
      <w:pPr>
        <w:pStyle w:val="NotaTabla"/>
        <w:keepNext/>
        <w:keepLines/>
        <w:spacing w:after="80" w:before="200"/>
      </w:pPr>
      <w:r>
        <w:rPr>
          <w:rFonts w:ascii="Calibri" w:cs="Calibri" w:eastAsia="Calibri" w:hAnsi="Calibri"/>
          <w:b/>
          <w:bCs/>
          <w:color w:val="1E3A5F"/>
          <w:sz w:val="18"/>
          <w:szCs w:val="18"/>
        </w:rPr>
        <w:t xml:space="preserve">Tabla 22. Cronograma inversionista</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226"/>
        <w:gridCol w:w="835"/>
        <w:gridCol w:w="835"/>
        <w:gridCol w:w="3130"/>
      </w:tblGrid>
      <w:tr>
        <w:trPr>
          <w:cantSplit/>
          <w:tblHeader/>
        </w:trPr>
        <w:tc>
          <w:tcPr>
            <w:tcW w:type="dxa" w:w="4226"/>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Etapa</w:t>
            </w:r>
          </w:p>
        </w:tc>
        <w:tc>
          <w:tcPr>
            <w:tcW w:type="dxa" w:w="83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Inicio</w:t>
            </w:r>
          </w:p>
        </w:tc>
        <w:tc>
          <w:tcPr>
            <w:tcW w:type="dxa" w:w="835"/>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Fin</w:t>
            </w:r>
          </w:p>
        </w:tc>
        <w:tc>
          <w:tcPr>
            <w:tcW w:type="dxa" w:w="313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Observación</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Preinversión y estudios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jul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dic 2026</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Licencias y autorizaciones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2026</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mar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 La operación no puede comenzar sin las licencias resueltas.</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Ejecución (adecuación y montaje)</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ene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sep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Instalación de equipos y pruebas</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ago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Puesta en marcha y apertura</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nov 2027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Operación comercial</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nov 2027</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2037</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Horizonte de 10 años (ficticio)</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Ampliación de capacidad (+2 gabinetes, escenario B)</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jun 2033</w:t>
            </w:r>
          </w:p>
        </w:tc>
        <w:tc>
          <w:tcPr>
            <w:tcW w:type="dxa" w:w="835"/>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oct 2033</w:t>
            </w:r>
          </w:p>
        </w:tc>
        <w:tc>
          <w:tcPr>
            <w:tcW w:type="dxa" w:w="313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Ficticio. Año 7 de la proyección, cuando la utilización de la base alcanza su máximo; su retraso desplaza la capacidad y los ingresos asociados.</w:t>
            </w:r>
          </w:p>
        </w:tc>
      </w:tr>
    </w:tbl>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inversiones y cronograma</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La inversión se agrupa en Gastos previos (45,0), Inversión fija (1.200,0). El activo de mayor importe es «Equipamiento clínico (5 sillones e instrumental)» con 520,0 USD y vida útil de 10 años. La relación entre inversión y capacidad queda explícita en la tabla de recursos operativos: el escenario B incluye ampliaciones con CAPEX propio. El cronograma inversionista define 7 etapas, de «Preinversión y estudios» (2026-07) a «Ampliación de capacidad (+2 gabinetes, escenario B)» (2033-10). El modelo no valida licencias, obras ni pruebas: los requisitos previos sin resolver en el cronograma deben resolverse antes de declarar operativa la instalación. Las ampliaciones del escenario B añaden desembolsos en los años 7: 111.450,0 kCUP. Un retraso en esas inversiones desplazaría la capacidad disponible y con ella los ingresos; el modelo los vincula, así que cualquier cambio de fecha exige reevaluar la proyección.</w:t>
      </w:r>
    </w:p>
    <w:p>
      <w:pPr>
        <w:pStyle w:val="Heading1"/>
        <w:pageBreakBefore/>
        <w:sectPr>
          <w:headerReference w:type="default" r:id="rId44"/>
          <w:footerReference w:type="default" r:id="rId45"/>
          <w:pgSz w:w="11906" w:h="16838" w:orient="portrait"/>
          <w:pgMar w:top="1440" w:right="1440" w:bottom="1440" w:left="1440" w:header="708" w:footer="708" w:gutter="0"/>
          <w:pgNumType/>
          <w:docGrid w:linePitch="360"/>
        </w:sectPr>
      </w:pPr>
      <w:bookmarkStart w:name="_Toc11" w:id="11"/>
      <w:r>
        <w:rPr>
          <w:rFonts w:ascii="Calibri" w:cs="Calibri" w:eastAsia="Calibri" w:hAnsi="Calibri"/>
          <w:b/>
          <w:bCs/>
          <w:color w:val="1E3A5F"/>
          <w:sz w:val="30"/>
          <w:szCs w:val="30"/>
        </w:rPr>
        <w:t xml:space="preserve">4.11  Indicadores de beneficios directos al país</w:t>
      </w:r>
      <w:bookmarkEnd w:id="11"/>
    </w:p>
    <w:p>
      <w:pPr>
        <w:pStyle w:val="NotaTabla"/>
        <w:keepNext/>
        <w:keepLines/>
        <w:spacing w:after="80" w:before="200"/>
      </w:pPr>
      <w:r>
        <w:rPr>
          <w:rFonts w:ascii="Calibri" w:cs="Calibri" w:eastAsia="Calibri" w:hAnsi="Calibri"/>
          <w:b/>
          <w:bCs/>
          <w:color w:val="1E3A5F"/>
          <w:sz w:val="18"/>
          <w:szCs w:val="18"/>
        </w:rPr>
        <w:t xml:space="preserve">Tabla 23. Beneficios directos al país por año (miles de CUP; etiqueta de período por partida)</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833"/>
        <w:gridCol w:w="568"/>
        <w:gridCol w:w="852"/>
        <w:gridCol w:w="852"/>
        <w:gridCol w:w="852"/>
        <w:gridCol w:w="852"/>
        <w:gridCol w:w="852"/>
        <w:gridCol w:w="852"/>
        <w:gridCol w:w="852"/>
        <w:gridCol w:w="852"/>
        <w:gridCol w:w="852"/>
        <w:gridCol w:w="852"/>
        <w:gridCol w:w="1041"/>
      </w:tblGrid>
      <w:tr>
        <w:trPr>
          <w:cantSplit/>
          <w:tblHeader/>
        </w:trPr>
        <w:tc>
          <w:tcPr>
            <w:tcW w:type="dxa" w:w="3833"/>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Partida</w:t>
            </w:r>
          </w:p>
        </w:tc>
        <w:tc>
          <w:tcPr>
            <w:tcW w:type="dxa" w:w="56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0</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2</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3</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4</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5</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6</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7</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8</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9</w:t>
            </w:r>
          </w:p>
        </w:tc>
        <w:tc>
          <w:tcPr>
            <w:tcW w:type="dxa" w:w="852"/>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Año 10</w:t>
            </w:r>
          </w:p>
        </w:tc>
        <w:tc>
          <w:tcPr>
            <w:tcW w:type="dxa" w:w="1041"/>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Total</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100.602,1</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113.723,7</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129.107,4</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145.582,1</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163.230,7</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183.962,7</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200.332,5</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220.816,4</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246.285,7</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270.032,7</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1.773.676,0</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impuestos, tasas y contribuciones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37.150,0</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Dividendos de la parte cubana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98.084,3</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138.896,1</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123.999,4</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122.768,0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129.061,4</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140.407,4</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153.451,4</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906.667,9</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59.440,0</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Pagos por la fuerza de trabajo [incluye año 0]</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15.312,0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16.077,6</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16.881,5</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17.725,6</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18.611,8</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19.542,4</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20.519,5</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21.545,5</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22.622,8</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23.753,9</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193.168,7</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222.900,0</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 [años 1–N]</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r>
      <w:tr>
        <w:trPr>
          <w:cantSplit/>
        </w:trPr>
        <w:tc>
          <w:tcPr>
            <w:tcW w:type="dxa" w:w="383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TOTAL BENEFICIOS DIRECTOS AL PAÍS [incluye año 0]</w:t>
            </w:r>
          </w:p>
        </w:tc>
        <w:tc>
          <w:tcPr>
            <w:tcW w:type="dxa" w:w="568"/>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147.863,1</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161.750,3</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177.937,9</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293.340,9</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352.687,7</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359.453,5</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375.569,0</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403.372,3</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441.264,9</w:t>
            </w:r>
          </w:p>
        </w:tc>
        <w:tc>
          <w:tcPr>
            <w:tcW w:type="dxa" w:w="852"/>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479.187,1</w:t>
            </w:r>
          </w:p>
        </w:tc>
        <w:tc>
          <w:tcPr>
            <w:tcW w:type="dxa" w:w="1041"/>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3.193.002,6</w:t>
            </w:r>
          </w:p>
        </w:tc>
      </w:tr>
    </w:tbl>
    <w:p>
      <w:pPr>
        <w:sectPr>
          <w:headerReference w:type="default" r:id="rId46"/>
          <w:footerReference w:type="default" r:id="rId47"/>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Período de análisis: 10 años de operación, verificando el requisito de contemplar la recuperación más un año. Total acumulado del período completo: 3.193.002,6 miles de CUP (incluye el año 0). Subtotal de la explotación (años 1–10): 3.192.426,6 miles de CUP. Ambos totales provienen del mismo cálculo del motor: resumen, tabla y conclusiones coinciden.</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Análisis de los beneficios directos al país</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Los beneficios directos al país acumulan 3.193.002,6 miles de CUP en el período completo del análisis (años 0 a 10). El subtotal de la explotación (años 1 a 10) es 3.192.426,6 miles de CUP y el año 0 aporta 576,0 (pagos por la fuerza de trabajo de montaje, único concepto activo en esa fase). Ambos totales provienen del mismo cálculo del motor: resumen, tabla y conclusiones coinciden por construcción. Composición del período: impuestos sobre utilidades 1.773.676,0, pagos por la fuerza de trabajo 193.168,7, dividendos de la parte cubana 906.667,9, canon 222.900,0, aranceles 59.440,0 y otros impuestos y tasas 37.150,0 miles de CUP. Los pagos por la fuerza de trabajo referencian el costo laboral del modelo (sin doble contabilización con los salarios ya deducidos en el estado de resultados); los dividendos cubanos provienen del módulo de dividendos (limitado por resultados acumulados, reservas y caja disponible) y no de un porcentaje aplicado en paralelo. El acumulado (3.193.002,6 kCUP) supera la inversión total del proyecto (1.099.640,0 kCUP) dentro del horizonte; aun así, estos son beneficios PROYECTADOS, no ingresos estatales efectivos, y dependen de que la operación ocurra según lo modelado.</w:t>
      </w:r>
    </w:p>
    <w:p>
      <w:pPr>
        <w:pStyle w:val="Heading1"/>
        <w:pageBreakBefore/>
      </w:pPr>
      <w:bookmarkStart w:name="_Toc12" w:id="12"/>
      <w:r>
        <w:rPr>
          <w:rFonts w:ascii="Calibri" w:cs="Calibri" w:eastAsia="Calibri" w:hAnsi="Calibri"/>
          <w:b/>
          <w:bCs/>
          <w:color w:val="1E3A5F"/>
          <w:sz w:val="30"/>
          <w:szCs w:val="30"/>
        </w:rPr>
        <w:t xml:space="preserve">4.12  Conclusiones</w:t>
      </w:r>
      <w:bookmarkEnd w:id="12"/>
    </w:p>
    <w:p>
      <w:pPr>
        <w:spacing w:after="60" w:before="60" w:line="276"/>
        <w:jc w:val="both"/>
      </w:pPr>
      <w:r>
        <w:rPr>
          <w:rFonts w:ascii="Calibri" w:cs="Calibri" w:eastAsia="Calibri" w:hAnsi="Calibri"/>
          <w:color w:val="334155"/>
          <w:sz w:val="20"/>
          <w:szCs w:val="20"/>
        </w:rPr>
        <w:t xml:space="preserve">CONCLUSIONES (marco de lectura del ejemplo ilustrativo): la síntesis cuantitativa de este apartado se GENERA a partir del modelo de cálculo activo y acompaña a este texto en la vista documental y en el PDF; no está escrita de antemano y se recalcula con cada cambio de datos, parámetros o fórmulas. En consecuencia, el lector debe interpretar la inversión, los ingresos, la utilidad, la recuperación de la inversión total y del capital aportado, los dividendos y los beneficios directos al país a partir de la sección «Conclusiones (análisis dinámico)», no de este párrafo. ADVERTENCIA: este ejemplo se basa íntegramente en datos ficticios de demostración y no constituye una evaluación de viabilidad real. Una propuesta seria exige validar la demanda solvente, los precios, los costos, la tasa tributaria aplicable, las licencias sanitarias y los requisitos legales y de inversión, y debe reconocer expresamente cualquier limitación pendiente que el diagnóstico del modelo señale.</w:t>
      </w:r>
    </w:p>
    <w:p>
      <w:pPr>
        <w:pStyle w:val="AnalisisPlanex"/>
        <w:pBdr>
          <w:left w:val="single" w:color="B45309" w:sz="18" w:space="4"/>
        </w:pBdr>
        <w:shd w:fill="FFF7E6" w:color="auto" w:val="clear"/>
        <w:spacing w:after="20" w:before="160"/>
      </w:pPr>
      <w:r>
        <w:rPr>
          <w:rFonts w:ascii="Calibri" w:cs="Calibri" w:eastAsia="Calibri" w:hAnsi="Calibri"/>
          <w:b/>
          <w:bCs/>
          <w:color w:val="B45309"/>
          <w:sz w:val="18"/>
          <w:szCs w:val="18"/>
        </w:rPr>
        <w:t xml:space="preserve">Conclusiones (análisis dinámico del modelo)</w:t>
      </w:r>
      <w:r>
        <w:rPr>
          <w:rFonts w:ascii="Calibri" w:cs="Calibri" w:eastAsia="Calibri" w:hAnsi="Calibri"/>
          <w:color w:val="8C6428"/>
          <w:sz w:val="14"/>
          <w:szCs w:val="14"/>
        </w:rPr>
        <w:t xml:space="preserve">  ·  ANÁLISIS GENERADO POR EL MODELO</w:t>
      </w:r>
    </w:p>
    <w:p>
      <w:pPr>
        <w:pStyle w:val="AnalisisCuerpo"/>
        <w:pBdr>
          <w:left w:val="single" w:color="B45309" w:sz="18" w:space="4"/>
          <w:bottom w:val="single" w:color="FFF7E6" w:sz="2" w:space="1"/>
        </w:pBdr>
        <w:shd w:fill="FFF7E6" w:color="auto" w:val="clear"/>
        <w:spacing w:after="160" w:before="0"/>
        <w:jc w:val="both"/>
      </w:pPr>
      <w:r>
        <w:rPr>
          <w:rFonts w:ascii="Calibri" w:cs="Calibri" w:eastAsia="Calibri" w:hAnsi="Calibri"/>
          <w:color w:val="334155"/>
          <w:sz w:val="18"/>
          <w:szCs w:val="18"/>
        </w:rPr>
        <w:t xml:space="preserve">Sobre los resultados económicos preliminares del modelo: inversión total de 1.099.640,0 miles de CUP, ingresos del año 1 de 719.075,4 kCUP, utilidad después de impuestos de 186.832,4 kCUP y beneficios directos al país acumulados de 3.193.002,6 kCUP en 10 años. El flujo de caja del proyecto recupera la inversión total en 3,5 años (recuperación simple, sin descontar), y el flujo de los socios recupera el capital aportado en 3,2 años. Estos períodos derivan de los flujos vigentes y pueden cambiar al cambiar cualquier supuesto. Con los supuestos vigentes, el modelo no presenta errores de cálculo ni insuficiencias operativas conocidas; las advertencias restantes figuran en el panel de diagnóstico. Estas conclusiones se generan desde el estado actual del modelo de cálculo. Persisten 1 advertencia(s) de consistencia; además, la tasa de impuesto es un supuesto de demostración que CONDICIONA estas conclusiones: debe validarse normativamente antes de cualquier uso oficial. En todo caso, la viabilidad jurídica, sanitaria y de mercado de la propuesta queda sujeta a validaciones externas que este documento no sustituye.</w:t>
      </w:r>
    </w:p>
    <w:p>
      <w:pPr>
        <w:pStyle w:val="Heading1"/>
        <w:pageBreakBefore/>
      </w:pPr>
      <w:bookmarkStart w:name="_Toc13" w:id="13"/>
      <w:r>
        <w:rPr>
          <w:rFonts w:ascii="Calibri" w:cs="Calibri" w:eastAsia="Calibri" w:hAnsi="Calibri"/>
          <w:b/>
          <w:bCs/>
          <w:color w:val="1E3A5F"/>
          <w:sz w:val="30"/>
          <w:szCs w:val="30"/>
        </w:rPr>
        <w:t xml:space="preserve">Diagnóstico y controles de consistencia</w:t>
      </w:r>
      <w:bookmarkEnd w:id="13"/>
    </w:p>
    <w:p>
      <w:pPr>
        <w:spacing w:after="60" w:before="60" w:line="276"/>
        <w:jc w:val="both"/>
      </w:pPr>
      <w:r>
        <w:rPr>
          <w:rFonts w:ascii="Calibri" w:cs="Calibri" w:eastAsia="Calibri" w:hAnsi="Calibri"/>
          <w:color w:val="334155"/>
          <w:sz w:val="20"/>
          <w:szCs w:val="20"/>
        </w:rPr>
        <w:t xml:space="preserve">ESTADO GENERAL DEL PLAN: Borrador de demostración (datos ficticios). Plantilla de demostración con datos ficticios: sus cifras NO son datos reales y el informe no está en condiciones de presentarse a un cliente o inversionista.</w:t>
      </w:r>
    </w:p>
    <w:p>
      <w:pPr>
        <w:spacing w:after="60" w:before="60" w:line="276"/>
        <w:jc w:val="both"/>
      </w:pPr>
      <w:r>
        <w:rPr>
          <w:rFonts w:ascii="Calibri" w:cs="Calibri" w:eastAsia="Calibri" w:hAnsi="Calibri"/>
          <w:color w:val="334155"/>
          <w:sz w:val="20"/>
          <w:szCs w:val="20"/>
        </w:rPr>
        <w:t xml:space="preserve">Resumen de control — conteo: 0 error(es) bloqueante(s), 1 advertencia(s) importante(s), 4 información pendiente, 8 observación(es) de calidad. Existen hallazgos que condicionan las conclusiones del plan. Las seis dimensiones se evalúan DE FORMA INDEPENDIENTE: un plan no se clasifica como globalmente «correcto» porque las sumas cuadren, y la completitud formal no se usa como prueba de calidad; la validación legal, tributaria, sanitaria y de mercado queda sujeta a verificación externa que esta aplicación no realiza.</w:t>
      </w:r>
    </w:p>
    <w:p>
      <w:pPr>
        <w:pStyle w:val="NotaTabla"/>
        <w:keepNext/>
        <w:keepLines/>
        <w:spacing w:after="80" w:before="200"/>
      </w:pPr>
      <w:r>
        <w:rPr>
          <w:rFonts w:ascii="Calibri" w:cs="Calibri" w:eastAsia="Calibri" w:hAnsi="Calibri"/>
          <w:b/>
          <w:bCs/>
          <w:color w:val="1E3A5F"/>
          <w:sz w:val="18"/>
          <w:szCs w:val="18"/>
        </w:rPr>
        <w:t xml:space="preserve">Tabla 24. Resumen de control por dimensiones independientes (DOC-002 §5)</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541"/>
        <w:gridCol w:w="1121"/>
        <w:gridCol w:w="3364"/>
      </w:tblGrid>
      <w:tr>
        <w:trPr>
          <w:cantSplit/>
          <w:tblHeader/>
        </w:trPr>
        <w:tc>
          <w:tcPr>
            <w:tcW w:type="dxa" w:w="4541"/>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Dimensión</w:t>
            </w:r>
          </w:p>
        </w:tc>
        <w:tc>
          <w:tcPr>
            <w:tcW w:type="dxa" w:w="1121"/>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Estado</w:t>
            </w:r>
          </w:p>
        </w:tc>
        <w:tc>
          <w:tcPr>
            <w:tcW w:type="dxa" w:w="3364"/>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Detalle</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Integridad aritmética</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Correcto</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Las reglas evalúan sin errores, la deuda reconcilia saldo a saldo, la depreciación no excede las bases y FCFF/FCFE cumplen la identidad algebraica.</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Coherencia financiera y contable</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1.099.640,0 kCUP vs financiación comprometida 1.099.640,0 kCUP (conciliación total) y fuentes con desembolso en el año 0 1.099.640,0 kCUP (conciliación temporal, incluida en el informe); recuperación simple del proyecto 3,5 años; del capital aportado 3,2 años; capacidad verificada contra los recursos operativos.</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Evidencia y trazabilidad de los supuestos</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4 parámetro(s) de demostración sin validación normativa; 5 aportación(es) sin referencia documental IDENTIFICABLE (vacía o hipótesis); 0 con referencia declarada. Las referencias hipotéticas NO cuentan como fuentes validadas.</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Cumplimiento de la estructura metodológica</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Deficiente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Apartados 4.1–4.12 con 4 elemento(s) pendiente(s). Pendientes: 4.1, aportaciones. La completitud formal no equivale a validación de contenido.</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Estado de validación normativa y comercial</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Aceptable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La aplicación NO valida el cumplimiento legal, tributario, sanitario ni de mercado: la estructura documental no equivale a validación normativa. Los requisitos regulatorios declarados están LISTADOS, no VERIFICADOS: cada autorización exige evidencia externa comprobable (número, emisor, fecha). La demanda solvente y los precios requieren fuentes con fecha.</w:t>
            </w:r>
          </w:p>
        </w:tc>
      </w:tr>
      <w:tr>
        <w:trPr>
          <w:cantSplit/>
        </w:trPr>
        <w:tc>
          <w:tcPr>
            <w:tcW w:type="dxa" w:w="454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Calidad documental</w:t>
            </w:r>
          </w:p>
        </w:tc>
        <w:tc>
          <w:tcPr>
            <w:tcW w:type="dxa" w:w="1121"/>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Aceptable</w:t>
            </w:r>
          </w:p>
        </w:tc>
        <w:tc>
          <w:tcPr>
            <w:tcW w:type="dxa" w:w="3364"/>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Observaciones de calidad: 6; 0 análisis editados por revisar frente al modelo; campos obligatorios pendientes en 4.1: 3.</w:t>
            </w:r>
          </w:p>
        </w:tc>
      </w:tr>
    </w:tbl>
    <w:p>
      <w:pPr>
        <w:pStyle w:val="NotaTabla"/>
        <w:keepNext/>
        <w:keepLines/>
        <w:spacing w:after="80" w:before="200"/>
      </w:pPr>
      <w:r>
        <w:rPr>
          <w:rFonts w:ascii="Calibri" w:cs="Calibri" w:eastAsia="Calibri" w:hAnsi="Calibri"/>
          <w:b/>
          <w:bCs/>
          <w:color w:val="1E3A5F"/>
          <w:sz w:val="18"/>
          <w:szCs w:val="18"/>
        </w:rPr>
        <w:t xml:space="preserve">Tabla 25. Conciliación del desembolso inicial (miles de CUP; años 0 y 1 con el mismo significado en aportaciones, fuentes y flujos)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6447"/>
        <w:gridCol w:w="2579"/>
      </w:tblGrid>
      <w:tr>
        <w:trPr>
          <w:cantSplit/>
          <w:tblHeader/>
        </w:trPr>
        <w:tc>
          <w:tcPr>
            <w:tcW w:type="dxa" w:w="6447"/>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Concepto</w:t>
            </w:r>
          </w:p>
        </w:tc>
        <w:tc>
          <w:tcPr>
            <w:tcW w:type="dxa" w:w="2579"/>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Monto (kCUP)</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Inversión total (incluye el capital de trabajo: no se duplica)</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1.099.640,0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Nómina de montaje del año 0 (regla «costo_laboral_k»: gasto del período, no capitalizable)</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576,0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Interés PAGADO del año 0 según el calendario de deuda (lo capitalizado no es salida de caja)</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Impuesto sobre utilidades DEVENGADO del año 0 (regla contable; supuesto del modelo simplificado: pagado en el mismo período — no es un pago verificado)</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Menos: ingresos explícitos del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Salidas netas de caja del año 0 explícitamente identificadas</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576,0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Necesidad total de arranque (inversión total + salidas netas del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1.100.216,0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Fuentes con desembolso EFECTIVO en el año 0 (aportaciones del año 0 + otras fuentes + principal del crédito desembolsado en el año 0)</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1.099.640,0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BRECHA TEMPORAL del arranque (fuentes del año 0 - necesidad total)</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-576,0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Referencia: financiación COMPROMETIDA para todo el proyecto (conciliación total)</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1.099.640,0</w:t>
            </w:r>
          </w:p>
        </w:tc>
      </w:tr>
      <w:tr>
        <w:trPr>
          <w:cantSplit/>
        </w:trPr>
        <w:tc>
          <w:tcPr>
            <w:tcW w:type="dxa" w:w="644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Referencia: brecha según el total nominal comprometido</w:t>
            </w:r>
          </w:p>
        </w:tc>
        <w:tc>
          <w:tcPr>
            <w:tcW w:type="dxa" w:w="2579"/>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-576,0</w:t>
            </w:r>
          </w:p>
        </w:tc>
      </w:tr>
    </w:tbl>
    <w:p>
      <w:pPr>
        <w:pStyle w:val="NotaTexto"/>
        <w:spacing w:after="60" w:before="60" w:line="276"/>
        <w:jc w:val="both"/>
        <w:sectPr>
          <w:headerReference w:type="default" r:id="rId48"/>
          <w:footerReference w:type="default" r:id="rId49"/>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La brecha del arranque se cuantifica desde partidas de salida de caja del año 0 explícitamente identificadas e inventariadas como no capitalizables y no incluidas en la inversión total; NO se deduce del resultado contable después de impuestos del año 0, que puede contener pérdidas no monetarias (depreciación), intereses devengados capitalizados (no pagados) u otros efectos que no representan caja. La brecha TEMPORAL se mide contra las fuentes con desembolso efectivo en el año 0: unas aportaciones o un crédito que entran en años posteriores no pueden financiar las necesidades del arranque, aunque la conciliación total del horizonte cuadre.</w:t>
      </w:r>
    </w:p>
    <w:p>
      <w:pPr>
        <w:pStyle w:val="NotaTabla"/>
        <w:keepNext/>
        <w:keepLines/>
        <w:spacing w:after="80" w:before="200"/>
      </w:pPr>
      <w:r>
        <w:rPr>
          <w:rFonts w:ascii="Calibri" w:cs="Calibri" w:eastAsia="Calibri" w:hAnsi="Calibri"/>
          <w:b/>
          <w:bCs/>
          <w:color w:val="1E3A5F"/>
          <w:sz w:val="18"/>
          <w:szCs w:val="18"/>
        </w:rPr>
        <w:t xml:space="preserve">Tabla 26. Inventario de partidas de caja del año 0 (miles de CUP; período = año 0 de montaje; mecanismo trazable con barrido de reglas de gasto)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995"/>
        <w:gridCol w:w="1184"/>
        <w:gridCol w:w="2466"/>
        <w:gridCol w:w="2959"/>
        <w:gridCol w:w="3354"/>
      </w:tblGrid>
      <w:tr>
        <w:trPr>
          <w:cantSplit/>
          <w:tblHeader/>
        </w:trPr>
        <w:tc>
          <w:tcPr>
            <w:tcW w:type="dxa" w:w="399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Partida</w:t>
            </w:r>
          </w:p>
        </w:tc>
        <w:tc>
          <w:tcPr>
            <w:tcW w:type="dxa" w:w="118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Monto (kCUP)</w:t>
            </w:r>
          </w:p>
        </w:tc>
        <w:tc>
          <w:tcPr>
            <w:tcW w:type="dxa" w:w="246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¿Computa en la necesidad?</w:t>
            </w:r>
          </w:p>
        </w:tc>
        <w:tc>
          <w:tcPr>
            <w:tcW w:type="dxa" w:w="2959"/>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Estado de pago</w:t>
            </w:r>
          </w:p>
        </w:tc>
        <w:tc>
          <w:tcPr>
            <w:tcW w:type="dxa" w:w="3354"/>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Tratamiento dentro de la inversión</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Nómina de montaje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576,0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SÍ</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pagadera en el año 0 (nómina de la fase de montaje)</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 del período NO capitalizable y NO incluido en la inversión total: financia con caja del arranque. No es gasto previo capitalizable ni duplica el capital de trabajo.</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Interés PAGADO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pagado en el año 0 según el calendario de deuda</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 corriente de la deuda: salida de caja del arranque, no capitalizable. Solo computa si el calendario lo sitúa en el año 0.</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DEVENGADO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DEVENGADO según la regla contable; SUPUESTO del modelo simplificado: pagado en el mismo período (NO es un pago verificado: no existe calendario de pagos tributario)</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Valor de una regla contable, no un pago observado. Con pérdidas de montaje la regla plana devuelve cero. Documentar el supuesto y su diferencia frente a un calendario tributario real.</w:t>
            </w:r>
          </w:p>
        </w:tc>
      </w:tr>
      <w:tr>
        <w:trPr>
          <w:cantSplit/>
        </w:trPr>
        <w:tc>
          <w:tcPr>
            <w:tcW w:type="dxa" w:w="39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Ingresos explícitos del año 0</w:t>
            </w:r>
          </w:p>
        </w:tc>
        <w:tc>
          <w:tcPr>
            <w:tcW w:type="dxa" w:w="1184"/>
            <w:tcMar>
              <w:top w:type="dxa" w:w="40"/>
              <w:left w:type="dxa" w:w="80"/>
              <w:bottom w:type="dxa" w:w="40"/>
              <w:right w:type="dxa" w:w="80"/>
            </w:tcMar>
          </w:tcPr>
          <w:p>
            <w:pPr>
              <w:jc w:val="right"/>
            </w:pPr>
            <w:r>
              <w:rPr>
                <w:rFonts w:ascii="Calibri" w:cs="Calibri" w:eastAsia="Calibri" w:hAnsi="Calibri"/>
                <w:b w:val="false"/>
                <w:bCs w:val="false"/>
                <w:color w:val="334155"/>
                <w:sz w:val="13"/>
                <w:szCs w:val="13"/>
              </w:rPr>
              <w:t xml:space="preserve">0,0</w:t>
            </w:r>
          </w:p>
        </w:tc>
        <w:tc>
          <w:tcPr>
            <w:tcW w:type="dxa" w:w="246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c>
          <w:tcPr>
            <w:tcW w:type="dxa" w:w="2959"/>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cobro supuesto en el mismo período</w:t>
            </w:r>
          </w:p>
        </w:tc>
        <w:tc>
          <w:tcPr>
            <w:tcW w:type="dxa" w:w="3354"/>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Reduce la necesidad de caja del arranque. No incluye ingresos de servicios de operación (año 0 = montaje sin servicios).</w:t>
            </w:r>
          </w:p>
        </w:tc>
      </w:tr>
    </w:tbl>
    <w:p>
      <w:pPr>
        <w:pStyle w:val="NotaTabla"/>
        <w:keepNext/>
        <w:keepLines/>
        <w:spacing w:after="80" w:before="200"/>
      </w:pPr>
      <w:r>
        <w:rPr>
          <w:rFonts w:ascii="Calibri" w:cs="Calibri" w:eastAsia="Calibri" w:hAnsi="Calibri"/>
          <w:b/>
          <w:bCs/>
          <w:color w:val="1E3A5F"/>
          <w:sz w:val="18"/>
          <w:szCs w:val="18"/>
        </w:rPr>
        <w:t xml:space="preserve">Tabla 27. Hallazgos del diagnóstico</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745"/>
        <w:gridCol w:w="3783"/>
        <w:gridCol w:w="3783"/>
        <w:gridCol w:w="2648"/>
      </w:tblGrid>
      <w:tr>
        <w:trPr>
          <w:cantSplit/>
          <w:tblHeader/>
        </w:trPr>
        <w:tc>
          <w:tcPr>
            <w:tcW w:type="dxa" w:w="374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Nivel</w:t>
            </w:r>
          </w:p>
        </w:tc>
        <w:tc>
          <w:tcPr>
            <w:tcW w:type="dxa" w:w="378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Código</w:t>
            </w:r>
          </w:p>
        </w:tc>
        <w:tc>
          <w:tcPr>
            <w:tcW w:type="dxa" w:w="378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Hallazgo</w:t>
            </w:r>
          </w:p>
        </w:tc>
        <w:tc>
          <w:tcPr>
            <w:tcW w:type="dxa" w:w="264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¿Afecta conclusiones?</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advertencia_importante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FINANCIACION_ANO0</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Los gastos de la fase de montaje del año 0 — salidas de caja explícitas no capitalizables y NO incluidas en la inversión total (nómina de montaje 0,8: total 0,8 kUSD) — quedan SIN cobertura temporal: la necesidad total del arranque (inversión 1.480,0 + salidas netas del año 0 = 1.480,8 kUSD) excede las fuentes con desembolso efectivo en el año 0 (1.480,0 kUSD) en 0,8 kUSD. La financiación comprometida total (1.480,0 kUSD) tampoco cubre la necesidad total (1.480,8 kUSD): brecha nominal de 0,8 kUSD. Financie esa brecha (mayor capital de trabajo, aporte anticipado o crédito con desembolso en el año 0) o declárela expresamente como supuesto pendiente. El gasto NO se deduce del resultado contable después de impuestos del año 0.</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SÍ</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DEP_FUERA_HORIZONTE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El activo «Adecuación y montaje de instalaciones» (vida útil 20 años, disponible en el año 1) no termina de depreciarse dentro del horizonte de 10 años: quedará un valor neto en libros al final del análisis.</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DEP_FUERA_HORIZONTE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El activo «Ampliación de Gabinetes de atención (sillones) (+2 uds., año 7)» (vida útil 10 años, disponible en el año 7) no termina de depreciarse dentro del horizonte de 10 años: quedará un valor neto en libros al final del análisis.</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DIVIDENDOS_RESTRINGIDOS</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En el año 1 los dividendos propuestos (112,8 kUSD) superan la caja disponible (-812,2 kUSD): solo se consideran pagables 0,0 kUSD. La política de distribución está limitada por la liquidez modelada.</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ESCENARIO_B</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Escenario activo: B (ampliación de capacidad). Las ampliaciones programadas (1) generan CAPEX y nueva capacidad en sus años de ejecución; sus cifras provienen de la tabla de recursos operativos.</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DATOS_FICTICIOS</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TASA_DEMO</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 tasa de impuesto sobre utilidades (35,0 %) es un supuesto de demostración editable. No constituye la tasa legal aplicable: documente la fuente normativa antes de un uso oficial.</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SÍ</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SUPUESTO_IMPUESTO_MISMO_PERIODO</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El impuesto sobre utilidades del modelo es un DEVENGADO contable (regla editable): el modelo simplificado SUPONE que se paga dentro del mismo período, sin calendario tributario. Ese supuesto se distingue expresamente de un pago verificado: con un calendario de pagos real (fracciones, diferimientos, pago al año siguiente) la tesorería proyectada y la necesidad de caja del arranque cambiarían.</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observacion_calidad</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ESCUDO_FISCAL_CLASE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Escudo fiscal — clasificación de la regla de impuestos activa: base directa. La regla de impuestos grava directamente la utilidad antes de intereses (referencia directa a «utilidad_antes_impuestos_k»): el escudo se calcula reevaluando la MISMA regla con la base hipotética sin intereses, respetando topes, mínimos y condiciones de su fórmula.</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Falta identificar al elaborador del plan (4.1): el campo está vacío o marcado como pendiente.</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Falta la firma o identificación del elaborador (4.1).</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La declaración de responsabilidad no ha sido aceptada (4.1): el documento NO está en condiciones de presentarse como definitivo.</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r>
        <w:trPr>
          <w:cantSplit/>
        </w:trPr>
        <w:tc>
          <w:tcPr>
            <w:tcW w:type="dxa" w:w="374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informacion_pendiente</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REFERENCIA_HIPOTESIS</w:t>
            </w:r>
          </w:p>
        </w:tc>
        <w:tc>
          <w:tcPr>
            <w:tcW w:type="dxa" w:w="378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5 aportación(es) declaran una «referencia documental» que en realidad es una HIPÓTESIS de demostración (figuran como ficticia, ilustrativa, proforma o pendiente). Una referencia documental exigible debe identificar el documento, su emisor y su fecha, y adjuntar el soporte cuando corresponda.</w:t>
            </w:r>
          </w:p>
        </w:tc>
        <w:tc>
          <w:tcPr>
            <w:tcW w:type="dxa" w:w="264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w:t>
            </w:r>
          </w:p>
        </w:tc>
      </w:tr>
    </w:tbl>
    <w:p>
      <w:pPr>
        <w:sectPr>
          <w:headerReference w:type="default" r:id="rId50"/>
          <w:footerReference w:type="default" r:id="rId51"/>
          <w:pgSz w:w="11906" w:h="16838" w:orient="landscape"/>
          <w:pgMar w:top="1440" w:right="1440" w:bottom="1440" w:left="1440" w:header="708" w:footer="708" w:gutter="0"/>
          <w:pgNumType/>
          <w:docGrid w:linePitch="360"/>
        </w:sectPr>
      </w:pPr>
    </w:p>
    <w:p>
      <w:pPr>
        <w:pStyle w:val="NotaTexto"/>
        <w:spacing w:after="60" w:before="60" w:line="276"/>
        <w:jc w:val="both"/>
      </w:pPr>
      <w:r>
        <w:rPr>
          <w:rFonts w:ascii="Calibri" w:cs="Calibri" w:eastAsia="Calibri" w:hAnsi="Calibri"/>
          <w:color w:val="334155"/>
          <w:sz w:val="16"/>
          <w:szCs w:val="16"/>
        </w:rPr>
        <w:t xml:space="preserve">Los importes de los hallazgos derivados de las reglas del motor se expresan en kUSD (unidad nativa del motor); los del propio diagnóstico, en miles de CUP.</w:t>
      </w:r>
    </w:p>
    <w:p>
      <w:pPr>
        <w:pStyle w:val="Heading1"/>
        <w:pageBreakBefore/>
      </w:pPr>
      <w:bookmarkStart w:name="_Toc14" w:id="14"/>
      <w:r>
        <w:rPr>
          <w:rFonts w:ascii="Calibri" w:cs="Calibri" w:eastAsia="Calibri" w:hAnsi="Calibri"/>
          <w:b/>
          <w:bCs/>
          <w:color w:val="1E3A5F"/>
          <w:sz w:val="30"/>
          <w:szCs w:val="30"/>
        </w:rPr>
        <w:t xml:space="preserve">Notas, parámetros y supuestos del modelo</w:t>
      </w:r>
      <w:bookmarkEnd w:id="14"/>
    </w:p>
    <w:p>
      <w:pPr>
        <w:spacing w:after="60" w:before="60" w:line="276"/>
        <w:jc w:val="both"/>
      </w:pPr>
      <w:r>
        <w:rPr>
          <w:rFonts w:ascii="Calibri" w:cs="Calibri" w:eastAsia="Calibri" w:hAnsi="Calibri"/>
          <w:color w:val="334155"/>
          <w:sz w:val="20"/>
          <w:szCs w:val="20"/>
        </w:rPr>
        <w:t xml:space="preserve">Estilo editorial: PLANEX adopta un estilo de informe profesional basado en APA 7 para la jerarquía de títulos, numeración y notas de tablas y figuras, citas y referencias. El CUERPO NARRATIVO se presenta con texto justificado como convención editorial propia de PLANEX: el justificado NO se presenta como requisito de APA 7, que alinea el texto a la izquierda. Títulos, encabezados de tabla, etiquetas breves y celdas numéricas no se justifican: los conceptos se alinean a la izquierda y las cifras a la derecha, con unidades explícitas.</w:t>
      </w:r>
    </w:p>
    <w:p>
      <w:pPr>
        <w:pStyle w:val="NotaTabla"/>
        <w:keepNext/>
        <w:keepLines/>
        <w:spacing w:after="80" w:before="200"/>
      </w:pPr>
      <w:r>
        <w:rPr>
          <w:rFonts w:ascii="Calibri" w:cs="Calibri" w:eastAsia="Calibri" w:hAnsi="Calibri"/>
          <w:b/>
          <w:bCs/>
          <w:color w:val="1E3A5F"/>
          <w:sz w:val="18"/>
          <w:szCs w:val="18"/>
        </w:rPr>
        <w:t xml:space="preserve">Tabla 28. Parámetros de cálculo activos (Nivel A — editables en la aplicación)</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4226"/>
        <w:gridCol w:w="1357"/>
        <w:gridCol w:w="2400"/>
        <w:gridCol w:w="1043"/>
      </w:tblGrid>
      <w:tr>
        <w:trPr>
          <w:cantSplit/>
          <w:tblHeader/>
        </w:trPr>
        <w:tc>
          <w:tcPr>
            <w:tcW w:type="dxa" w:w="4226"/>
            <w:shd w:fill="1E3A5F" w:color="auto" w:val="clear"/>
            <w:tcMar>
              <w:top w:type="dxa" w:w="40"/>
              <w:left w:type="dxa" w:w="80"/>
              <w:bottom w:type="dxa" w:w="40"/>
              <w:right w:type="dxa" w:w="80"/>
            </w:tcMar>
          </w:tcPr>
          <w:p>
            <w:pPr>
              <w:jc w:val="left"/>
            </w:pPr>
            <w:r>
              <w:rPr>
                <w:rFonts w:ascii="Calibri" w:cs="Calibri" w:eastAsia="Calibri" w:hAnsi="Calibri"/>
                <w:b/>
                <w:bCs/>
                <w:color w:val="FFFFFF"/>
                <w:sz w:val="15"/>
                <w:szCs w:val="15"/>
              </w:rPr>
              <w:t xml:space="preserve">Parámetro</w:t>
            </w:r>
          </w:p>
        </w:tc>
        <w:tc>
          <w:tcPr>
            <w:tcW w:type="dxa" w:w="1357"/>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Valor</w:t>
            </w:r>
          </w:p>
        </w:tc>
        <w:tc>
          <w:tcPr>
            <w:tcW w:type="dxa" w:w="2400"/>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Naturaleza</w:t>
            </w:r>
          </w:p>
        </w:tc>
        <w:tc>
          <w:tcPr>
            <w:tcW w:type="dxa" w:w="1043"/>
            <w:shd w:fill="1E3A5F" w:color="auto" w:val="clear"/>
            <w:tcMar>
              <w:top w:type="dxa" w:w="40"/>
              <w:left w:type="dxa" w:w="80"/>
              <w:bottom w:type="dxa" w:w="40"/>
              <w:right w:type="dxa" w:w="80"/>
            </w:tcMar>
          </w:tcPr>
          <w:p>
            <w:pPr>
              <w:jc w:val="center"/>
            </w:pPr>
            <w:r>
              <w:rPr>
                <w:rFonts w:ascii="Calibri" w:cs="Calibri" w:eastAsia="Calibri" w:hAnsi="Calibri"/>
                <w:b/>
                <w:bCs/>
                <w:color w:val="FFFFFF"/>
                <w:sz w:val="15"/>
                <w:szCs w:val="15"/>
              </w:rPr>
              <w:t xml:space="preserve">Fecha ref.</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Tasa del impuesto sobre utilidades (demostrativa)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Tipo de cambio (CUP por USD)</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743,0 CUP/USD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2026-10-25</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Tasa de interés anual del crédito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8,0 %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Plazo de amortización del crédito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años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Período de gracia del crédito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 años</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Inflación prevista (costos variables unitarios de servicios)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Inflación de costos fijos (contratos nominales)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Crecimiento anual de precios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Variación anual del volumen (demanda)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Crecimiento anual de salarios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Gastos administrativos (% de los ingresos)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Mantenimiento (% de la inversión fija)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Factor de costo laboral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1,0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Participación de la parte cubana en el capital</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40,0 %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Reparto de dividendos (% de la utilidad distribuible)</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50,0 %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Reserva sobre la base distribuible acumulada</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SUPUESTO DEMOSTRATIVO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Recuperación del capital de trabajo al cierre</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Servicios públicos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40,0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Canon anual</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30,0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gastos fijos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10,0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Monto del crédito externo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300,0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Otras fuentes de financiamiento</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0,0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Capital de trabajo inicial</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235,0 kUSD</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Aranceles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8,0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impuestos y tasas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5,0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Royalties anuales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Otros ingresos anuales al país</w:t>
            </w:r>
          </w:p>
        </w:tc>
        <w:tc>
          <w:tcPr>
            <w:tcW w:type="dxa" w:w="1357"/>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0,0 kUSD/año</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Umbral de utilización de recursos (análisis)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90,0 %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r>
        <w:trPr>
          <w:cantSplit/>
        </w:trPr>
        <w:tc>
          <w:tcPr>
            <w:tcW w:type="dxa" w:w="4226"/>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Umbral de margen de contribución mínimo (análisis)</w:t>
            </w:r>
          </w:p>
        </w:tc>
        <w:tc>
          <w:tcPr>
            <w:tcW w:type="dxa" w:w="1357"/>
            <w:tcMar>
              <w:top w:type="dxa" w:w="40"/>
              <w:left w:type="dxa" w:w="80"/>
              <w:bottom w:type="dxa" w:w="40"/>
              <w:right w:type="dxa" w:w="80"/>
            </w:tcMar>
          </w:tcPr>
          <w:p>
            <w:pPr>
              <w:jc w:val="right"/>
            </w:pPr>
            <w:r>
              <w:rPr>
                <w:rFonts w:ascii="Calibri" w:cs="Calibri" w:eastAsia="Calibri" w:hAnsi="Calibri"/>
                <w:b w:val="false"/>
                <w:bCs w:val="false"/>
                <w:color w:val="334155"/>
                <w:sz w:val="15"/>
                <w:szCs w:val="15"/>
              </w:rPr>
              <w:t xml:space="preserve">15,0 %</w:t>
            </w:r>
          </w:p>
        </w:tc>
        <w:tc>
          <w:tcPr>
            <w:tcW w:type="dxa" w:w="2400"/>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Definido por el usuario</w:t>
            </w:r>
          </w:p>
        </w:tc>
        <w:tc>
          <w:tcPr>
            <w:tcW w:type="dxa" w:w="1043"/>
            <w:tcMar>
              <w:top w:type="dxa" w:w="40"/>
              <w:left w:type="dxa" w:w="80"/>
              <w:bottom w:type="dxa" w:w="40"/>
              <w:right w:type="dxa" w:w="80"/>
            </w:tcMar>
          </w:tcPr>
          <w:p>
            <w:pPr>
              <w:jc w:val="left"/>
            </w:pPr>
            <w:r>
              <w:rPr>
                <w:rFonts w:ascii="Calibri" w:cs="Calibri" w:eastAsia="Calibri" w:hAnsi="Calibri"/>
                <w:b w:val="false"/>
                <w:bCs w:val="false"/>
                <w:color w:val="334155"/>
                <w:sz w:val="15"/>
                <w:szCs w:val="15"/>
              </w:rPr>
              <w:t xml:space="preserve">—</w:t>
            </w:r>
          </w:p>
        </w:tc>
      </w:tr>
    </w:tbl>
    <w:p>
      <w:pPr>
        <w:sectPr>
          <w:headerReference w:type="default" r:id="rId52"/>
          <w:footerReference w:type="default" r:id="rId53"/>
          <w:pgSz w:w="11906" w:h="16838" w:orient="portrait"/>
          <w:pgMar w:top="1440" w:right="1440" w:bottom="1440" w:left="1440" w:header="708" w:footer="708" w:gutter="0"/>
          <w:pgNumType/>
          <w:docGrid w:linePitch="360"/>
        </w:sectPr>
      </w:pPr>
    </w:p>
    <w:p>
      <w:pPr>
        <w:pStyle w:val="NotaTabla"/>
        <w:keepNext/>
        <w:keepLines/>
        <w:spacing w:after="80" w:before="200"/>
      </w:pPr>
      <w:r>
        <w:rPr>
          <w:rFonts w:ascii="Calibri" w:cs="Calibri" w:eastAsia="Calibri" w:hAnsi="Calibri"/>
          <w:b/>
          <w:bCs/>
          <w:color w:val="1E3A5F"/>
          <w:sz w:val="18"/>
          <w:szCs w:val="18"/>
        </w:rPr>
        <w:t xml:space="preserve">Tabla 29. Alcance documentado de cada parámetro financiero (partidas afectadas derivadas de las reglas activas)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221"/>
        <w:gridCol w:w="2386"/>
        <w:gridCol w:w="2386"/>
        <w:gridCol w:w="1193"/>
        <w:gridCol w:w="2386"/>
        <w:gridCol w:w="2386"/>
      </w:tblGrid>
      <w:tr>
        <w:trPr>
          <w:cantSplit/>
          <w:tblHeader/>
        </w:trPr>
        <w:tc>
          <w:tcPr>
            <w:tcW w:type="dxa" w:w="3221"/>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Parámetro</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Partidas que afecta</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Fórmula/regla activa</w:t>
            </w:r>
          </w:p>
        </w:tc>
        <w:tc>
          <w:tcPr>
            <w:tcW w:type="dxa" w:w="1193"/>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Ámbito</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Efecto</w:t>
            </w:r>
          </w:p>
        </w:tc>
        <w:tc>
          <w:tcPr>
            <w:tcW w:type="dxa" w:w="2386"/>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Redondeo</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 del impuesto sobre utilidades (demostrativa)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(regla demostrativa) (impuesto_utilidades_k)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impuesto_utilidades_k = MAX(0, utilidad_antes_impuestos_k * tasa_impuesto_utilidades)</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Tipo de cambio (CUP por USD)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Inversión fija en CUP convertida (inversion_fija_cup_k) · Costo laboral (costo_laboral_k)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inversion_fija_cup_k = SUMA_INVERSIONES(IF(AND(categoria_inv = "inversion_fija", moneda_inv = "CUP"), monto_inv, 0)) / tipo_cambio · costo_laboral_k = costo_laboral_cup / tipo_cambio / 1000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 · 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presentación documental y la conversión entre monedas, no los datos de origen</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 de interés anual del crédito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Plazo de amortización del crédito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Período de gracia del crédito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Inflación prevista (costos variables unitarios de servicios)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variable unitario proyectado (srv_costo_unitario_proy)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srv_costo_unitario_proy = costo_variable_unitario * (1 + inflacion) ^ MAX(0, PERIODO - 1)</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Inflación de costos fijos (contratos nominales)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(años de operación) (canon_k) · Servicios públicos (años de operación) (servicios_publicos_k) · Otros gastos fijos (años de operación) (otros_gastos_k) · Otros impuestos y tasas (años de operación) (otros_impuestos_k) · Aranceles (años de operación) (aranceles_k) · Royalties (años de operación) (royalties_k)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canon_k = IF(PERIODO &gt;= 1, canon_anual_k * (1 + inflacion_costos_fijos) ^ MAX(0, PERIODO - 1), 0) · servicios_publicos_k = IF(PERIODO &gt;= 1, servicios_publicos_anual_k * (1 + inflacion_costos_fijos) ^ MAX(0, PERIODO - 1), 0) · otros_gastos_k = IF(PERIODO &gt;= 1, otros_gastos_fijos_k * (1 + inflacion_costos_fijos) ^ MAX(0, PERIODO - 1), 0) · otros_impuestos_k = IF(PERIODO &gt;= 1, otros_impuestos_anual_k * (1 + inflacion_costos_fijos) ^ MAX(0, PERIODO - 1), 0) · aranceles_k = IF(PERIODO &gt;= 1, aranceles_anual_k * (1 + inflacion_costos_fijos) ^ MAX(0, PERIODO - 1), 0) · royalties_k = IF(PERIODO &gt;= 1, royalties_anual_k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Crecimiento anual de precios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Precio proyectado del servicio (srv_precio_proy)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srv_precio_proy = precio_base * (1 + crecimiento_precios) ^ MAX(0, PERIODO - 1)</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Variación anual del volumen (demanda)</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Demanda mensual prevista (srv_cantidad_mensual_proy)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srv_cantidad_mensual_proy = IF(PERIODO &gt;= anio_inicio_demanda, cantidad_base_mensual * (1 + crecimiento_volumen) ^ MAX(0, PERIODO - anio_inicio_demanda),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Crecimiento anual de salarios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Salario anual proyectado (salario_anual_proy)</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salario_anual_proy = salario_promedio_anual * (1 + crecimiento_salarios) ^ MAX(0, PERIODO - 1)</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personal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administrativos (% de los ingresos)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 administrativos (gastos_admin_k)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gastos_admin_k = pct_gastos_admin * ingresos_totales_k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 (% de la inversión fija)</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 (años de operación) (mantenimiento_k)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mantenimiento_k = IF(PERIODO &gt;= 1, pct_mantenimiento * inversion_fija_k,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Factor de costo laboral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laboral en CUP (costo_laboral_cup)</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costo_laboral_cup = SUMA_PERSONAL(cantidad * salario_anual_proy) * factor_costo_laboral</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Participación de la parte cubana en el capital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Reparto de dividendos (% de la utilidad distribuible)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Reserva sobre la base distribuible acumulada [SUPUESTO DEMOSTRATIVO]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Recuperación del capital de trabajo al cierre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 públicos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 públicos (años de operación) (servicios_publicos_k)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servicios_publicos_k = IF(PERIODO &gt;= 1, servicios_publicos_anual_k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anual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 (años de operación) (canon_k)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canon_k = IF(PERIODO &gt;= 1, canon_anual_k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gastos fijos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gastos fijos (años de operación) (otros_gastos_k)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otros_gastos_k = IF(PERIODO &gt;= 1, otros_gastos_fijos_k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Monto del crédito externo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Financiación disponible (financiacion_disponible_k)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financiacion_disponible_k = aportaciones_total_k + otras_fuentes_k + credito_monto_k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Otras fuentes de financiamiento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Financiación disponible (financiacion_disponible_k) · Necesidad de financiación (necesidad_financiacion_k)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financiacion_disponible_k = aportaciones_total_k + otras_fuentes_k + credito_monto_k · necesidad_financiacion_k = inversion_total_k - aportaciones_total_k - otras_fuentes_k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Capital de trabajo inicial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Costo total de la inversión inicial (inversion_total_k)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inversion_total_k = gastos_previos_k + inversion_fija_k + capital_trabajo_k</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proyecto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la caja (flujo de financiación/distribución), no el estado de resultados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 (años de operación) (aranceles_k)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aranceles_k = IF(PERIODO &gt;= 1, aranceles_anual_k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impuestos y tasas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impuestos y tasas (años de operación) (otros_impuestos_k)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otros_impuestos_k = IF(PERIODO &gt;= 1, otros_impuestos_anual_k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 anuales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 (años de operación) (royalties_k)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royalties_k = IF(PERIODO &gt;= 1, royalties_anual_k * (1 + inflacion_costos_fijos) ^ MAX(0, PERIODO - 1),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 anuales al país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 ingresos al país (años de operación) (otros_beneficios_pais_k)</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otros_beneficios_pais_k = IF(PERIODO &gt;= 1, otros_beneficios_pais_anual_k, 0)</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anio</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Afecta el estado de resultados y la caja (ambos)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Umbral de utilización de recursos (análisis)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 interviene en el cálculo: califica los análisis y alertas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r>
        <w:trPr>
          <w:cantSplit/>
        </w:trPr>
        <w:tc>
          <w:tcPr>
            <w:tcW w:type="dxa" w:w="3221"/>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Umbral de margen de contribución mínimo (análisis)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(ninguna partida activa lo referencia: parámetro informativo o sin uso actual)</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1193"/>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 interviene en el cálculo: califica los análisis y alertas</w:t>
            </w:r>
          </w:p>
        </w:tc>
        <w:tc>
          <w:tcPr>
            <w:tcW w:type="dxa" w:w="2386"/>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Precisión interna completa; el redondeo es solo de presentación (un decimal al formatear)</w:t>
            </w:r>
          </w:p>
        </w:tc>
      </w:tr>
    </w:tbl>
    <w:p>
      <w:pPr>
        <w:sectPr>
          <w:headerReference w:type="default" r:id="rId54"/>
          <w:footerReference w:type="default" r:id="rId55"/>
          <w:pgSz w:w="11906" w:h="16838" w:orient="landscape"/>
          <w:pgMar w:top="1440" w:right="1440" w:bottom="1440" w:left="1440" w:header="708" w:footer="708" w:gutter="0"/>
          <w:pgNumType/>
          <w:docGrid w:linePitch="360"/>
        </w:sectPr>
      </w:pPr>
    </w:p>
    <w:p>
      <w:pPr>
        <w:pStyle w:val="NotaTexto"/>
        <w:spacing w:after="60" w:before="60" w:line="276"/>
        <w:jc w:val="both"/>
        <w:sectPr>
          <w:headerReference w:type="default" r:id="rId56"/>
          <w:footerReference w:type="default" r:id="rId57"/>
          <w:pgSz w:w="11906" w:h="16838" w:orient="portrait"/>
          <w:pgMar w:top="1440" w:right="1440" w:bottom="1440" w:left="1440" w:header="708" w:footer="708" w:gutter="0"/>
          <w:pgNumType/>
          <w:docGrid w:linePitch="360"/>
        </w:sectPr>
      </w:pPr>
      <w:r>
        <w:rPr>
          <w:rFonts w:ascii="Calibri" w:cs="Calibri" w:eastAsia="Calibri" w:hAnsi="Calibri"/>
          <w:color w:val="334155"/>
          <w:sz w:val="16"/>
          <w:szCs w:val="16"/>
        </w:rPr>
        <w:t xml:space="preserve">El alcance anterior se DERIVA de las reglas activas del propio proyecto: si un parámetro no referencia la partida que usted cree, es que no la afecta (p. ej., la inflación de costos variables no indexa el canon ni los servicios públicos, que se rigen por el parámetro de inflación de costos fijos, 0 % por defecto = contratos nominales fijos). Ningún parámetro genérico sugiere que se ha indexado una partida a la que en realidad no se aplica.</w:t>
      </w:r>
    </w:p>
    <w:p>
      <w:pPr>
        <w:pStyle w:val="NotaTabla"/>
        <w:keepNext/>
        <w:keepLines/>
        <w:spacing w:after="80" w:before="200"/>
      </w:pPr>
      <w:r>
        <w:rPr>
          <w:rFonts w:ascii="Calibri" w:cs="Calibri" w:eastAsia="Calibri" w:hAnsi="Calibri"/>
          <w:b/>
          <w:bCs/>
          <w:color w:val="1E3A5F"/>
          <w:sz w:val="18"/>
          <w:szCs w:val="18"/>
        </w:rPr>
        <w:t xml:space="preserve">Tabla 30. Trazabilidad de fuentes y supuestos (normas oficiales / referencias legales / cotizaciones / datos del usuario / hipótesis ilustrativas)</w:t>
      </w:r>
    </w:p>
    <w:tbl>
      <w:tblPr>
        <w:tblW w:type="dxa" w:w="13958"/>
        <w:tblBorders>
          <w:top w:val="single" w:color="CBD5E1" w:sz="2"/>
          <w:left w:val="single" w:color="CBD5E1" w:sz="2"/>
          <w:bottom w:val="single" w:color="CBD5E1" w:sz="2"/>
          <w:right w:val="single" w:color="CBD5E1" w:sz="2"/>
          <w:insideH w:val="single" w:color="CBD5E1" w:sz="2"/>
          <w:insideV w:val="single" w:color="CBD5E1" w:sz="2"/>
        </w:tblBorders>
      </w:tblPr>
      <w:tblGrid>
        <w:gridCol w:w="3395"/>
        <w:gridCol w:w="2180"/>
        <w:gridCol w:w="2515"/>
        <w:gridCol w:w="838"/>
        <w:gridCol w:w="2515"/>
        <w:gridCol w:w="2515"/>
      </w:tblGrid>
      <w:tr>
        <w:trPr>
          <w:cantSplit/>
          <w:tblHeader/>
        </w:trPr>
        <w:tc>
          <w:tcPr>
            <w:tcW w:type="dxa" w:w="3395"/>
            <w:shd w:fill="1E3A5F" w:color="auto" w:val="clear"/>
            <w:tcMar>
              <w:top w:type="dxa" w:w="40"/>
              <w:left w:type="dxa" w:w="80"/>
              <w:bottom w:type="dxa" w:w="40"/>
              <w:right w:type="dxa" w:w="80"/>
            </w:tcMar>
          </w:tcPr>
          <w:p>
            <w:pPr>
              <w:jc w:val="left"/>
            </w:pPr>
            <w:r>
              <w:rPr>
                <w:rFonts w:ascii="Calibri" w:cs="Calibri" w:eastAsia="Calibri" w:hAnsi="Calibri"/>
                <w:b/>
                <w:bCs/>
                <w:color w:val="FFFFFF"/>
                <w:sz w:val="13"/>
                <w:szCs w:val="13"/>
              </w:rPr>
              <w:t xml:space="preserve">Fuente</w:t>
            </w:r>
          </w:p>
        </w:tc>
        <w:tc>
          <w:tcPr>
            <w:tcW w:type="dxa" w:w="2180"/>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Tipo</w:t>
            </w:r>
          </w:p>
        </w:tc>
        <w:tc>
          <w:tcPr>
            <w:tcW w:type="dxa" w:w="25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Emisor</w:t>
            </w:r>
          </w:p>
        </w:tc>
        <w:tc>
          <w:tcPr>
            <w:tcW w:type="dxa" w:w="838"/>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Fecha/Ref.</w:t>
            </w:r>
          </w:p>
        </w:tc>
        <w:tc>
          <w:tcPr>
            <w:tcW w:type="dxa" w:w="25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Qué respalda</w:t>
            </w:r>
          </w:p>
        </w:tc>
        <w:tc>
          <w:tcPr>
            <w:tcW w:type="dxa" w:w="2515"/>
            <w:shd w:fill="1E3A5F" w:color="auto" w:val="clear"/>
            <w:tcMar>
              <w:top w:type="dxa" w:w="40"/>
              <w:left w:type="dxa" w:w="80"/>
              <w:bottom w:type="dxa" w:w="40"/>
              <w:right w:type="dxa" w:w="80"/>
            </w:tcMar>
          </w:tcPr>
          <w:p>
            <w:pPr>
              <w:jc w:val="center"/>
            </w:pPr>
            <w:r>
              <w:rPr>
                <w:rFonts w:ascii="Calibri" w:cs="Calibri" w:eastAsia="Calibri" w:hAnsi="Calibri"/>
                <w:b/>
                <w:bCs/>
                <w:color w:val="FFFFFF"/>
                <w:sz w:val="13"/>
                <w:szCs w:val="13"/>
              </w:rPr>
              <w:t xml:space="preserve">Estado</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Bases Metodológicas — Resolución 78/2026, Gaceta Oficial GOC-2026-O57</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Norma oficial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Ministerio de Economía y Planificación / Gaceta Oficial de la República de Cuba</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09/07/2026</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Estructura metodológica 4.1–4.12, unidades y contenido requeridos del plan de negocios (incluidos los desgloses por canal y los indicadores de beneficios directos al país).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Estructura APLICADA por la aplicación; el cumplimiento del CONTENIDO depende de los datos del plan y de sus validaciones.</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Ley 118/2014 «Ley de la Inversión Extranjera» y Decreto-Ley 335/2018 (según la modalidad declarada en 4.5)</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legal declarada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Asamblea Nacional del Poder Popular / Consejo de Estado (referencia declarada por el usuario)</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Modalidad de la inversión extranjera declarada en el apartado 4.5.</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legal declarada: la aplicabilidad al proyecto concreto REQUIERE verificación jurídica documentada (el plan no acredita su cumplimiento).</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Tipo de cambio 743,0 CUP por USD (parámetro «tipo_cambio»)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Cotización / tasa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 de demostración editable (743 CUP/USD, tasa ilustrativa pendiente de validación oficial; fecha de corte del supuesto: 2026-10-25). — SUPUESTO DE DEMOSTRACIÓN</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2026-10-25</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Conversión de salarios (CUP-&gt;USD), partidas de inversión en CUP y presentación dual del documento.</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PENDIENTE DE VALIDACIÓN OFICIAL: tasa ilustrativa; documente la tasa oficial vigente, su fecha y su fuente antes de un uso oficial.</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Tasa de impuesto sobre utilidades 35,0 % (parámetro «tasa_impuesto_utilidades»)</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 de demostración editable. No constituye la tasa legal aplicable al negocio real: documente la fuente normativa y las condiciones antes de un uso oficial.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Impuesto sobre utilidades y, a través de él, utilidad neta, FCFF/FCFE (vía escudo fiscal), recuperaciones, dividendos y beneficios al país.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SUPUESTO DE DEMOSTRACIÓN que CONDICIONA las conclusiones económicas: documente la tasa legal aplicable antes de cualquier presentación.</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ap-ex-ef — Compromiso de aporte en efectivo (supuesto ficticio; adjuntar instrumento constitutivo)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extranjero</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420,0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ap-ex-af — Equipamiento dental e imagenología nuevos (factura proforma ilustrativa; avalúo pendiente)</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extranjero</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288,0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ap-na-af — Instalaciones adecuadas y montadas (avalúo ilustrativo; comprobar documentación de Patrimonio)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nacional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180,0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ap-na-ac — Inventario inicial de materiales y consumibles (ilustrativo)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nacional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152,0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Aportación ap-na-ef — Aporte en efectivo del socio nacional (supuesto ficticio)</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Socio nacional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Aporte de 140,0 kUSD al capital social.</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Referencia NO identificable (vacía, ficticia, proforma o pendiente): no cuenta como respaldo validado; adjunte el instrumento identificable (título, emisor, fecha).</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Demanda solvente, captación y precios de servicios (apartados 4.6 y 4.8)</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HIPÓTESIS ilustrativa</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Método ilustrativo por referencias públicas y supuestos de captación. La aplicación exige documentar fuentes y fechas; no simula investigación de mercado real.</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Volumen de servicios, ingresos por línea y desglose por canales.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Estimación del usuario/hipótesis ilustrativa: sin estudio de mercado verificable, la demanda NO debe presentarse como dato validado.</w:t>
            </w:r>
          </w:p>
        </w:tc>
      </w:tr>
      <w:tr>
        <w:trPr>
          <w:cantSplit/>
        </w:trPr>
        <w:tc>
          <w:tcPr>
            <w:tcW w:type="dxa" w:w="339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Requisitos regulatorios declarados (apartado 4.8)</w:t>
            </w:r>
          </w:p>
        </w:tc>
        <w:tc>
          <w:tcPr>
            <w:tcW w:type="dxa" w:w="2180"/>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Dato del usuario</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Usuario del plan</w:t>
            </w:r>
          </w:p>
        </w:tc>
        <w:tc>
          <w:tcPr>
            <w:tcW w:type="dxa" w:w="838"/>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Requisitos legales, sanitarios y ambientales identificados.</w:t>
            </w:r>
          </w:p>
        </w:tc>
        <w:tc>
          <w:tcPr>
            <w:tcW w:type="dxa" w:w="2515"/>
            <w:tcMar>
              <w:top w:type="dxa" w:w="40"/>
              <w:left w:type="dxa" w:w="80"/>
              <w:bottom w:type="dxa" w:w="40"/>
              <w:right w:type="dxa" w:w="80"/>
            </w:tcMar>
          </w:tcPr>
          <w:p>
            <w:pPr>
              <w:jc w:val="left"/>
            </w:pPr>
            <w:r>
              <w:rPr>
                <w:rFonts w:ascii="Calibri" w:cs="Calibri" w:eastAsia="Calibri" w:hAnsi="Calibri"/>
                <w:b w:val="false"/>
                <w:bCs w:val="false"/>
                <w:color w:val="334155"/>
                <w:sz w:val="13"/>
                <w:szCs w:val="13"/>
              </w:rPr>
              <w:t xml:space="preserve">LISTADO no verificado: cada autorización exige evidencia externa comprobable (número, emisor, fecha y estado de aprobación). La aplicación NO declara su cumplimiento.</w:t>
            </w:r>
          </w:p>
        </w:tc>
      </w:tr>
    </w:tbl>
    <w:p>
      <w:pPr>
        <w:sectPr>
          <w:headerReference w:type="default" r:id="rId58"/>
          <w:footerReference w:type="default" r:id="rId59"/>
          <w:pgSz w:w="11906" w:h="16838" w:orient="landscape"/>
          <w:pgMar w:top="1440" w:right="1440" w:bottom="1440" w:left="1440" w:header="708" w:footer="708" w:gutter="0"/>
          <w:pgNumType/>
          <w:docGrid w:linePitch="360"/>
        </w:sectPr>
      </w:pPr>
    </w:p>
    <w:p>
      <w:pPr>
        <w:spacing w:after="60" w:before="60" w:line="276"/>
        <w:jc w:val="both"/>
      </w:pPr>
      <w:r>
        <w:rPr>
          <w:rFonts w:ascii="Calibri" w:cs="Calibri" w:eastAsia="Calibri" w:hAnsi="Calibri"/>
          <w:color w:val="334155"/>
          <w:sz w:val="20"/>
          <w:szCs w:val="20"/>
        </w:rPr>
        <w:t xml:space="preserve">Reglas de cálculo activas (Nivel B): fórmulas completas, ámbito y equivalencias Excel pueden consultarse en «Configuración de cálculos» de la aplicación y en la hoja «Reglas» del libro exportado. Las variables del motor (mtr_*) provienen de las hojas Depreciacion, Deuda, FlujosCaja, Dividendos y Capacidad. La regla del impuesto sobre utilidades es demostrativa y editable: no constituye la tasa legal aplicable.</w:t>
      </w:r>
    </w:p>
    <w:p>
      <w:pPr>
        <w:spacing w:after="60" w:before="60" w:line="276"/>
        <w:jc w:val="both"/>
      </w:pPr>
      <w:r>
        <w:rPr>
          <w:rFonts w:ascii="Calibri" w:cs="Calibri" w:eastAsia="Calibri" w:hAnsi="Calibri"/>
          <w:color w:val="334155"/>
          <w:sz w:val="20"/>
          <w:szCs w:val="20"/>
        </w:rPr>
        <w:t xml:space="preserve">Redondeo: los cálculos usan precisión interna completa y el redondeo es solo de presentación (miles de CUP con un decimal); pequeñas diferencias con la suma visual de cifras redondeadas se explican por este motivo de forma uniforme.</w:t>
      </w:r>
    </w:p>
    <w:p>
      <w:pPr>
        <w:spacing w:after="60" w:before="60" w:line="276"/>
        <w:jc w:val="both"/>
      </w:pPr>
      <w:r>
        <w:rPr>
          <w:rFonts w:ascii="Calibri" w:cs="Calibri" w:eastAsia="Calibri" w:hAnsi="Calibri"/>
          <w:color w:val="334155"/>
          <w:sz w:val="20"/>
          <w:szCs w:val="20"/>
        </w:rPr>
        <w:t xml:space="preserve">Moneda de presentación del documento: CUP. Conversión aplicada una sola vez desde la moneda de origen de cada importe con el tipo de cambio parametrizado de 743,0 CUP por USD (fecha de referencia: 2026-10-25 — fecha de corte del supuesto ilustrativo, no una cotización observada); fuente: Supuesto de demostración editable (743 CUP/USD, tasa ilustrativa pendiente de validación oficial; fecha de corte del supuesto: 2026-10-25).. SUPUESTO DE DEMOSTRACIÓN EDITABLE, PENDIENTE DE VALIDACIÓN OFICIAL: manténgalo como supuesto ilustrativo mientras no exista una fuente oficial verificable; antes de un uso oficial debe sustituirse por la tasa vigente con su fecha y fuente documentadas. Los porcentajes, cantidades físicas, plantillas, horas y períodos no se convierten; los salarios se expresan en CUP conforme a la metodología 4.9. El redondeo es solo de presentación: los totales se calculan con precisión completa y pueden diferir de la suma de cifras redondeadas.</w:t>
      </w:r>
    </w:p>
    <w:p>
      <w:pPr>
        <w:pStyle w:val="NotaTexto"/>
        <w:spacing w:after="60" w:before="60" w:line="276"/>
        <w:jc w:val="both"/>
      </w:pPr>
      <w:r>
        <w:rPr>
          <w:rFonts w:ascii="Calibri" w:cs="Calibri" w:eastAsia="Calibri" w:hAnsi="Calibri"/>
          <w:color w:val="334155"/>
          <w:sz w:val="16"/>
          <w:szCs w:val="16"/>
        </w:rPr>
        <w:t xml:space="preserve">Figuras: las figuras de este informe se generan localmente desde los mismos datos que alimentan las tablas (motor de cálculo activo), sin servicios externos; cada figura lleva número, título, unidades, leyenda y nota de fuentes y supuestos, y es referida desde el texto. Las limitaciones de paginación entre PDF y Word existen, pero los contenidos, cifras, tablas, títulos, fórmulas y figuras coinciden entre ambos formatos.</w:t>
      </w:r>
    </w:p>
    <w:tbl>
      <w:tblPr>
        <w:tblW w:type="dxa" w:w="9026"/>
        <w:tblBorders>
          <w:top w:val="single" w:color="B45309" w:sz="6"/>
          <w:left w:val="single" w:color="B45309" w:sz="6"/>
          <w:bottom w:val="single" w:color="B45309" w:sz="6"/>
          <w:right w:val="single" w:color="B45309" w:sz="6"/>
          <w:insideH w:val="none" w:color="auto" w:sz="0"/>
          <w:insideV w:val="none" w:color="auto" w:sz="0"/>
        </w:tblBorders>
      </w:tblPr>
      <w:tblGrid>
        <w:gridCol w:w="9026"/>
      </w:tblGrid>
      <w:tr>
        <w:trPr>
          <w:cantSplit/>
        </w:trPr>
        <w:tc>
          <w:tcPr>
            <w:shd w:fill="FFF3CD" w:color="auto" w:val="clear"/>
            <w:tcMar>
              <w:top w:type="dxa" w:w="100"/>
              <w:left w:type="dxa" w:w="140"/>
              <w:bottom w:type="dxa" w:w="100"/>
              <w:right w:type="dxa" w:w="140"/>
            </w:tcMar>
          </w:tcPr>
          <w:p>
            <w:pPr>
              <w:spacing w:after="60" w:before="60"/>
            </w:pPr>
            <w:r>
              <w:rPr>
                <w:rFonts w:ascii="Calibri" w:cs="Calibri" w:eastAsia="Calibri" w:hAnsi="Calibri"/>
                <w:color w:val="92400E"/>
                <w:sz w:val="16"/>
                <w:szCs w:val="16"/>
              </w:rPr>
              <w:t xml:space="preserve">EJEMPLO ILUSTRATIVO CON DATOS FICTICIOS. No constituye una propuesta aprobada ni acredita el cumplimiento de requisitos legales, tributarios, sanitarios o de inversión. Validar las cifras, supuestos, autorizaciones y requisitos aplicables antes de su presentación oficial.</w:t>
            </w:r>
          </w:p>
        </w:tc>
      </w:tr>
    </w:tbl>
    <w:sectPr>
      <w:headerReference w:type="default" r:id="rId60"/>
      <w:footerReference w:type="default" r:id="rId61"/>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64748B"/>
        <w:sz w:val="13"/>
        <w:szCs w:val="13"/>
      </w:rPr>
      <w:t xml:space="preserve">PLANEX Cuba — Plan de Negocios (GOC-2026-O57)</w:t>
    </w:r>
    <w:r>
      <w:rPr>
        <w:rFonts w:ascii="Calibri" w:cs="Calibri" w:eastAsia="Calibri" w:hAnsi="Calibri"/>
        <w:color w:val="64748B"/>
        <w:sz w:val="13"/>
        <w:szCs w:val="13"/>
      </w:rPr>
      <w:t xml:space="preserve">	Página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PAGE</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64748B"/>
        <w:sz w:val="13"/>
        <w:szCs w:val="13"/>
      </w:rPr>
      <w:t xml:space="preserve"> de </w:t>
    </w:r>
    <w:r>
      <w:rPr>
        <w:rFonts w:ascii="Calibri" w:cs="Calibri" w:eastAsia="Calibri" w:hAnsi="Calibri"/>
        <w:color w:val="64748B"/>
        <w:sz w:val="13"/>
        <w:szCs w:val="13"/>
      </w:rPr>
      <w:fldChar w:fldCharType="begin"/>
    </w:r>
    <w:r>
      <w:rPr>
        <w:rFonts w:ascii="Calibri" w:cs="Calibri" w:eastAsia="Calibri" w:hAnsi="Calibri"/>
        <w:color w:val="64748B"/>
        <w:sz w:val="13"/>
        <w:szCs w:val="13"/>
      </w:rPr>
      <w:instrText xml:space="preserve">NUMPAGES</w:instrText>
    </w:r>
    <w:r>
      <w:rPr>
        <w:rFonts w:ascii="Calibri" w:cs="Calibri" w:eastAsia="Calibri" w:hAnsi="Calibri"/>
        <w:color w:val="64748B"/>
        <w:sz w:val="13"/>
        <w:szCs w:val="13"/>
      </w:rPr>
      <w:fldChar w:fldCharType="separate"/>
    </w:r>
    <w:r>
      <w:rPr>
        <w:rFonts w:ascii="Calibri" w:cs="Calibri" w:eastAsia="Calibri" w:hAnsi="Calibri"/>
        <w:color w:val="64748B"/>
        <w:sz w:val="13"/>
        <w:szCs w:val="13"/>
      </w:rPr>
      <w:fldChar w:fldCharType="end"/>
    </w:r>
    <w:r>
      <w:rPr>
        <w:rFonts w:ascii="Calibri" w:cs="Calibri" w:eastAsia="Calibri" w:hAnsi="Calibri"/>
        <w:color w:val="B45309"/>
        <w:sz w:val="13"/>
        <w:szCs w:val="13"/>
      </w:rPr>
      <w:t xml:space="preserve">   ·   EJEMPLO ILUSTRATIVO CON DATOS FICTICIOS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2"/>
      </w:pBdr>
      <w:tabs>
        <w:tab w:val="right" w:pos="9026"/>
      </w:tabs>
    </w:pPr>
    <w:r>
      <w:rPr>
        <w:rFonts w:ascii="Calibri" w:cs="Calibri" w:eastAsia="Calibri" w:hAnsi="Calibri"/>
        <w:b/>
        <w:bCs/>
        <w:color w:val="1E3A5F"/>
        <w:sz w:val="15"/>
        <w:szCs w:val="15"/>
      </w:rPr>
      <w:t xml:space="preserve">PLAN DE NEGOCIOS</w:t>
    </w:r>
    <w:r>
      <w:rPr>
        <w:rFonts w:ascii="Calibri" w:cs="Calibri" w:eastAsia="Calibri" w:hAnsi="Calibri"/>
        <w:color w:val="64748B"/>
        <w:sz w:val="13"/>
        <w:szCs w:val="13"/>
      </w:rPr>
      <w:t xml:space="preserve">	Clínica Estomatológica «Sonrisa Habana»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E3A5F"/>
      <w:sz w:val="30"/>
      <w:szCs w:val="30"/>
    </w:rPr>
  </w:style>
  <w:style w:type="paragraph" w:styleId="Heading2">
    <w:name w:val="Heading 2"/>
    <w:basedOn w:val="Normal"/>
    <w:next w:val="Normal"/>
    <w:qFormat/>
    <w:rPr>
      <w:rFonts w:ascii="Calibri" w:cs="Calibri" w:eastAsia="Calibri" w:hAnsi="Calibri"/>
      <w:b/>
      <w:bCs/>
      <w:color w:val="1E3A5F"/>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NotaTabla">
    <w:name w:val="Nota de tabla"/>
    <w:basedOn w:val="Normal"/>
    <w:rPr>
      <w:rFonts w:ascii="Calibri" w:cs="Calibri" w:eastAsia="Calibri" w:hAnsi="Calibri"/>
      <w:color w:val="1E3A5F"/>
    </w:rPr>
  </w:style>
  <w:style w:type="paragraph" w:styleId="NotaTexto">
    <w:name w:val="Texto de nota"/>
    <w:basedOn w:val="Normal"/>
    <w:rPr>
      <w:rFonts w:ascii="Calibri" w:cs="Calibri" w:eastAsia="Calibri" w:hAnsi="Calibri"/>
      <w:color w:val="64748B"/>
      <w:sz w:val="16"/>
      <w:szCs w:val="16"/>
    </w:rPr>
  </w:style>
  <w:style w:type="paragraph" w:styleId="AnalisisPlanex">
    <w:name w:val="Análisis PLANEX"/>
    <w:basedOn w:val="Normal"/>
    <w:rPr>
      <w:rFonts w:ascii="Calibri" w:cs="Calibri" w:eastAsia="Calibri" w:hAnsi="Calibri"/>
    </w:rPr>
  </w:style>
  <w:style w:type="paragraph" w:styleId="AnalisisCuerpo">
    <w:name w:val="Cuerpo de análisis PLANEX"/>
    <w:basedOn w:val="Normal"/>
    <w:rPr>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theme" Target="theme/theme1.xml"/><Relationship Id="rId63" Type="http://schemas.openxmlformats.org/officeDocument/2006/relationships/image" Target="media/f7af0dcfa28c806367895230a5ea9b259620f029.png"/><Relationship Id="rId64" Type="http://schemas.openxmlformats.org/officeDocument/2006/relationships/image" Target="media/cd5ca77007d64a9f1db0087515c61b92b764fb6f.png"/><Relationship Id="rId65" Type="http://schemas.openxmlformats.org/officeDocument/2006/relationships/image" Target="media/b47280157fc58c0438f65242d47fa7bb1c63d087.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Clínica Estomatológica «Sonrisa Habana» — Plan de Negocios</dc:title>
  <dc:creator>PLANEX Cuba</dc:creator>
  <dc:description>Documento generado por PLANEX Cuba. Moneda de presentación: CUP.</dc:description>
  <cp:lastModifiedBy>Un-named</cp:lastModifiedBy>
  <cp:revision>1</cp:revision>
  <dcterms:created xsi:type="dcterms:W3CDTF">2026-10-26T00:40:09.851Z</dcterms:created>
  <dcterms:modified xsi:type="dcterms:W3CDTF">2026-10-26T00:40:09.851Z</dcterms:modified>
</cp:coreProperties>
</file>

<file path=docProps/custom.xml><?xml version="1.0" encoding="utf-8"?>
<Properties xmlns="http://schemas.openxmlformats.org/officeDocument/2006/custom-properties" xmlns:vt="http://schemas.openxmlformats.org/officeDocument/2006/docPropsVTypes"/>
</file>