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1.099.640,0 miles de CUP</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CUP — Miles de CUP (kCUP)</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 w:id="1"/>
      <w:r>
        <w:rPr>
          <w:rFonts w:ascii="Calibri" w:cs="Calibri" w:eastAsia="Calibri" w:hAnsi="Calibri"/>
          <w:b/>
          <w:bCs/>
          <w:color w:val="1E3A5F"/>
          <w:sz w:val="30"/>
          <w:szCs w:val="30"/>
        </w:rPr>
        <w:t xml:space="preserve">Índice</w:t>
      </w:r>
      <w:bookmarkEnd w:id="1"/>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4.1  Información general</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4.4  Resumen ejecutivo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4.5  Descripción del negocio</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4.6  Aspectos técnicos y operativos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4.7  Análisis financiero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4.7.1  Flujos de caja y recuperación de la inversión</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4.8  Análisis o caracterización del mercado</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4.9  Fuerza de trabajo</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4.10  Inversiones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4.11  Indicadores de beneficios directos al país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4.12  Conclusiones</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Diagnóstico y controles de consistencia</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Notas, parámetros y supuestos del modelo</w:t>
            </w:r>
            <w:r>
              <w:tab/>
            </w:r>
            <w:r>
              <w:fldChar w:fldCharType="begin" w:dirty="true"/>
              <w:instrText xml:space="preserve">PAGEREF _Toc14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2" w:id="2"/>
      <w:r>
        <w:rPr>
          <w:rFonts w:ascii="Calibri" w:cs="Calibri" w:eastAsia="Calibri" w:hAnsi="Calibri"/>
          <w:b/>
          <w:bCs/>
          <w:color w:val="1E3A5F"/>
          <w:sz w:val="30"/>
          <w:szCs w:val="30"/>
        </w:rPr>
        <w:t xml:space="preserve">4.1  Información general</w:t>
      </w:r>
      <w:bookmarkEnd w:id="2"/>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3" w:id="3"/>
      <w:r>
        <w:rPr>
          <w:rFonts w:ascii="Calibri" w:cs="Calibri" w:eastAsia="Calibri" w:hAnsi="Calibri"/>
          <w:b/>
          <w:bCs/>
          <w:color w:val="1E3A5F"/>
          <w:sz w:val="30"/>
          <w:szCs w:val="30"/>
        </w:rPr>
        <w:t xml:space="preserve">4.4  Resumen ejecutivo</w:t>
      </w:r>
      <w:bookmarkEnd w:id="3"/>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Indicador</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general del plan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 previsto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totales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719.075,4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Utilidad después de impuestos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186.832,4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acumulados — período completo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3.193.002,6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Beneficios directos al país — explotación, años 1–N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3.192.426,6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promedio anual (CUP)</w:t>
            </w:r>
          </w:p>
        </w:tc>
        <w:tc>
          <w:tcPr>
            <w:tcW w:type="dxa" w:w="4513"/>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1.099.640,0 miles de CUP, financiada con 876.740,0 kCUP de aportaciones de los socios y un crédito de 222.900,0 kCUP, sobre un horizonte de análisis de 10 años. Con los supuestos activos, el modelo proyecta ingresos del año 1 por 719.075,4 miles de CUP, utilidad después de impuestos de 186.832,4 kCUP y una plantilla de 27 trabajadores en operación. La inversión total se recupera en 3,5 años (recuperación simple, sin descontar) por el flujo de caja del proyecto; el capital aportado por los socios, en 3,2 años. Los beneficios directos al país acumulan 3.193.002,6 miles de CUP en el período completo (explotación: 3.192.426,6 kCUP), con impuestos sobre utilidades por 1.773.676,0 kCUP y dividendos de la parte cubana por 906.667,9 kCUP.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4" w:id="4"/>
      <w:r>
        <w:rPr>
          <w:rFonts w:ascii="Calibri" w:cs="Calibri" w:eastAsia="Calibri" w:hAnsi="Calibri"/>
          <w:b/>
          <w:bCs/>
          <w:color w:val="1E3A5F"/>
          <w:sz w:val="30"/>
          <w:szCs w:val="30"/>
        </w:rPr>
        <w:t xml:space="preserve">4.5  Descripción del negocio</w:t>
      </w:r>
      <w:bookmarkEnd w:id="4"/>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717"/>
        <w:gridCol w:w="5309"/>
      </w:tblGrid>
      <w:tr>
        <w:trPr>
          <w:cantSplit/>
          <w:tblHeader/>
        </w:trPr>
        <w:tc>
          <w:tcPr>
            <w:tcW w:type="dxa" w:w="371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53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Operador ilustrativo de redes de clínicas dentales con 15 años de experiencia (dato ficticio para la demostración).</w:t>
            </w:r>
          </w:p>
        </w:tc>
      </w:tr>
      <w:tr>
        <w:trPr>
          <w:cantSplit/>
        </w:trPr>
        <w:tc>
          <w:tcPr>
            <w:tcW w:type="dxa" w:w="371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53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13"/>
        <w:gridCol w:w="4513"/>
      </w:tblGrid>
      <w:tr>
        <w:trPr>
          <w:cantSplit/>
          <w:tblHeader/>
        </w:trPr>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Campo</w:t>
            </w:r>
          </w:p>
        </w:tc>
        <w:tc>
          <w:tcPr>
            <w:tcW w:type="dxa" w:w="451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Entidad empleadora y prestadora de servicios de salud conforme a su objeto social vigente (dato ficticio).</w:t>
            </w:r>
          </w:p>
        </w:tc>
      </w:tr>
      <w:tr>
        <w:trPr>
          <w:cantSplit/>
        </w:trPr>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Vinculación con Cuba</w:t>
            </w:r>
          </w:p>
        </w:tc>
        <w:tc>
          <w:tcPr>
            <w:tcW w:type="dxa" w:w="451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CUP; año 0 = montaje/arranque, que financia la inversión total)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33"/>
        <w:gridCol w:w="1931"/>
        <w:gridCol w:w="1259"/>
        <w:gridCol w:w="504"/>
        <w:gridCol w:w="504"/>
        <w:gridCol w:w="1008"/>
        <w:gridCol w:w="756"/>
        <w:gridCol w:w="1931"/>
      </w:tblGrid>
      <w:tr>
        <w:trPr>
          <w:cantSplit/>
          <w:tblHeader/>
        </w:trPr>
        <w:tc>
          <w:tcPr>
            <w:tcW w:type="dxa" w:w="113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Socio</w:t>
            </w:r>
          </w:p>
        </w:tc>
        <w:tc>
          <w:tcPr>
            <w:tcW w:type="dxa" w:w="19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 de aporte</w:t>
            </w:r>
          </w:p>
        </w:tc>
        <w:tc>
          <w:tcPr>
            <w:tcW w:type="dxa" w:w="125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 (montaje)</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5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10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Total (kUSD)</w:t>
            </w:r>
          </w:p>
        </w:tc>
        <w:tc>
          <w:tcPr>
            <w:tcW w:type="dxa" w:w="75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kCUP</w:t>
            </w:r>
          </w:p>
        </w:tc>
        <w:tc>
          <w:tcPr>
            <w:tcW w:type="dxa" w:w="193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Ref. doc.</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420,0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312.060,0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213.984,0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Activos circulantes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152,0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112.936,0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r>
        <w:trPr>
          <w:cantSplit/>
        </w:trPr>
        <w:tc>
          <w:tcPr>
            <w:tcW w:type="dxa" w:w="113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Nacional</w:t>
            </w:r>
          </w:p>
        </w:tc>
        <w:tc>
          <w:tcPr>
            <w:tcW w:type="dxa" w:w="19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Efectivo</w:t>
            </w:r>
          </w:p>
        </w:tc>
        <w:tc>
          <w:tcPr>
            <w:tcW w:type="dxa" w:w="125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5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0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140,0</w:t>
            </w:r>
          </w:p>
        </w:tc>
        <w:tc>
          <w:tcPr>
            <w:tcW w:type="dxa" w:w="75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104.020,0</w:t>
            </w:r>
          </w:p>
        </w:tc>
        <w:tc>
          <w:tcPr>
            <w:tcW w:type="dxa" w:w="193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876.740,0 miles de CUP: el inversionista extranjero aporta 526.044,0 (60,0 %) y la parte nacional 350.696,0 (40,0 %). Por tipo de aporte, Efectivo con 416.080,0 (47,5 %), Activos fijos tangibles con 347.724,0 (39,7 %), Activos circulantes con 112.936,0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kCUP)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5" w:id="5"/>
      <w:r>
        <w:rPr>
          <w:rFonts w:ascii="Calibri" w:cs="Calibri" w:eastAsia="Calibri" w:hAnsi="Calibri"/>
          <w:b/>
          <w:bCs/>
          <w:color w:val="1E3A5F"/>
          <w:sz w:val="30"/>
          <w:szCs w:val="30"/>
        </w:rPr>
        <w:t xml:space="preserve">4.6  Aspectos técnicos y operativos</w:t>
      </w:r>
      <w:bookmarkEnd w:id="5"/>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867"/>
        <w:gridCol w:w="850"/>
        <w:gridCol w:w="425"/>
        <w:gridCol w:w="637"/>
        <w:gridCol w:w="566"/>
        <w:gridCol w:w="637"/>
        <w:gridCol w:w="1062"/>
        <w:gridCol w:w="1982"/>
      </w:tblGrid>
      <w:tr>
        <w:trPr>
          <w:cantSplit/>
          <w:tblHeader/>
        </w:trPr>
        <w:tc>
          <w:tcPr>
            <w:tcW w:type="dxa" w:w="286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85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42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w:t>
            </w:r>
          </w:p>
        </w:tc>
        <w:tc>
          <w:tcPr>
            <w:tcW w:type="dxa" w:w="6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Horas/día</w:t>
            </w:r>
          </w:p>
        </w:tc>
        <w:tc>
          <w:tcPr>
            <w:tcW w:type="dxa" w:w="56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Días/año</w:t>
            </w:r>
          </w:p>
        </w:tc>
        <w:tc>
          <w:tcPr>
            <w:tcW w:type="dxa" w:w="6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Mantenim.</w:t>
            </w:r>
          </w:p>
        </w:tc>
        <w:tc>
          <w:tcPr>
            <w:tcW w:type="dxa" w:w="10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Disp. desde año</w:t>
            </w:r>
          </w:p>
        </w:tc>
        <w:tc>
          <w:tcPr>
            <w:tcW w:type="dxa" w:w="198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Ampliaciones</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 en año 7 (111.450,0 kCUP)</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286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85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Local / área</w:t>
            </w:r>
          </w:p>
        </w:tc>
        <w:tc>
          <w:tcPr>
            <w:tcW w:type="dxa" w:w="42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6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3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98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286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Profesionales estomatológicos</w:t>
            </w:r>
          </w:p>
        </w:tc>
        <w:tc>
          <w:tcPr>
            <w:tcW w:type="dxa" w:w="85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w:t>
            </w:r>
          </w:p>
        </w:tc>
        <w:tc>
          <w:tcPr>
            <w:tcW w:type="dxa" w:w="42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w:t>
            </w:r>
          </w:p>
        </w:tc>
        <w:tc>
          <w:tcPr>
            <w:tcW w:type="dxa" w:w="6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56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288</w:t>
            </w:r>
          </w:p>
        </w:tc>
        <w:tc>
          <w:tcPr>
            <w:tcW w:type="dxa" w:w="6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5,0 %</w:t>
            </w:r>
          </w:p>
        </w:tc>
        <w:tc>
          <w:tcPr>
            <w:tcW w:type="dxa" w:w="10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198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381"/>
        <w:gridCol w:w="588"/>
        <w:gridCol w:w="1529"/>
        <w:gridCol w:w="764"/>
        <w:gridCol w:w="1999"/>
        <w:gridCol w:w="1764"/>
      </w:tblGrid>
      <w:tr>
        <w:trPr>
          <w:cantSplit/>
          <w:tblHeader/>
        </w:trPr>
        <w:tc>
          <w:tcPr>
            <w:tcW w:type="dxa" w:w="238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58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Incremento</w:t>
            </w:r>
          </w:p>
        </w:tc>
        <w:tc>
          <w:tcPr>
            <w:tcW w:type="dxa" w:w="152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de entrada (capacidad)</w:t>
            </w:r>
          </w:p>
        </w:tc>
        <w:tc>
          <w:tcPr>
            <w:tcW w:type="dxa" w:w="76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CAPEX del año</w:t>
            </w:r>
          </w:p>
        </w:tc>
        <w:tc>
          <w:tcPr>
            <w:tcW w:type="dxa" w:w="199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Depreciación desde el año de entrada</w:t>
            </w:r>
          </w:p>
        </w:tc>
        <w:tc>
          <w:tcPr>
            <w:tcW w:type="dxa" w:w="17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Vida útil / VNL al cierre</w:t>
            </w:r>
          </w:p>
        </w:tc>
      </w:tr>
      <w:tr>
        <w:trPr>
          <w:cantSplit/>
        </w:trPr>
        <w:tc>
          <w:tcPr>
            <w:tcW w:type="dxa" w:w="238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58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 uds.</w:t>
            </w:r>
          </w:p>
        </w:tc>
        <w:tc>
          <w:tcPr>
            <w:tcW w:type="dxa" w:w="152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w:t>
            </w:r>
          </w:p>
        </w:tc>
        <w:tc>
          <w:tcPr>
            <w:tcW w:type="dxa" w:w="76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111.450,0</w:t>
            </w:r>
          </w:p>
        </w:tc>
        <w:tc>
          <w:tcPr>
            <w:tcW w:type="dxa" w:w="199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11.145,0 kCUP/año desde el año 7</w:t>
            </w:r>
          </w:p>
        </w:tc>
        <w:tc>
          <w:tcPr>
            <w:tcW w:type="dxa" w:w="17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 (VNL al cierre: 66.870,0)</w:t>
            </w:r>
          </w:p>
        </w:tc>
      </w:tr>
    </w:tbl>
    <w:p>
      <w:pPr>
        <w:pStyle w:val="NotaTexto"/>
        <w:spacing w:after="60" w:before="60" w:line="276"/>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CUP; demanda vs. capacidad del escenario activo; canal de comercialización 4.8)</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2877"/>
        <w:gridCol w:w="852"/>
        <w:gridCol w:w="1065"/>
        <w:gridCol w:w="994"/>
        <w:gridCol w:w="1137"/>
        <w:gridCol w:w="639"/>
        <w:gridCol w:w="1634"/>
        <w:gridCol w:w="1208"/>
        <w:gridCol w:w="1989"/>
        <w:gridCol w:w="1563"/>
      </w:tblGrid>
      <w:tr>
        <w:trPr>
          <w:cantSplit/>
          <w:tblHeader/>
        </w:trPr>
        <w:tc>
          <w:tcPr>
            <w:tcW w:type="dxa" w:w="28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Servicio</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Precio unit.</w:t>
            </w:r>
          </w:p>
        </w:tc>
        <w:tc>
          <w:tcPr>
            <w:tcW w:type="dxa" w:w="10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Demanda mensual</w:t>
            </w:r>
          </w:p>
        </w:tc>
        <w:tc>
          <w:tcPr>
            <w:tcW w:type="dxa" w:w="99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Duración (min)</w:t>
            </w:r>
          </w:p>
        </w:tc>
        <w:tc>
          <w:tcPr>
            <w:tcW w:type="dxa" w:w="113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Recursos que usa</w:t>
            </w:r>
          </w:p>
        </w:tc>
        <w:tc>
          <w:tcPr>
            <w:tcW w:type="dxa" w:w="63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CVU</w:t>
            </w:r>
          </w:p>
        </w:tc>
        <w:tc>
          <w:tcPr>
            <w:tcW w:type="dxa" w:w="163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Cantidad realizable/mes</w:t>
            </w:r>
          </w:p>
        </w:tc>
        <w:tc>
          <w:tcPr>
            <w:tcW w:type="dxa" w:w="12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Capacidad mensual</w:t>
            </w:r>
          </w:p>
        </w:tc>
        <w:tc>
          <w:tcPr>
            <w:tcW w:type="dxa" w:w="198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156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Estado de la capacidad</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Consulta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18.575,0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1.824,0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Odontología preventiva (profilaxis y sellado)</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Restauraciones (obturaciones)</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1.216,0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Endodoncia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Periodoncia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1.094,4</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Cirugía oral</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Prótesis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91,2</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Exportación</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Ortodoncia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r>
        <w:trPr>
          <w:cantSplit/>
        </w:trPr>
        <w:tc>
          <w:tcPr>
            <w:tcW w:type="dxa" w:w="28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Imagenología dental</w:t>
            </w:r>
          </w:p>
        </w:tc>
        <w:tc>
          <w:tcPr>
            <w:tcW w:type="dxa" w:w="8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10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w:t>
            </w:r>
          </w:p>
        </w:tc>
        <w:tc>
          <w:tcPr>
            <w:tcW w:type="dxa" w:w="99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w:t>
            </w:r>
          </w:p>
        </w:tc>
        <w:tc>
          <w:tcPr>
            <w:tcW w:type="dxa" w:w="113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w:t>
            </w:r>
          </w:p>
        </w:tc>
        <w:tc>
          <w:tcPr>
            <w:tcW w:type="dxa" w:w="63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163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130,0</w:t>
            </w:r>
          </w:p>
        </w:tc>
        <w:tc>
          <w:tcPr>
            <w:tcW w:type="dxa" w:w="12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777,6</w:t>
            </w:r>
          </w:p>
        </w:tc>
        <w:tc>
          <w:tcPr>
            <w:tcW w:type="dxa" w:w="198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Plataformas (pagos exterior)</w:t>
            </w:r>
          </w:p>
        </w:tc>
        <w:tc>
          <w:tcPr>
            <w:tcW w:type="dxa" w:w="156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6388"/>
        <w:gridCol w:w="946"/>
        <w:gridCol w:w="946"/>
        <w:gridCol w:w="946"/>
        <w:gridCol w:w="946"/>
        <w:gridCol w:w="946"/>
        <w:gridCol w:w="946"/>
        <w:gridCol w:w="946"/>
        <w:gridCol w:w="946"/>
      </w:tblGrid>
      <w:tr>
        <w:trPr>
          <w:cantSplit/>
          <w:tblHeader/>
        </w:trPr>
        <w:tc>
          <w:tcPr>
            <w:tcW w:type="dxa" w:w="6388"/>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Recurso</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0</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2</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3</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5</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7</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Año 10</w:t>
            </w:r>
          </w:p>
        </w:tc>
        <w:tc>
          <w:tcPr>
            <w:tcW w:type="dxa" w:w="9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Máx.</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Gabinetes de atención (sillones)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25,9 %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47,6 %</w:t>
            </w:r>
          </w:p>
        </w:tc>
      </w:tr>
      <w:tr>
        <w:trPr>
          <w:cantSplit/>
        </w:trPr>
        <w:tc>
          <w:tcPr>
            <w:tcW w:type="dxa" w:w="6388"/>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Profesionales estomatológicos</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54 %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69 %</w:t>
            </w:r>
          </w:p>
        </w:tc>
        <w:tc>
          <w:tcPr>
            <w:tcW w:type="dxa" w:w="9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68,6 %</w:t>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719.075,4 miles de CUP. Las tres líneas principales («Restauraciones (obturaciones)» con 16,4 %, «Prótesis estomatológica» con 13,9 %, «Ortodoncia» con 13,4 %) concentran 43,6 % del ingreso, encabezadas por «Restauraciones (obturaciones)» con 117.691,2 miles de CUP. El margen de contribución del año 1 es 529.744,1 miles de CUP (73,7 % de los ingresos). La línea que más margen aporta es «Restauraciones (obturaciones)» (82.383,8 miles de CUP) y la que menos, «Odontología preventiva (profilaxis y sellado)» (35.664,0). Escenario activo: B (ampliación de capacidad). Las ampliaciones programadas en la tabla de recursos generan CAPEX en sus años de ejecución y amplían la capacidad disponible; el total de CAPEX de ampliaciones del horizonte es 111.450,0 miles de CUP.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485"/>
        <w:gridCol w:w="775"/>
        <w:gridCol w:w="886"/>
        <w:gridCol w:w="997"/>
        <w:gridCol w:w="1883"/>
      </w:tblGrid>
      <w:tr>
        <w:trPr>
          <w:cantSplit/>
          <w:tblHeader/>
        </w:trPr>
        <w:tc>
          <w:tcPr>
            <w:tcW w:type="dxa" w:w="448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7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Unidad</w:t>
            </w:r>
          </w:p>
        </w:tc>
        <w:tc>
          <w:tcPr>
            <w:tcW w:type="dxa" w:w="8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99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8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r>
        <w:trPr>
          <w:cantSplit/>
        </w:trPr>
        <w:tc>
          <w:tcPr>
            <w:tcW w:type="dxa" w:w="448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Residuos biomédicos (DYMED)</w:t>
            </w:r>
          </w:p>
        </w:tc>
        <w:tc>
          <w:tcPr>
            <w:tcW w:type="dxa" w:w="7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kg/mes</w:t>
            </w:r>
          </w:p>
        </w:tc>
        <w:tc>
          <w:tcPr>
            <w:tcW w:type="dxa" w:w="8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w:t>
            </w:r>
          </w:p>
        </w:tc>
        <w:tc>
          <w:tcPr>
            <w:tcW w:type="dxa" w:w="99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18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ficticio</w:t>
            </w:r>
          </w:p>
        </w:tc>
      </w:tr>
    </w:tbl>
    <w:p>
      <w:pPr>
        <w:pStyle w:val="Heading1"/>
        <w:pageBreakBefore/>
      </w:pPr>
      <w:bookmarkStart w:name="_Toc6" w:id="6"/>
      <w:r>
        <w:rPr>
          <w:rFonts w:ascii="Calibri" w:cs="Calibri" w:eastAsia="Calibri" w:hAnsi="Calibri"/>
          <w:b/>
          <w:bCs/>
          <w:color w:val="1E3A5F"/>
          <w:sz w:val="30"/>
          <w:szCs w:val="30"/>
        </w:rPr>
        <w:t xml:space="preserve">4.7  Análisis financiero</w:t>
      </w:r>
      <w:bookmarkEnd w:id="6"/>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260"/>
        <w:gridCol w:w="1818"/>
        <w:gridCol w:w="1948"/>
      </w:tblGrid>
      <w:tr>
        <w:trPr>
          <w:cantSplit/>
          <w:tblHeader/>
        </w:trPr>
        <w:tc>
          <w:tcPr>
            <w:tcW w:type="dxa" w:w="526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Componente</w:t>
            </w:r>
          </w:p>
        </w:tc>
        <w:tc>
          <w:tcPr>
            <w:tcW w:type="dxa" w:w="18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original</w:t>
            </w:r>
          </w:p>
        </w:tc>
        <w:tc>
          <w:tcPr>
            <w:tcW w:type="dxa" w:w="194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miles de CUP</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33.435,0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891.600,0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174.605,0</w:t>
            </w:r>
          </w:p>
        </w:tc>
      </w:tr>
      <w:tr>
        <w:trPr>
          <w:cantSplit/>
        </w:trPr>
        <w:tc>
          <w:tcPr>
            <w:tcW w:type="dxa" w:w="5260"/>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INVERSIÓN TOTAL</w:t>
            </w:r>
          </w:p>
        </w:tc>
        <w:tc>
          <w:tcPr>
            <w:tcW w:type="dxa" w:w="181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1.480,0 kUSD</w:t>
            </w:r>
          </w:p>
        </w:tc>
        <w:tc>
          <w:tcPr>
            <w:tcW w:type="dxa" w:w="194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bl>
    <w:p>
      <w:pPr>
        <w:pStyle w:val="NotaTexto"/>
        <w:spacing w:after="160" w:before="40"/>
      </w:pPr>
      <w:r>
        <w:rPr>
          <w:rFonts w:ascii="Calibri" w:cs="Calibri" w:eastAsia="Calibri" w:hAnsi="Calibri"/>
          <w:i/>
          <w:iCs/>
          <w:color w:val="64748B"/>
          <w:sz w:val="15"/>
          <w:szCs w:val="15"/>
        </w:rPr>
        <w:t xml:space="preserve">Nota. «Monto original»: moneda en que se factura cada partida; la columna equivalente convierte con el tipo de cambio parametrizado. No se suman monedas distintas sin convertir.</w:t>
      </w:r>
    </w:p>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CUP»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604"/>
        <w:gridCol w:w="2422"/>
      </w:tblGrid>
      <w:tr>
        <w:trPr>
          <w:cantSplit/>
          <w:tblHeader/>
        </w:trPr>
        <w:tc>
          <w:tcPr>
            <w:tcW w:type="dxa" w:w="660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Aportaciones de los socios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disponibles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Crédito externo</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6604"/>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Financiación disponible</w:t>
            </w:r>
          </w:p>
        </w:tc>
        <w:tc>
          <w:tcPr>
            <w:tcW w:type="dxa" w:w="242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r>
        <w:trPr>
          <w:cantSplit/>
        </w:trPr>
        <w:tc>
          <w:tcPr>
            <w:tcW w:type="dxa" w:w="6604"/>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de financiación</w:t>
            </w:r>
          </w:p>
        </w:tc>
        <w:tc>
          <w:tcPr>
            <w:tcW w:type="dxa" w:w="2422"/>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222.900,0</w:t>
            </w:r>
          </w:p>
        </w:tc>
      </w:tr>
      <w:tr>
        <w:trPr>
          <w:cantSplit/>
        </w:trPr>
        <w:tc>
          <w:tcPr>
            <w:tcW w:type="dxa" w:w="6604"/>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Diferencia (exceso/insuficiencia)</w:t>
            </w:r>
          </w:p>
        </w:tc>
        <w:tc>
          <w:tcPr>
            <w:tcW w:type="dxa" w:w="242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0,0</w:t>
            </w:r>
          </w:p>
        </w:tc>
      </w:tr>
    </w:tbl>
    <w:p>
      <w:pPr>
        <w:pStyle w:val="NotaTexto"/>
        <w:spacing w:after="160" w:before="40"/>
      </w:pPr>
      <w:r>
        <w:rPr>
          <w:rFonts w:ascii="Calibri" w:cs="Calibri" w:eastAsia="Calibri" w:hAnsi="Calibri"/>
          <w:i/>
          <w:iCs/>
          <w:color w:val="64748B"/>
          <w:sz w:val="15"/>
          <w:szCs w:val="15"/>
        </w:rPr>
        <w:t xml:space="preserve">Nota. Conciliación TOTAL del proyecto (comprometido para todo el horizonte); la dimensión temporal se controla en la tabla siguiente.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1.099.640,0 miles de CUP, compuesta por gastos previos de 33.435,0 (3,0 %), inversión fija de 891.600,0 (81,1 %) y capital de trabajo inicial de 174.605,0 (15,9 %). Las partidas de mayor peso son «Equipamiento clínico (5 sillones e instrumental)» (520,0 USD), «Equipos de imagenología dental (2)» (180,0 USD), «Adecuación y montaje de instalaciones» (180,0 USD). Las fuentes disponibles suman 1.099.640,0 miles de CUP (aportaciones 876.740,0, otras fuentes 0,0, crédito 222.900,0). La necesidad de financiación (inversión menos aportaciones y otras fuentes) es 222.900,0 kCUP,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876.740,0 kCUP; año 1 (operación): 0,0 kCUP; año 2 (operación): 0,0 kCUP. Cobertura temporal: las fuentes COMPROMETIDAS para todo el proyecto suman 1.099.640,0 kCUP, pero las disponibles con desembolso efectivo en el año 0 suman 1.099.640,0 kCUP (aportaciones con vencimiento en el año 0 876.740,0; principal del crédito desembolsado en el año 0 (222.900,0)). El control por período exige que cada necesidad esté cubierta el año en que se produce, no en el agregado del horizonte. DÉFICIT TEMPORAL de tesorería en: año 0 (faltan 576,0 kCUP; cubiertas desde el año 1). Además, la financiación total comprometida no cubre la necesidad total: el problema es de cuantía Y de calendario. Reprograme los desembolsos, amplíe el capital de trabajo o declare el supuesto. Conciliación del desembolso inicial: la inversión total (1.099.640,0 kCUP) más las salidas de caja del año 0 explícitamente identificadas (nómina de montaje 576,0: total 576,0 kCUP; gastos de la fase de montaje del año 0 registrados como gasto del período, no capitalizables y NO incluidos en la inversión total — el capital de trabajo ya está dentro de la inversión total y no se duplica) exigen una necesidad total de arranque de 1.100.216,0 kCUP; las fuentes con desembolso efectivo en el año 0 suman 1.099.640,0 kCUP, de modo que queda una BRECHA TEMPORAL de 576,0 kCUP que debe financiarse (mayor capital de trabajo, aporte anticipado o crédito con desembolso en el año 0) o declararse expresamente como supuesto pendiente (la brecha según el total nominal comprometido es 576,0 kCUP: ni siquiera el agregado del horizonte cubre la necesidad). El gasto del año 0 se cuantifica desde partidas de salida de caja explícitas e inventariadas — nómina de montaje, interés pagado según el calendario de deuda e impuesto devengado con su estado de pago declarado —, no desde el resultado contable después de impuestos. Los desembolsos del año 0 y del año 1 conservan el mismo significado en todas las tablas.</w:t>
      </w:r>
    </w:p>
    <w:p>
      <w:pPr>
        <w:pStyle w:val="NotaTabla"/>
        <w:keepNext/>
        <w:keepLines/>
        <w:spacing w:after="80" w:before="200"/>
      </w:pPr>
      <w:r>
        <w:rPr>
          <w:rFonts w:ascii="Calibri" w:cs="Calibri" w:eastAsia="Calibri" w:hAnsi="Calibri"/>
          <w:b/>
          <w:bCs/>
          <w:color w:val="1E3A5F"/>
          <w:sz w:val="18"/>
          <w:szCs w:val="18"/>
        </w:rPr>
        <w:t xml:space="preserve">Tabla 12. Cobertura temporal de la financiación y tesorería proyectada (miles de CUP; fuentes comprometidas para todo el proyecto: 1.099.640,0 kCUP)</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225"/>
        <w:gridCol w:w="1210"/>
        <w:gridCol w:w="786"/>
        <w:gridCol w:w="1210"/>
        <w:gridCol w:w="1149"/>
        <w:gridCol w:w="1391"/>
        <w:gridCol w:w="1149"/>
        <w:gridCol w:w="907"/>
      </w:tblGrid>
      <w:tr>
        <w:trPr>
          <w:cantSplit/>
          <w:tblHeader/>
        </w:trPr>
        <w:tc>
          <w:tcPr>
            <w:tcW w:type="dxa" w:w="122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Aportaciones del año</w:t>
            </w:r>
          </w:p>
        </w:tc>
        <w:tc>
          <w:tcPr>
            <w:tcW w:type="dxa" w:w="78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Otras fuentes</w:t>
            </w:r>
          </w:p>
        </w:tc>
        <w:tc>
          <w:tcPr>
            <w:tcW w:type="dxa" w:w="12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Crédito (desembolso)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Fuentes del período</w:t>
            </w:r>
          </w:p>
        </w:tc>
        <w:tc>
          <w:tcPr>
            <w:tcW w:type="dxa" w:w="139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Necesidades del período</w:t>
            </w:r>
          </w:p>
        </w:tc>
        <w:tc>
          <w:tcPr>
            <w:tcW w:type="dxa" w:w="114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Cobertura acumulada</w:t>
            </w:r>
          </w:p>
        </w:tc>
        <w:tc>
          <w:tcPr>
            <w:tcW w:type="dxa" w:w="9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Caja proyectada</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 (montaje)</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1.100.216,0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273.280,3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526.925,3</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809.140,1</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876.740,0</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875.086,4</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943.975,9</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111.450,0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990.619,8</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1.171.021,9</w:t>
            </w:r>
          </w:p>
        </w:tc>
      </w:tr>
      <w:tr>
        <w:trPr>
          <w:cantSplit/>
        </w:trPr>
        <w:tc>
          <w:tcPr>
            <w:tcW w:type="dxa" w:w="122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-112.026,0</w:t>
            </w:r>
          </w:p>
        </w:tc>
        <w:tc>
          <w:tcPr>
            <w:tcW w:type="dxa" w:w="90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1.360.607,1</w:t>
            </w:r>
          </w:p>
        </w:tc>
      </w:tr>
      <w:tr>
        <w:trPr>
          <w:cantSplit/>
        </w:trPr>
        <w:tc>
          <w:tcPr>
            <w:tcW w:type="dxa" w:w="122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9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4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-112.026,0</w:t>
            </w:r>
          </w:p>
        </w:tc>
        <w:tc>
          <w:tcPr>
            <w:tcW w:type="dxa" w:w="90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1.561.683,9</w:t>
            </w:r>
          </w:p>
        </w:tc>
      </w:tr>
    </w:tbl>
    <w:p>
      <w:pPr>
        <w:pStyle w:val="NotaTexto"/>
        <w:spacing w:after="60" w:before="60" w:line="276"/>
        <w:jc w:val="both"/>
      </w:pPr>
      <w:r>
        <w:rPr>
          <w:rFonts w:ascii="Calibri" w:cs="Calibri" w:eastAsia="Calibri" w:hAnsi="Calibri"/>
          <w:color w:val="334155"/>
          <w:sz w:val="16"/>
          <w:szCs w:val="16"/>
        </w:rPr>
        <w:t xml:space="preserve">Dos vistas complementarias: «Cobertura acumulada» = fuentes acumuladas - necesidades acumuladas de inversión y arranque (detecta desembolsos tardíos); «Caja proyectada» = tesorería con los flujos operativos, el servicio de la deuda y los dividendos (aportaciones fechadas + otras fuentes + desembolsos del crédito + FCFE sin el principal - dividendos; en el año 0 ambas vistas coinciden). Las «otras fuentes» no declaran fecha: se suponen disponibles en el año 0 (supuesto documentado). Necesidades: año 0 = inversión total + salidas de caja no capitalizables del arranque; años posteriores = CAPEX de ampliaciones. Déficits de tesorería: año 0: faltan 576,0 kCUP (cubiertas desde el año 1). El impuesto se toma como devengado pagado en el mismo período (supuesto del modelo simplificado, no un pago verificado).</w:t>
      </w:r>
    </w:p>
    <w:p>
      <w:pPr>
        <w:pStyle w:val="NotaTexto"/>
        <w:spacing w:after="60" w:before="60" w:line="276"/>
        <w:jc w:val="both"/>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13. Calendario financiero de la deuda (miles de CUP): saldo final = saldo inicial + desembolso + capitalización - amortización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177"/>
        <w:gridCol w:w="1620"/>
        <w:gridCol w:w="1246"/>
        <w:gridCol w:w="2118"/>
        <w:gridCol w:w="1495"/>
        <w:gridCol w:w="1370"/>
      </w:tblGrid>
      <w:tr>
        <w:trPr>
          <w:cantSplit/>
          <w:tblHeader/>
        </w:trPr>
        <w:tc>
          <w:tcPr>
            <w:tcW w:type="dxa" w:w="117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162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inicial</w:t>
            </w:r>
          </w:p>
        </w:tc>
        <w:tc>
          <w:tcPr>
            <w:tcW w:type="dxa" w:w="12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Desembolso</w:t>
            </w:r>
          </w:p>
        </w:tc>
        <w:tc>
          <w:tcPr>
            <w:tcW w:type="dxa" w:w="211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Interés devengado</w:t>
            </w:r>
          </w:p>
        </w:tc>
        <w:tc>
          <w:tcPr>
            <w:tcW w:type="dxa" w:w="149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Amortización</w:t>
            </w:r>
          </w:p>
        </w:tc>
        <w:tc>
          <w:tcPr>
            <w:tcW w:type="dxa" w:w="137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final</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17.832,0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222.900,0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17.832,0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178.320,0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178.320,0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14.265,6</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10.699,2</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89.160,0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89.160,0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7.132,8</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3.566,4</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162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117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162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211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49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37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bl>
    <w:p>
      <w:pPr>
        <w:sectPr>
          <w:headerReference w:type="default" r:id="rId12"/>
          <w:footerReference w:type="default" r:id="rId13"/>
          <w:pgSz w:w="11906" w:h="16838" w:orient="portrait"/>
          <w:pgMar w:top="1440" w:right="1440" w:bottom="1440" w:left="1440" w:header="708" w:footer="708" w:gutter="0"/>
          <w:pgNumType/>
          <w:docGrid w:linePitch="360"/>
        </w:sectPr>
      </w:pPr>
    </w:p>
    <w:p>
      <w:pPr>
        <w:pStyle w:val="NotaTabla"/>
        <w:keepNext/>
        <w:keepLines/>
        <w:spacing w:after="80" w:before="200"/>
      </w:pPr>
      <w:r>
        <w:rPr>
          <w:rFonts w:ascii="Calibri" w:cs="Calibri" w:eastAsia="Calibri" w:hAnsi="Calibri"/>
          <w:b/>
          <w:bCs/>
          <w:color w:val="1E3A5F"/>
          <w:sz w:val="18"/>
          <w:szCs w:val="18"/>
        </w:rPr>
        <w:t xml:space="preserve">Tabla 14. Depreciación por activo (kCUP; por activo, limitada al importe depreciable; años de muestra y extremos)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807"/>
        <w:gridCol w:w="2162"/>
        <w:gridCol w:w="846"/>
        <w:gridCol w:w="1034"/>
        <w:gridCol w:w="752"/>
        <w:gridCol w:w="752"/>
        <w:gridCol w:w="752"/>
        <w:gridCol w:w="752"/>
        <w:gridCol w:w="752"/>
        <w:gridCol w:w="752"/>
        <w:gridCol w:w="846"/>
        <w:gridCol w:w="752"/>
      </w:tblGrid>
      <w:tr>
        <w:trPr>
          <w:cantSplit/>
          <w:tblHeader/>
        </w:trPr>
        <w:tc>
          <w:tcPr>
            <w:tcW w:type="dxa" w:w="380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Activo</w:t>
            </w:r>
          </w:p>
        </w:tc>
        <w:tc>
          <w:tcPr>
            <w:tcW w:type="dxa" w:w="21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Base depreciable (kCUP)</w:t>
            </w:r>
          </w:p>
        </w:tc>
        <w:tc>
          <w:tcPr>
            <w:tcW w:type="dxa" w:w="8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Vida útil</w:t>
            </w:r>
          </w:p>
        </w:tc>
        <w:tc>
          <w:tcPr>
            <w:tcW w:type="dxa" w:w="103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Disp. desde</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Residual</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846"/>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Acumulada</w:t>
            </w:r>
          </w:p>
        </w:tc>
        <w:tc>
          <w:tcPr>
            <w:tcW w:type="dxa" w:w="7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VNL</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clínico (5 sillones e instrumental)</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386.360,0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Equipos de imagenología dental (2)</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Laboratorio de prótesis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70.585,0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Equipamiento de esterilización y compresores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63.155,0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Mobiliario clínico y de oficina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Informática y software de gestión clínica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26.005,0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Adecuación y montaje de instalaciones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Vehículos (ver desglose)</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0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Ampliación de Gabinetes de atención (sillones) (+2 uds., año 7)</w:t>
            </w:r>
          </w:p>
        </w:tc>
        <w:tc>
          <w:tcPr>
            <w:tcW w:type="dxa" w:w="21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111.450,0</w:t>
            </w:r>
          </w:p>
        </w:tc>
        <w:tc>
          <w:tcPr>
            <w:tcW w:type="dxa" w:w="8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c>
          <w:tcPr>
            <w:tcW w:type="dxa" w:w="103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11.145,0</w:t>
            </w:r>
          </w:p>
        </w:tc>
        <w:tc>
          <w:tcPr>
            <w:tcW w:type="dxa" w:w="846"/>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66.870,0</w:t>
            </w:r>
          </w:p>
        </w:tc>
      </w:tr>
    </w:tbl>
    <w:p>
      <w:pPr>
        <w:sectPr>
          <w:headerReference w:type="default" r:id="rId14"/>
          <w:footerReference w:type="default" r:id="rId15"/>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16"/>
          <w:footerReference w:type="default" r:id="rId17"/>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222.900,0 miles de CUP se desembolsa en el año 0 con tasa del 8,0 %, gracia de 1 año(s) de tipo de principal (los intereses se pagan corriente) y amortización por capital constante en 5 anualidades. A lo largo del horizonte se devengan 71.328,0 miles de CUP de intereses y se amortizan 222.900,0; el saldo pendiente al cierre del horizonte es 0,0 kCUP. La tabla de deuda verifica saldo final = saldo inicial + desembolso + capitalización - amortización en cada período y ningún período amortiza por encima del saldo. El servicio máximo de la deuda (interés pagado + amortización) es 62.412,0 kCUP en el año 2: compárelo con el flujo de caja del proyecto del mismo año (309.815,8 kCUP) para valorar el margen de cobertura. Los flujos del proyecto reincorporan el interés DESPUÉS DE IMPUESTOS: del interés devengado total (71.328,0 kCUP), el escudo fiscal deducido del impuesto asciende a 24.964,8 kCUP y solo 46.363,2 kCUP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87.023,9 miles de CUP en el año 1 y alcanza su máximo (92.967,9) en el año 7; cada activo deprecia desde su año de disponibilidad, respeta su vida útil y nunca supera su importe depreciable. 2 activo(s) quedan con valor neto en libros al final del horizonte (p. ej. «Adecuación y montaje de instalaciones» con 66.870,0 kCUP):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15. Proyección de ingresos, costos y utilidades (miles de CUP)</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375"/>
        <w:gridCol w:w="500"/>
        <w:gridCol w:w="750"/>
        <w:gridCol w:w="750"/>
        <w:gridCol w:w="750"/>
        <w:gridCol w:w="750"/>
        <w:gridCol w:w="750"/>
        <w:gridCol w:w="750"/>
        <w:gridCol w:w="917"/>
        <w:gridCol w:w="917"/>
        <w:gridCol w:w="917"/>
        <w:gridCol w:w="917"/>
        <w:gridCol w:w="917"/>
        <w:gridCol w:w="1000"/>
      </w:tblGrid>
      <w:tr>
        <w:trPr>
          <w:cantSplit/>
          <w:tblHeader/>
        </w:trPr>
        <w:tc>
          <w:tcPr>
            <w:tcW w:type="dxa" w:w="3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Unidad</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75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91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por servicios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719.075,4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777.680,0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841.061,0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909.607,4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983.740,4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1.063.915,3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1.150.624,4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1.244.400,3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1.345.818,9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1.455.503,1</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INGRESOS TOTALES</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0,0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719.075,4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777.680,0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841.061,0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909.607,4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983.740,4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1.063.915,3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1.150.624,4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1.244.400,3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1.345.818,9</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1.455.503,1</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Costos variables (materiales y consumibles)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189.331,3</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206.749,7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225.770,7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246.541,6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269.223,4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293.992,0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321.039,3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350.574,9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382.827,8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418.047,9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2.904.098,6</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Costo de la fuerza de trabajo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16.077,6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16.881,5</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17.725,6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18.611,8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19.542,4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20.519,5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21.545,5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22.622,8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23.753,9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193.168,7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(arrendamiento)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267.480,0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(agua, electricidad, portadores)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297.200,0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35.953,8</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38.884,0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42.053,0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45.480,4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49.187,0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53.195,8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57.531,2</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62.220,0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67.290,9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72.775,2</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524.571,3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74.300,0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Depreciación</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87.023,9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81.822,9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83.216,0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83.216,0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869.310,0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Intereses del crédito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14.265,6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10.699,2</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3.566,4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71.328,0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COSTOS Y GASTOS TOTALES</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431.640,9</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452.755,2</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472.182,7</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493.658,6</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517.367,0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538.307,5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578.245,9</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613.496,3</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642.145,5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683.981,0</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5.424.356,6</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ANTES DE IMPUESTOS (1-2)</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287.434,5</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324.924,8</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368.878,3</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415.948,8</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466.373,5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525.607,8</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572.378,5</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630.904,0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703.673,4</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771.522,1</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5.067.069,7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100.602,1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113.723,7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129.107,4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145.582,1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163.230,7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183.962,7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200.332,5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220.816,4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246.285,7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270.032,7</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1.773.676,0</w:t>
            </w:r>
          </w:p>
        </w:tc>
      </w:tr>
      <w:tr>
        <w:trPr>
          <w:cantSplit/>
        </w:trPr>
        <w:tc>
          <w:tcPr>
            <w:tcW w:type="dxa" w:w="337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UTILIDAD DESPUÉS DE IMPUESTOS (3-4)</w:t>
            </w:r>
          </w:p>
        </w:tc>
        <w:tc>
          <w:tcPr>
            <w:tcW w:type="dxa" w:w="500"/>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kCUP</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186.832,4</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211.201,1</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239.770,9</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270.366,7</w:t>
            </w:r>
          </w:p>
        </w:tc>
        <w:tc>
          <w:tcPr>
            <w:tcW w:type="dxa" w:w="75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303.142,8</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341.645,1</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372.046,0</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410.087,6</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457.387,7</w:t>
            </w:r>
          </w:p>
        </w:tc>
        <w:tc>
          <w:tcPr>
            <w:tcW w:type="dxa" w:w="91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501.489,4</w:t>
            </w:r>
          </w:p>
        </w:tc>
        <w:tc>
          <w:tcPr>
            <w:tcW w:type="dxa" w:w="1000"/>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3.293.393,7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Amortización del principal del crédito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de la deuda al cierre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178.320,0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r>
        <w:trPr>
          <w:cantSplit/>
        </w:trPr>
        <w:tc>
          <w:tcPr>
            <w:tcW w:type="dxa" w:w="3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pagables (memoria; no es gasto)</w:t>
            </w:r>
          </w:p>
        </w:tc>
        <w:tc>
          <w:tcPr>
            <w:tcW w:type="dxa" w:w="5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kCUP</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75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347.240,3</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309.998,4</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306.920,0</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322.653,4</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351.018,5</w:t>
            </w:r>
          </w:p>
        </w:tc>
        <w:tc>
          <w:tcPr>
            <w:tcW w:type="dxa" w:w="91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383.628,5</w:t>
            </w:r>
          </w:p>
        </w:tc>
        <w:tc>
          <w:tcPr>
            <w:tcW w:type="dxa" w:w="10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
            </w:r>
          </w:p>
        </w:tc>
      </w:tr>
    </w:tbl>
    <w:p>
      <w:pPr>
        <w:sectPr>
          <w:headerReference w:type="default" r:id="rId18"/>
          <w:footerReference w:type="default" r:id="rId19"/>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719.075,4 miles de CUP en el año 1 a 1.455.503,1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87.023,9 miles de CUP: es un gasto contable que no representa salida de caja. Con la regla tributaria activa (tasa parametrizada de 35,0 %, supuesto de demostración), el impuesto del año 1 es 100.602,1 miles de CUP y la utilidad después de impuestos 186.832,4 (26,0 % de margen neto). La utilidad antes de impuestos mejora de 287.434,5 (año 1) a 771.522,1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CUP (kCUP).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cup (kcup);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7" w:id="7"/>
      <w:r>
        <w:rPr>
          <w:rFonts w:ascii="Calibri" w:cs="Calibri" w:eastAsia="Calibri" w:hAnsi="Calibri"/>
          <w:b/>
          <w:bCs/>
          <w:color w:val="1E3A5F"/>
          <w:sz w:val="30"/>
          <w:szCs w:val="30"/>
        </w:rPr>
        <w:t xml:space="preserve">4.7.1  Flujos de caja y recuperación de la inversión</w:t>
      </w:r>
      <w:bookmarkEnd w:id="7"/>
    </w:p>
    <w:p>
      <w:pPr>
        <w:pStyle w:val="NotaTexto"/>
        <w:spacing w:after="60" w:before="60" w:line="276"/>
        <w:jc w:val="both"/>
        <w:sectPr>
          <w:headerReference w:type="default" r:id="rId20"/>
          <w:footerReference w:type="default" r:id="rId21"/>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16. Flujos de caja del proyecto y de los socios (miles de CUP; con el escudo fiscal del interés después de impuestos)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635"/>
        <w:gridCol w:w="1077"/>
        <w:gridCol w:w="898"/>
        <w:gridCol w:w="898"/>
        <w:gridCol w:w="898"/>
        <w:gridCol w:w="808"/>
        <w:gridCol w:w="808"/>
        <w:gridCol w:w="987"/>
        <w:gridCol w:w="987"/>
        <w:gridCol w:w="987"/>
        <w:gridCol w:w="987"/>
        <w:gridCol w:w="987"/>
      </w:tblGrid>
      <w:tr>
        <w:trPr>
          <w:cantSplit/>
          <w:tblHeader/>
        </w:trPr>
        <w:tc>
          <w:tcPr>
            <w:tcW w:type="dxa" w:w="36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Concepto (kCUP)</w:t>
            </w:r>
          </w:p>
        </w:tc>
        <w:tc>
          <w:tcPr>
            <w:tcW w:type="dxa" w:w="107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0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9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r>
      <w:tr>
        <w:trPr>
          <w:cantSplit/>
        </w:trPr>
        <w:tc>
          <w:tcPr>
            <w:tcW w:type="dxa" w:w="363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del PROYECTO (FCFF)</w:t>
            </w:r>
          </w:p>
        </w:tc>
        <w:tc>
          <w:tcPr>
            <w:tcW w:type="dxa" w:w="107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-1.100.216,0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285.447,1</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309.815,8</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336.067,4</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364.345,1</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394.802,9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425.786,1</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353.563,9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503.055,5</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540.603,7</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del proyecto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195.459,4</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590.262,3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1.016.048,5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1.369.612,3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1.872.667,8</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2.413.271,5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2.997.976,9</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(inversión total)</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Escudo fiscal del interés devengado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4.993,0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3.744,7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2.496,5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1.248,2</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635"/>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Flujo de los SOCIOS (FCFE)</w:t>
            </w:r>
          </w:p>
        </w:tc>
        <w:tc>
          <w:tcPr>
            <w:tcW w:type="dxa" w:w="107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-877.316,0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273.856,3</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253.645,0</w:t>
            </w:r>
          </w:p>
        </w:tc>
        <w:tc>
          <w:tcPr>
            <w:tcW w:type="dxa" w:w="89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282.214,7</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312.810,6</w:t>
            </w:r>
          </w:p>
        </w:tc>
        <w:tc>
          <w:tcPr>
            <w:tcW w:type="dxa" w:w="808"/>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345.586,6</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378.888,0</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353.563,9</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503.055,5</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540.603,7</w:t>
            </w:r>
          </w:p>
        </w:tc>
        <w:tc>
          <w:tcPr>
            <w:tcW w:type="dxa" w:w="987"/>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Flujo acumulado de los socios</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-877.316,0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-603.459,7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-349.814,7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-67.599,9</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245.210,7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590.797,3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969.685,3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1.323.249,1</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1.826.304,6</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2.366.908,3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2.951.613,7</w:t>
            </w:r>
          </w:p>
        </w:tc>
      </w:tr>
      <w:tr>
        <w:trPr>
          <w:cantSplit/>
        </w:trPr>
        <w:tc>
          <w:tcPr>
            <w:tcW w:type="dxa" w:w="36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Saldo pendiente de recuperar (capital aportado)</w:t>
            </w:r>
          </w:p>
        </w:tc>
        <w:tc>
          <w:tcPr>
            <w:tcW w:type="dxa" w:w="107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877.316,0</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603.459,7</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349.814,7</w:t>
            </w:r>
          </w:p>
        </w:tc>
        <w:tc>
          <w:tcPr>
            <w:tcW w:type="dxa" w:w="89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67.599,9</w:t>
            </w:r>
          </w:p>
        </w:tc>
        <w:tc>
          <w:tcPr>
            <w:tcW w:type="dxa" w:w="8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08"/>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9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sectPr>
          <w:headerReference w:type="default" r:id="rId22"/>
          <w:footerReference w:type="default" r:id="rId23"/>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Lectura de la tabla (mismos valores, sin recálculo): el flujo del proyecto solo es negativo en el año 0 (-1.100.216,0); el acumulado del proyecto cruza de negativo a positivo durante el año 4 y el saldo pendiente de la inversión total llega a 0,0 en el año 4; el saldo del capital aportado se agota en el año 4. El escudo fiscal del interés devengado acompaña la vida del crédito y su máximo anual es 6.241,2.</w:t>
      </w: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CUP (kCUP).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cup (kcup).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1.099.640,0 kCUP se recupera en 3,5 años (cruce del acumulado en el año 4; interpolación lineal: (t-1) + |acumulado anterior| / (acumulado actual - acumulado anterior)). El saldo pendiente de recuperar al final del año 3 era 168.885,7 kCUP. El capital aportado por los socios (876.740,0 kCUP) se recupera en 3,2 años (cruce en el año 4), más temprana que la recuperación de la inversión total: la diferencia procede del crédito (desembolsos) y de su servicio (intereses y amortizaciones). Las ampliaciones de capacidad del escenario B añaden 111.450,0 miles de CUP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17. Módulo de dividendos (kCUP): base distribuible, reserva, propuestos y PAGABLES limitados por caja (participación de CADA socio)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745"/>
        <w:gridCol w:w="710"/>
        <w:gridCol w:w="710"/>
        <w:gridCol w:w="631"/>
        <w:gridCol w:w="789"/>
        <w:gridCol w:w="1104"/>
        <w:gridCol w:w="710"/>
        <w:gridCol w:w="1104"/>
        <w:gridCol w:w="1262"/>
        <w:gridCol w:w="1262"/>
      </w:tblGrid>
      <w:tr>
        <w:trPr>
          <w:cantSplit/>
          <w:tblHeader/>
        </w:trPr>
        <w:tc>
          <w:tcPr>
            <w:tcW w:type="dxa" w:w="74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Período</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UDI</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Base</w:t>
            </w:r>
          </w:p>
        </w:tc>
        <w:tc>
          <w:tcPr>
            <w:tcW w:type="dxa" w:w="63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Reserva</w:t>
            </w:r>
          </w:p>
        </w:tc>
        <w:tc>
          <w:tcPr>
            <w:tcW w:type="dxa" w:w="78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Propuestos</w:t>
            </w:r>
          </w:p>
        </w:tc>
        <w:tc>
          <w:tcPr>
            <w:tcW w:type="dxa" w:w="11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Caja acumulada</w:t>
            </w:r>
          </w:p>
        </w:tc>
        <w:tc>
          <w:tcPr>
            <w:tcW w:type="dxa" w:w="71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Pagables</w:t>
            </w:r>
          </w:p>
        </w:tc>
        <w:tc>
          <w:tcPr>
            <w:tcW w:type="dxa" w:w="110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Socio nacional</w:t>
            </w:r>
          </w:p>
        </w:tc>
        <w:tc>
          <w:tcPr>
            <w:tcW w:type="dxa" w:w="12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Socio extranjero</w:t>
            </w:r>
          </w:p>
        </w:tc>
        <w:tc>
          <w:tcPr>
            <w:tcW w:type="dxa" w:w="126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Saldo acumulable</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-877.316,0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186.832,4</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186.256,4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18.625,6</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83.815,4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-603.459,7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167.630,8</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2</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211.201,1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378.831,9</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37.883,2</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170.474,4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-349.814,7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340.948,7</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239.770,9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580.719,6</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58.072,0</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261.323,8</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-67.599,9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522.647,6</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4</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270.366,7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793.014,4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79.301,4</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356.856,5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245.210,7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245.210,7</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98.084,3</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147.126,4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468.502,3</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5</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303.142,8</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771.645,0</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77.164,5</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347.240,3</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590.797,3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347.240,3</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138.896,1</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208.344,2</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347.240,3</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341.645,1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688.885,3</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68.888,5</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309.998,4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969.685,3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309.998,4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123.999,4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185.999,0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309.998,4</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372.046,0</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682.044,4</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68.204,4</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306.920,0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1.323.249,1</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306.920,0</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122.768,0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184.152,0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306.920,0</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8</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410.087,6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717.007,6</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71.700,8</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322.653,4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1.826.304,6</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322.653,4</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129.061,4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193.592,0</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322.653,4</w:t>
            </w:r>
          </w:p>
        </w:tc>
      </w:tr>
      <w:tr>
        <w:trPr>
          <w:cantSplit/>
        </w:trPr>
        <w:tc>
          <w:tcPr>
            <w:tcW w:type="dxa" w:w="74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9</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457.387,7</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780.041,1</w:t>
            </w:r>
          </w:p>
        </w:tc>
        <w:tc>
          <w:tcPr>
            <w:tcW w:type="dxa" w:w="631"/>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78.004,1</w:t>
            </w:r>
          </w:p>
        </w:tc>
        <w:tc>
          <w:tcPr>
            <w:tcW w:type="dxa" w:w="78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351.018,5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2.366.908,3</w:t>
            </w:r>
          </w:p>
        </w:tc>
        <w:tc>
          <w:tcPr>
            <w:tcW w:type="dxa" w:w="71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351.018,5</w:t>
            </w:r>
          </w:p>
        </w:tc>
        <w:tc>
          <w:tcPr>
            <w:tcW w:type="dxa" w:w="110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140.407,4</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210.611,1</w:t>
            </w:r>
          </w:p>
        </w:tc>
        <w:tc>
          <w:tcPr>
            <w:tcW w:type="dxa" w:w="126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351.018,5</w:t>
            </w:r>
          </w:p>
        </w:tc>
      </w:tr>
      <w:tr>
        <w:trPr>
          <w:cantSplit/>
        </w:trPr>
        <w:tc>
          <w:tcPr>
            <w:tcW w:type="dxa" w:w="74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Año 10</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501.489,4</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852.507,9</w:t>
            </w:r>
          </w:p>
        </w:tc>
        <w:tc>
          <w:tcPr>
            <w:tcW w:type="dxa" w:w="631"/>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85.250,8</w:t>
            </w:r>
          </w:p>
        </w:tc>
        <w:tc>
          <w:tcPr>
            <w:tcW w:type="dxa" w:w="78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383.628,5</w:t>
            </w:r>
          </w:p>
        </w:tc>
        <w:tc>
          <w:tcPr>
            <w:tcW w:type="dxa" w:w="11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2.951.613,7</w:t>
            </w:r>
          </w:p>
        </w:tc>
        <w:tc>
          <w:tcPr>
            <w:tcW w:type="dxa" w:w="71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383.628,5</w:t>
            </w:r>
          </w:p>
        </w:tc>
        <w:tc>
          <w:tcPr>
            <w:tcW w:type="dxa" w:w="110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153.451,4</w:t>
            </w:r>
          </w:p>
        </w:tc>
        <w:tc>
          <w:tcPr>
            <w:tcW w:type="dxa" w:w="12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230.177,1</w:t>
            </w:r>
          </w:p>
        </w:tc>
        <w:tc>
          <w:tcPr>
            <w:tcW w:type="dxa" w:w="126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383.628,5</w:t>
            </w:r>
          </w:p>
        </w:tc>
      </w:tr>
    </w:tbl>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8" w:id="8"/>
      <w:r>
        <w:rPr>
          <w:rFonts w:ascii="Calibri" w:cs="Calibri" w:eastAsia="Calibri" w:hAnsi="Calibri"/>
          <w:b/>
          <w:bCs/>
          <w:color w:val="1E3A5F"/>
          <w:sz w:val="30"/>
          <w:szCs w:val="30"/>
        </w:rPr>
        <w:t xml:space="preserve">4.8  Análisis o caracterización del mercado</w:t>
      </w:r>
      <w:bookmarkEnd w:id="8"/>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sectPr>
          <w:headerReference w:type="default" r:id="rId24"/>
          <w:footerReference w:type="default" r:id="rId25"/>
          <w:pgSz w:w="11906" w:h="16838" w:orient="portrait"/>
          <w:pgMar w:top="1440" w:right="1440" w:bottom="1440" w:left="1440" w:header="708" w:footer="708" w:gutter="0"/>
          <w:pgNumType/>
          <w:docGrid w:linePitch="360"/>
        </w:sectPr>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18. Proyección de ingresos por canal de comercialización (miles de CUP; metodología 4.8: exportaciones / plataformas con pagos desde el exterior / ventas en plaza, sin duplicar operaciones)</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707"/>
        <w:gridCol w:w="824"/>
        <w:gridCol w:w="824"/>
        <w:gridCol w:w="824"/>
        <w:gridCol w:w="824"/>
        <w:gridCol w:w="824"/>
        <w:gridCol w:w="1007"/>
        <w:gridCol w:w="1007"/>
        <w:gridCol w:w="1007"/>
        <w:gridCol w:w="1007"/>
        <w:gridCol w:w="1007"/>
        <w:gridCol w:w="1098"/>
      </w:tblGrid>
      <w:tr>
        <w:trPr>
          <w:cantSplit/>
          <w:tblHeader/>
        </w:trPr>
        <w:tc>
          <w:tcPr>
            <w:tcW w:type="dxa" w:w="370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Canal</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2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100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9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Exportaciones</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99.859,2</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107.997,7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116.799,5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126.318,7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136.613,7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147.747,7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159.789,1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172.811,9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186.896,1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202.128,1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1.456.961,9</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plataformas con pagos desde el exterior</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52.158,6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56.409,5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61.006,9</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65.979,0</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71.356,3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77.171,8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83.461,3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90.263,4</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97.619,8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105.575,9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761.002,4</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Ventas en plaza</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567.057,6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613.272,8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663.254,5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717.309,8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775.770,5</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838.995,8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907.374,0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981.325,0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1.061.302,9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1.147.799,1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8.273.462,0</w:t>
            </w:r>
          </w:p>
        </w:tc>
      </w:tr>
      <w:tr>
        <w:trPr>
          <w:cantSplit/>
        </w:trPr>
        <w:tc>
          <w:tcPr>
            <w:tcW w:type="dxa" w:w="3707"/>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719.075,4</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777.680,0</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841.061,0</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909.607,4</w:t>
            </w:r>
          </w:p>
        </w:tc>
        <w:tc>
          <w:tcPr>
            <w:tcW w:type="dxa" w:w="824"/>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983.740,4</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1.063.915,3</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1.150.624,4</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1.244.400,3</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1.345.818,9</w:t>
            </w:r>
          </w:p>
        </w:tc>
        <w:tc>
          <w:tcPr>
            <w:tcW w:type="dxa" w:w="1007"/>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1.455.503,1</w:t>
            </w:r>
          </w:p>
        </w:tc>
        <w:tc>
          <w:tcPr>
            <w:tcW w:type="dxa" w:w="109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10.491.426,3</w:t>
            </w:r>
          </w:p>
        </w:tc>
      </w:tr>
    </w:tbl>
    <w:p>
      <w:pPr>
        <w:sectPr>
          <w:headerReference w:type="default" r:id="rId26"/>
          <w:footerReference w:type="default" r:id="rId27"/>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(719.075,4 miles de CUP)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567.057,6 kCUP (78,9 %), exportaciones: 99.859,2 kCUP (13,9 %), ventas en plataformas con pagos desde el exterior: 52.158,6 kCUP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±71.907,5 miles de CUP.</w:t>
      </w:r>
    </w:p>
    <w:p>
      <w:pPr>
        <w:pStyle w:val="Heading1"/>
        <w:pageBreakBefore/>
      </w:pPr>
      <w:bookmarkStart w:name="_Toc9" w:id="9"/>
      <w:r>
        <w:rPr>
          <w:rFonts w:ascii="Calibri" w:cs="Calibri" w:eastAsia="Calibri" w:hAnsi="Calibri"/>
          <w:b/>
          <w:bCs/>
          <w:color w:val="1E3A5F"/>
          <w:sz w:val="30"/>
          <w:szCs w:val="30"/>
        </w:rPr>
        <w:t xml:space="preserve">4.9  Fuerza de trabajo</w:t>
      </w:r>
      <w:bookmarkEnd w:id="9"/>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19. Fuerza de trabajo por categoría y etapa de contratación (salarios en CUP conforme a la metodología 4.9)</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3352"/>
        <w:gridCol w:w="2483"/>
        <w:gridCol w:w="709"/>
        <w:gridCol w:w="2483"/>
      </w:tblGrid>
      <w:tr>
        <w:trPr>
          <w:cantSplit/>
          <w:tblHeader/>
        </w:trPr>
        <w:tc>
          <w:tcPr>
            <w:tcW w:type="dxa" w:w="335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24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70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483"/>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Salario promedio anual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312.000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Montaje (año 0, transitorio)</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207.652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Extranjeros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9.600.000 CUP</w:t>
            </w:r>
          </w:p>
        </w:tc>
      </w:tr>
      <w:tr>
        <w:trPr>
          <w:cantSplit/>
        </w:trPr>
        <w:tc>
          <w:tcPr>
            <w:tcW w:type="dxa" w:w="3352"/>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TOTAL (operación)</w:t>
            </w:r>
          </w:p>
        </w:tc>
        <w:tc>
          <w:tcPr>
            <w:tcW w:type="dxa" w:w="2483"/>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
            </w:r>
          </w:p>
        </w:tc>
        <w:tc>
          <w:tcPr>
            <w:tcW w:type="dxa" w:w="709"/>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27</w:t>
            </w:r>
          </w:p>
        </w:tc>
        <w:tc>
          <w:tcPr>
            <w:tcW w:type="dxa" w:w="2483"/>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567.111 CUP</w:t>
            </w:r>
          </w:p>
        </w:tc>
      </w:tr>
    </w:tbl>
    <w:p>
      <w:pPr>
        <w:pStyle w:val="NotaTexto"/>
        <w:spacing w:after="160" w:before="40"/>
      </w:pPr>
      <w:r>
        <w:rPr>
          <w:rFonts w:ascii="Calibri" w:cs="Calibri" w:eastAsia="Calibri" w:hAnsi="Calibri"/>
          <w:i/>
          <w:iCs/>
          <w:color w:val="64748B"/>
          <w:sz w:val="15"/>
          <w:szCs w:val="15"/>
        </w:rPr>
        <w:t xml:space="preserve">Nota. Los salarios se expresan en CUP (metodología 4.9); en presentación USD se documenta el equivalente sin convertir los importes de origen.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15.312,0 miles de CUP (salarios en CUP convertidos con el tipo de cambio parametrizado, multiplicados por el factor de costo laboral de 1,0), equivalente al 2,1 % de los ingresos del año 1. El costo laboral del año 0 (montaje) es 576,0 kCUP y se registra como gasto del período: no forma parte de los gastos previos de la inversión, por lo que no está duplicado. Los pagos por la fuerza de trabajo son uno de los beneficios directos al país: el costo laboral acumulado de la explotación es 192.592,7 miles de CUP. La remuneración de cada categoría y su etapa de contratación figuran en la tabla 4.9; su validación frente a la legislación laboral vigente queda fuera del modelo.</w:t>
      </w:r>
    </w:p>
    <w:p>
      <w:pPr>
        <w:pStyle w:val="Heading1"/>
        <w:pageBreakBefore/>
      </w:pPr>
      <w:bookmarkStart w:name="_Toc10" w:id="10"/>
      <w:r>
        <w:rPr>
          <w:rFonts w:ascii="Calibri" w:cs="Calibri" w:eastAsia="Calibri" w:hAnsi="Calibri"/>
          <w:b/>
          <w:bCs/>
          <w:color w:val="1E3A5F"/>
          <w:sz w:val="30"/>
          <w:szCs w:val="30"/>
        </w:rPr>
        <w:t xml:space="preserve">4.10  Inversiones</w:t>
      </w:r>
      <w:bookmarkEnd w:id="10"/>
    </w:p>
    <w:p>
      <w:pPr>
        <w:pStyle w:val="NotaTabla"/>
        <w:keepNext/>
        <w:keepLines/>
        <w:spacing w:after="80" w:before="200"/>
      </w:pPr>
      <w:r>
        <w:rPr>
          <w:rFonts w:ascii="Calibri" w:cs="Calibri" w:eastAsia="Calibri" w:hAnsi="Calibri"/>
          <w:b/>
          <w:bCs/>
          <w:color w:val="1E3A5F"/>
          <w:sz w:val="18"/>
          <w:szCs w:val="18"/>
        </w:rPr>
        <w:t xml:space="preserve">Tabla 20. Inversiones por concepto (miles, en la moneda de origen indicada y en la moneda de presentación; activos con disponibilidad y residual)</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30"/>
        <w:gridCol w:w="874"/>
        <w:gridCol w:w="375"/>
        <w:gridCol w:w="375"/>
        <w:gridCol w:w="812"/>
        <w:gridCol w:w="999"/>
        <w:gridCol w:w="687"/>
        <w:gridCol w:w="500"/>
        <w:gridCol w:w="1874"/>
      </w:tblGrid>
      <w:tr>
        <w:trPr>
          <w:cantSplit/>
          <w:tblHeader/>
        </w:trPr>
        <w:tc>
          <w:tcPr>
            <w:tcW w:type="dxa" w:w="25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Categoría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Moneda</w:t>
            </w:r>
          </w:p>
        </w:tc>
        <w:tc>
          <w:tcPr>
            <w:tcW w:type="dxa" w:w="37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w:t>
            </w:r>
          </w:p>
        </w:tc>
        <w:tc>
          <w:tcPr>
            <w:tcW w:type="dxa" w:w="81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En CUP (kCUP)</w:t>
            </w:r>
          </w:p>
        </w:tc>
        <w:tc>
          <w:tcPr>
            <w:tcW w:type="dxa" w:w="99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Vida útil (años)</w:t>
            </w:r>
          </w:p>
        </w:tc>
        <w:tc>
          <w:tcPr>
            <w:tcW w:type="dxa" w:w="687"/>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Disp. desde</w:t>
            </w:r>
          </w:p>
        </w:tc>
        <w:tc>
          <w:tcPr>
            <w:tcW w:type="dxa" w:w="500"/>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Residual</w:t>
            </w:r>
          </w:p>
        </w:tc>
        <w:tc>
          <w:tcPr>
            <w:tcW w:type="dxa" w:w="187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Estudios de factibilidad y gastos de constitución</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18.575,0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No incluye el personal de montaje (que se paga como gasto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registros y autorizaciones sanitarias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12,0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8.916,0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de puesta en marcha (trámites, capacitación formal, materiales de prueba)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previos</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5.944,0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Sin doble contabilización: la nómina de montaje se registra como costo del año 0.</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clínico (5 sillones e instrumental)</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520,0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386.360,0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Equipos de imagenología dental (2)</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Laboratorio de prótesis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95,0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70.585,0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Equipamiento de esterilización y compresores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63.155,0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Mobiliario clínico y de oficina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60,0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44.580,0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Informática y software de gestión clínica</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35,0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26.005,0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25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Adecuación y montaje de instalaciones</w:t>
            </w:r>
          </w:p>
        </w:tc>
        <w:tc>
          <w:tcPr>
            <w:tcW w:type="dxa" w:w="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180,0</w:t>
            </w:r>
          </w:p>
        </w:tc>
        <w:tc>
          <w:tcPr>
            <w:tcW w:type="dxa" w:w="812"/>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133.740,0</w:t>
            </w:r>
          </w:p>
        </w:tc>
        <w:tc>
          <w:tcPr>
            <w:tcW w:type="dxa" w:w="99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20</w:t>
            </w:r>
          </w:p>
        </w:tc>
        <w:tc>
          <w:tcPr>
            <w:tcW w:type="dxa" w:w="687"/>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(quedará valor neto en libros al cierre del horizonte; el diagnóstico lo señala).</w:t>
            </w:r>
          </w:p>
        </w:tc>
      </w:tr>
      <w:tr>
        <w:trPr>
          <w:cantSplit/>
        </w:trPr>
        <w:tc>
          <w:tcPr>
            <w:tcW w:type="dxa" w:w="25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Vehículos (ver desglose)</w:t>
            </w:r>
          </w:p>
        </w:tc>
        <w:tc>
          <w:tcPr>
            <w:tcW w:type="dxa" w:w="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w:t>
            </w:r>
          </w:p>
        </w:tc>
        <w:tc>
          <w:tcPr>
            <w:tcW w:type="dxa" w:w="37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USD</w:t>
            </w:r>
          </w:p>
        </w:tc>
        <w:tc>
          <w:tcPr>
            <w:tcW w:type="dxa" w:w="37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45,0</w:t>
            </w:r>
          </w:p>
        </w:tc>
        <w:tc>
          <w:tcPr>
            <w:tcW w:type="dxa" w:w="812"/>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33.435,0</w:t>
            </w:r>
          </w:p>
        </w:tc>
        <w:tc>
          <w:tcPr>
            <w:tcW w:type="dxa" w:w="99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8</w:t>
            </w:r>
          </w:p>
        </w:tc>
        <w:tc>
          <w:tcPr>
            <w:tcW w:type="dxa" w:w="687"/>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500"/>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0,0 %</w:t>
            </w:r>
          </w:p>
        </w:tc>
        <w:tc>
          <w:tcPr>
            <w:tcW w:type="dxa" w:w="187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bl>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21. Desglose de vehículos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5337"/>
        <w:gridCol w:w="1054"/>
        <w:gridCol w:w="2635"/>
      </w:tblGrid>
      <w:tr>
        <w:trPr>
          <w:cantSplit/>
          <w:tblHeader/>
        </w:trPr>
        <w:tc>
          <w:tcPr>
            <w:tcW w:type="dxa" w:w="533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054"/>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Cantidad</w:t>
            </w:r>
          </w:p>
        </w:tc>
        <w:tc>
          <w:tcPr>
            <w:tcW w:type="dxa" w:w="263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(miles de CUP)</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18.575,0</w:t>
            </w:r>
          </w:p>
        </w:tc>
      </w:tr>
      <w:tr>
        <w:trPr>
          <w:cantSplit/>
        </w:trPr>
        <w:tc>
          <w:tcPr>
            <w:tcW w:type="dxa" w:w="533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Microbús (transporte de personal y pacientes)</w:t>
            </w:r>
          </w:p>
        </w:tc>
        <w:tc>
          <w:tcPr>
            <w:tcW w:type="dxa" w:w="1054"/>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w:t>
            </w:r>
          </w:p>
        </w:tc>
        <w:tc>
          <w:tcPr>
            <w:tcW w:type="dxa" w:w="263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14.860,0</w:t>
            </w:r>
          </w:p>
        </w:tc>
      </w:tr>
    </w:tbl>
    <w:p>
      <w:pPr>
        <w:pStyle w:val="NotaTabla"/>
        <w:keepNext/>
        <w:keepLines/>
        <w:spacing w:after="80" w:before="200"/>
      </w:pPr>
      <w:r>
        <w:rPr>
          <w:rFonts w:ascii="Calibri" w:cs="Calibri" w:eastAsia="Calibri" w:hAnsi="Calibri"/>
          <w:b/>
          <w:bCs/>
          <w:color w:val="1E3A5F"/>
          <w:sz w:val="18"/>
          <w:szCs w:val="18"/>
        </w:rPr>
        <w:t xml:space="preserve">Tabla 22. Cronograma inversionista</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835"/>
        <w:gridCol w:w="835"/>
        <w:gridCol w:w="3130"/>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Etapa</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Inicio</w:t>
            </w:r>
          </w:p>
        </w:tc>
        <w:tc>
          <w:tcPr>
            <w:tcW w:type="dxa" w:w="83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Fin</w:t>
            </w:r>
          </w:p>
        </w:tc>
        <w:tc>
          <w:tcPr>
            <w:tcW w:type="dxa" w:w="313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Horizonte de 10 años (ficticio)</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Ampliación de capacidad (+2 gabinetes, escenario B)</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jun 2033</w:t>
            </w:r>
          </w:p>
        </w:tc>
        <w:tc>
          <w:tcPr>
            <w:tcW w:type="dxa" w:w="83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oct 2033</w:t>
            </w:r>
          </w:p>
        </w:tc>
        <w:tc>
          <w:tcPr>
            <w:tcW w:type="dxa" w:w="313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111.450,0 kCUP. Un retraso en esas inversiones desplazaría la capacidad disponible y con ella los ingresos; el modelo los vincula, así que cualquier cambio de fecha exige reevaluar la proyección.</w:t>
      </w:r>
    </w:p>
    <w:p>
      <w:pPr>
        <w:pStyle w:val="Heading1"/>
        <w:pageBreakBefore/>
        <w:sectPr>
          <w:headerReference w:type="default" r:id="rId28"/>
          <w:footerReference w:type="default" r:id="rId29"/>
          <w:pgSz w:w="11906" w:h="16838" w:orient="portrait"/>
          <w:pgMar w:top="1440" w:right="1440" w:bottom="1440" w:left="1440" w:header="708" w:footer="708" w:gutter="0"/>
          <w:pgNumType/>
          <w:docGrid w:linePitch="360"/>
        </w:sectPr>
      </w:pPr>
      <w:bookmarkStart w:name="_Toc11" w:id="11"/>
      <w:r>
        <w:rPr>
          <w:rFonts w:ascii="Calibri" w:cs="Calibri" w:eastAsia="Calibri" w:hAnsi="Calibri"/>
          <w:b/>
          <w:bCs/>
          <w:color w:val="1E3A5F"/>
          <w:sz w:val="30"/>
          <w:szCs w:val="30"/>
        </w:rPr>
        <w:t xml:space="preserve">4.11  Indicadores de beneficios directos al país</w:t>
      </w:r>
      <w:bookmarkEnd w:id="11"/>
    </w:p>
    <w:p>
      <w:pPr>
        <w:pStyle w:val="NotaTabla"/>
        <w:keepNext/>
        <w:keepLines/>
        <w:spacing w:after="80" w:before="200"/>
      </w:pPr>
      <w:r>
        <w:rPr>
          <w:rFonts w:ascii="Calibri" w:cs="Calibri" w:eastAsia="Calibri" w:hAnsi="Calibri"/>
          <w:b/>
          <w:bCs/>
          <w:color w:val="1E3A5F"/>
          <w:sz w:val="18"/>
          <w:szCs w:val="18"/>
        </w:rPr>
        <w:t xml:space="preserve">Tabla 23. Beneficios directos al país por año (miles de CUP; etiqueta de período por partida)</w:t>
      </w:r>
    </w:p>
    <w:tbl>
      <w:tblPr>
        <w:tblW w:type="dxa" w:w="13958"/>
        <w:tblBorders>
          <w:top w:val="none" w:color="auto" w:sz="0"/>
          <w:left w:val="none" w:color="auto" w:sz="0"/>
          <w:bottom w:val="none" w:color="auto" w:sz="0"/>
          <w:right w:val="none" w:color="auto" w:sz="0"/>
          <w:insideH w:val="none" w:color="auto" w:sz="0"/>
          <w:insideV w:val="none" w:color="auto" w:sz="0"/>
        </w:tblBorders>
      </w:tblPr>
      <w:tblGrid>
        <w:gridCol w:w="3833"/>
        <w:gridCol w:w="568"/>
        <w:gridCol w:w="852"/>
        <w:gridCol w:w="852"/>
        <w:gridCol w:w="852"/>
        <w:gridCol w:w="852"/>
        <w:gridCol w:w="852"/>
        <w:gridCol w:w="852"/>
        <w:gridCol w:w="852"/>
        <w:gridCol w:w="852"/>
        <w:gridCol w:w="852"/>
        <w:gridCol w:w="852"/>
        <w:gridCol w:w="1041"/>
      </w:tblGrid>
      <w:tr>
        <w:trPr>
          <w:cantSplit/>
          <w:tblHeader/>
        </w:trPr>
        <w:tc>
          <w:tcPr>
            <w:tcW w:type="dxa" w:w="383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5"/>
                <w:szCs w:val="15"/>
              </w:rPr>
              <w:t xml:space="preserve">Partida</w:t>
            </w:r>
          </w:p>
        </w:tc>
        <w:tc>
          <w:tcPr>
            <w:tcW w:type="dxa" w:w="568"/>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0</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2</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3</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4</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5</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6</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7</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8</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9</w:t>
            </w:r>
          </w:p>
        </w:tc>
        <w:tc>
          <w:tcPr>
            <w:tcW w:type="dxa" w:w="852"/>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Año 10</w:t>
            </w:r>
          </w:p>
        </w:tc>
        <w:tc>
          <w:tcPr>
            <w:tcW w:type="dxa" w:w="1041"/>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5"/>
                <w:szCs w:val="15"/>
              </w:rPr>
              <w:t xml:space="preserve">Total</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100.602,1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113.723,7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129.107,4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145.582,1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163.230,7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183.962,7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200.332,5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220.816,4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246.285,7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270.032,7</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1.773.676,0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tasas y contribuciones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37.150,0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Dividendos de la parte cubana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98.084,3</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138.896,1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123.999,4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122.768,0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129.061,4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140.407,4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153.451,4</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906.667,9</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59.440,0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Pagos por la fuerza de trabajo [incluye año 0]</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15.312,0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16.077,6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16.881,5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17.725,6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18.611,8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19.542,4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20.519,5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21.545,5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22.622,8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23.753,9</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193.168,7</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3833"/>
            <w:tcBorders>
              <w:top w:val="single" w:color="94A3B8" w:sz="4"/>
              <w:bottom w:val="single" w:color="64748B" w:sz="8"/>
            </w:tcBorders>
            <w:tcMar>
              <w:top w:type="dxa" w:w="40"/>
              <w:left w:type="dxa" w:w="80"/>
              <w:bottom w:type="dxa" w:w="40"/>
              <w:right w:type="dxa" w:w="80"/>
            </w:tcMar>
          </w:tcPr>
          <w:p>
            <w:pPr>
              <w:jc w:val="left"/>
            </w:pPr>
            <w:r>
              <w:rPr>
                <w:rFonts w:ascii="Calibri" w:cs="Calibri" w:eastAsia="Calibri" w:hAnsi="Calibri"/>
                <w:b/>
                <w:bCs/>
                <w:color w:val="334155"/>
                <w:sz w:val="15"/>
                <w:szCs w:val="15"/>
              </w:rPr>
              <w:t xml:space="preserve">TOTAL BENEFICIOS DIRECTOS AL PAÍS [incluye año 0]</w:t>
            </w:r>
          </w:p>
        </w:tc>
        <w:tc>
          <w:tcPr>
            <w:tcW w:type="dxa" w:w="568"/>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576,0</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147.863,1</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161.750,3</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177.937,9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293.340,9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352.687,7</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359.453,5</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375.569,0</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403.372,3</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441.264,9</w:t>
            </w:r>
          </w:p>
        </w:tc>
        <w:tc>
          <w:tcPr>
            <w:tcW w:type="dxa" w:w="852"/>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479.187,1</w:t>
            </w:r>
          </w:p>
        </w:tc>
        <w:tc>
          <w:tcPr>
            <w:tcW w:type="dxa" w:w="1041"/>
            <w:tcBorders>
              <w:top w:val="single" w:color="94A3B8" w:sz="4"/>
              <w:bottom w:val="single" w:color="64748B" w:sz="8"/>
            </w:tcBorders>
            <w:tcMar>
              <w:top w:type="dxa" w:w="40"/>
              <w:left w:type="dxa" w:w="80"/>
              <w:bottom w:type="dxa" w:w="40"/>
              <w:right w:type="dxa" w:w="80"/>
            </w:tcMar>
          </w:tcPr>
          <w:p>
            <w:pPr>
              <w:jc w:val="right"/>
            </w:pPr>
            <w:r>
              <w:rPr>
                <w:rFonts w:ascii="Calibri" w:cs="Calibri" w:eastAsia="Calibri" w:hAnsi="Calibri"/>
                <w:b/>
                <w:bCs/>
                <w:color w:val="334155"/>
                <w:sz w:val="15"/>
                <w:szCs w:val="15"/>
              </w:rPr>
              <w:t xml:space="preserve">3.193.002,6</w:t>
            </w:r>
          </w:p>
        </w:tc>
      </w:tr>
    </w:tbl>
    <w:p>
      <w:pPr>
        <w:sectPr>
          <w:headerReference w:type="default" r:id="rId30"/>
          <w:footerReference w:type="default" r:id="rId3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3.193.002,6 miles de CUP (incluye el año 0). Subtotal de la explotación (años 1–10): 3.192.426,6 miles de CUP.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3.193.002,6 miles de CUP en el período completo del análisis (años 0 a 10). El subtotal de la explotación (años 1 a 10) es 3.192.426,6 miles de CUP y el año 0 aporta 576,0 (pagos por la fuerza de trabajo de montaje, único concepto activo en esa fase). Ambos totales provienen del mismo cálculo del motor: resumen, tabla y conclusiones coinciden por construcción. Composición del período: impuestos sobre utilidades 1.773.676,0, pagos por la fuerza de trabajo 193.168,7, dividendos de la parte cubana 906.667,9, canon 222.900,0, aranceles 59.440,0 y otros impuestos y tasas 37.150,0 miles de CUP.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(3.193.002,6 kCUP) supera la inversión total del proyecto (1.099.640,0 kCUP) dentro del horizonte; aun así, estos son beneficios PROYECTADOS, no ingresos estatales efectivos, y dependen de que la operación ocurra según lo modelado.</w:t>
      </w:r>
    </w:p>
    <w:p>
      <w:pPr>
        <w:pStyle w:val="Heading1"/>
        <w:pageBreakBefore/>
      </w:pPr>
      <w:bookmarkStart w:name="_Toc12" w:id="12"/>
      <w:r>
        <w:rPr>
          <w:rFonts w:ascii="Calibri" w:cs="Calibri" w:eastAsia="Calibri" w:hAnsi="Calibri"/>
          <w:b/>
          <w:bCs/>
          <w:color w:val="1E3A5F"/>
          <w:sz w:val="30"/>
          <w:szCs w:val="30"/>
        </w:rPr>
        <w:t xml:space="preserve">4.12  Conclusiones</w:t>
      </w:r>
      <w:bookmarkEnd w:id="12"/>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1.099.640,0 miles de CUP, ingresos del año 1 de 719.075,4 kCUP, utilidad después de impuestos de 186.832,4 kCUP y beneficios directos al país acumulados de 3.193.002,6 kCUP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13" w:id="13"/>
      <w:r>
        <w:rPr>
          <w:rFonts w:ascii="Calibri" w:cs="Calibri" w:eastAsia="Calibri" w:hAnsi="Calibri"/>
          <w:b/>
          <w:bCs/>
          <w:color w:val="1E3A5F"/>
          <w:sz w:val="30"/>
          <w:szCs w:val="30"/>
        </w:rPr>
        <w:t xml:space="preserve">Diagnóstico y controles de consistencia</w:t>
      </w:r>
      <w:bookmarkEnd w:id="13"/>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8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24. Resumen de control por dimensiones independientes (DOC-002 §5)</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541"/>
        <w:gridCol w:w="1121"/>
        <w:gridCol w:w="3364"/>
      </w:tblGrid>
      <w:tr>
        <w:trPr>
          <w:cantSplit/>
          <w:tblHeader/>
        </w:trPr>
        <w:tc>
          <w:tcPr>
            <w:tcW w:type="dxa" w:w="454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Dimensión</w:t>
            </w:r>
          </w:p>
        </w:tc>
        <w:tc>
          <w:tcPr>
            <w:tcW w:type="dxa" w:w="112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c>
          <w:tcPr>
            <w:tcW w:type="dxa" w:w="336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1.099.640,0 kCUP vs financiación comprometida 1.099.640,0 kCUP (conciliación total) y fuentes con desembolso en el año 0 1.099.640,0 kCUP (conciliación temporal,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Calidad documental</w:t>
            </w:r>
          </w:p>
        </w:tc>
        <w:tc>
          <w:tcPr>
            <w:tcW w:type="dxa" w:w="112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Aceptable</w:t>
            </w:r>
          </w:p>
        </w:tc>
        <w:tc>
          <w:tcPr>
            <w:tcW w:type="dxa" w:w="336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25. Conciliación del desembolso inicial (miles de CUP; años 0 y 1 con el mismo significado en aportaciones, fuentes y flujos)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447"/>
        <w:gridCol w:w="2579"/>
      </w:tblGrid>
      <w:tr>
        <w:trPr>
          <w:cantSplit/>
          <w:tblHeader/>
        </w:trPr>
        <w:tc>
          <w:tcPr>
            <w:tcW w:type="dxa" w:w="644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Concepto</w:t>
            </w:r>
          </w:p>
        </w:tc>
        <w:tc>
          <w:tcPr>
            <w:tcW w:type="dxa" w:w="2579"/>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(kCUP)</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 (regla contable; supuesto del modelo simplificado: pagado en el mismo período — no es un pago verificado)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Necesidad total de arranque (inversión total + salidas netas del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1.100.216,0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Fuentes con desembolso EFECTIVO en el año 0 (aportaciones del año 0 + otras fuentes + principal del crédito desembolsado en el año 0)</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1.099.640,0</w:t>
            </w:r>
          </w:p>
        </w:tc>
      </w:tr>
      <w:tr>
        <w:trPr>
          <w:cantSplit/>
        </w:trPr>
        <w:tc>
          <w:tcPr>
            <w:tcW w:type="dxa" w:w="6447"/>
            <w:tcBorders>
              <w:top w:val="single" w:color="94A3B8" w:sz="4"/>
            </w:tcBorders>
            <w:tcMar>
              <w:top w:type="dxa" w:w="40"/>
              <w:left w:type="dxa" w:w="80"/>
              <w:bottom w:type="dxa" w:w="40"/>
              <w:right w:type="dxa" w:w="80"/>
            </w:tcMar>
          </w:tcPr>
          <w:p>
            <w:pPr>
              <w:jc w:val="left"/>
            </w:pPr>
            <w:r>
              <w:rPr>
                <w:rFonts w:ascii="Calibri" w:cs="Calibri" w:eastAsia="Calibri" w:hAnsi="Calibri"/>
                <w:b/>
                <w:bCs/>
                <w:color w:val="334155"/>
                <w:sz w:val="17"/>
                <w:szCs w:val="17"/>
              </w:rPr>
              <w:t xml:space="preserve">BRECHA TEMPORAL del arranque (fuentes del año 0 - necesidad total)</w:t>
            </w:r>
          </w:p>
        </w:tc>
        <w:tc>
          <w:tcPr>
            <w:tcW w:type="dxa" w:w="2579"/>
            <w:tcBorders>
              <w:top w:val="single" w:color="94A3B8" w:sz="4"/>
            </w:tcBorders>
            <w:tcMar>
              <w:top w:type="dxa" w:w="40"/>
              <w:left w:type="dxa" w:w="80"/>
              <w:bottom w:type="dxa" w:w="40"/>
              <w:right w:type="dxa" w:w="80"/>
            </w:tcMar>
          </w:tcPr>
          <w:p>
            <w:pPr>
              <w:jc w:val="right"/>
            </w:pPr>
            <w:r>
              <w:rPr>
                <w:rFonts w:ascii="Calibri" w:cs="Calibri" w:eastAsia="Calibri" w:hAnsi="Calibri"/>
                <w:b/>
                <w:bCs/>
                <w:color w:val="334155"/>
                <w:sz w:val="17"/>
                <w:szCs w:val="17"/>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financiación COMPROMETIDA para todo el proyecto (conciliación total)</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1.099.640,0</w:t>
            </w:r>
          </w:p>
        </w:tc>
      </w:tr>
      <w:tr>
        <w:trPr>
          <w:cantSplit/>
        </w:trPr>
        <w:tc>
          <w:tcPr>
            <w:tcW w:type="dxa" w:w="644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brecha según el total nominal comprometido</w:t>
            </w:r>
          </w:p>
        </w:tc>
        <w:tc>
          <w:tcPr>
            <w:tcW w:type="dxa" w:w="2579"/>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r>
    </w:tbl>
    <w:p>
      <w:pPr>
        <w:pStyle w:val="NotaTexto"/>
        <w:spacing w:after="160" w:before="40"/>
      </w:pPr>
      <w:r>
        <w:rPr>
          <w:rFonts w:ascii="Calibri" w:cs="Calibri" w:eastAsia="Calibri" w:hAnsi="Calibri"/>
          <w:i/>
          <w:iCs/>
          <w:color w:val="64748B"/>
          <w:sz w:val="15"/>
          <w:szCs w:val="15"/>
        </w:rPr>
        <w:t xml:space="preserve">Nota. Devengado &lt;&gt; pagado: el impuesto del año 0 es una regla contable con supuesto de pago simultáneo (no un pago verificado); el interés capitalizado no es salida de caja. Las partidas se inventarían una a una en la tabla siguiente.</w:t>
      </w:r>
    </w:p>
    <w:p>
      <w:pPr>
        <w:pStyle w:val="NotaTexto"/>
        <w:spacing w:after="60" w:before="60" w:line="276"/>
        <w:jc w:val="both"/>
      </w:pPr>
      <w:r>
        <w:rPr>
          <w:rFonts w:ascii="Calibri" w:cs="Calibri" w:eastAsia="Calibri" w:hAnsi="Calibri"/>
          <w:color w:val="334155"/>
          <w:sz w:val="16"/>
          <w:szCs w:val="16"/>
        </w:rPr>
        <w:t xml:space="preserve">La brecha del arranque se cuantifica desde partidas de salida de caja del año 0 explícitamente identificadas e inventariadas como no capitalizables y no incluidas en la inversión total; NO se deduce del resultado contable después de impuestos del año 0, que puede contener pérdidas no monetarias (depreciación), intereses devengados capitalizados (no pagados) u otros efectos que no representan caja. La brecha TEMPORAL se mide contra las fuentes con desembolso efectivo en el año 0: unas aportaciones o un crédito que entran en años posteriores no pueden financiar las necesidades del arranque, aunque la conciliación total del horizonte cuadre.</w:t>
      </w:r>
    </w:p>
    <w:p>
      <w:pPr>
        <w:pStyle w:val="NotaTabla"/>
        <w:keepNext/>
        <w:keepLines/>
        <w:spacing w:after="80" w:before="200"/>
      </w:pPr>
      <w:r>
        <w:rPr>
          <w:rFonts w:ascii="Calibri" w:cs="Calibri" w:eastAsia="Calibri" w:hAnsi="Calibri"/>
          <w:b/>
          <w:bCs/>
          <w:color w:val="1E3A5F"/>
          <w:sz w:val="18"/>
          <w:szCs w:val="18"/>
        </w:rPr>
        <w:t xml:space="preserve">Tabla 26. Inventario de partidas de caja del año 0 (miles de CUP; período = año 0 de montaje; mecanismo trazable con barrido de reglas de gasto)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583"/>
        <w:gridCol w:w="765"/>
        <w:gridCol w:w="1595"/>
        <w:gridCol w:w="1914"/>
        <w:gridCol w:w="2169"/>
      </w:tblGrid>
      <w:tr>
        <w:trPr>
          <w:cantSplit/>
          <w:tblHeader/>
        </w:trPr>
        <w:tc>
          <w:tcPr>
            <w:tcW w:type="dxa" w:w="25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Partida</w:t>
            </w:r>
          </w:p>
        </w:tc>
        <w:tc>
          <w:tcPr>
            <w:tcW w:type="dxa" w:w="765"/>
            <w:tcBorders>
              <w:top w:val="single" w:color="64748B" w:sz="8"/>
              <w:bottom w:val="single" w:color="94A3B8" w:sz="4"/>
            </w:tcBorders>
            <w:shd w:fill="EEF2F7" w:color="auto" w:val="clear"/>
            <w:tcMar>
              <w:top w:type="dxa" w:w="40"/>
              <w:left w:type="dxa" w:w="80"/>
              <w:bottom w:type="dxa" w:w="40"/>
              <w:right w:type="dxa" w:w="80"/>
            </w:tcMar>
          </w:tcPr>
          <w:p>
            <w:pPr>
              <w:jc w:val="center"/>
            </w:pPr>
            <w:r>
              <w:rPr>
                <w:rFonts w:ascii="Calibri" w:cs="Calibri" w:eastAsia="Calibri" w:hAnsi="Calibri"/>
                <w:b/>
                <w:bCs/>
                <w:color w:val="1E3A5F"/>
                <w:sz w:val="17"/>
                <w:szCs w:val="17"/>
              </w:rPr>
              <w:t xml:space="preserve">Monto (kCUP)</w:t>
            </w:r>
          </w:p>
        </w:tc>
        <w:tc>
          <w:tcPr>
            <w:tcW w:type="dxa" w:w="1595"/>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¿Computa en la necesidad?</w:t>
            </w:r>
          </w:p>
        </w:tc>
        <w:tc>
          <w:tcPr>
            <w:tcW w:type="dxa" w:w="1914"/>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 de pago</w:t>
            </w:r>
          </w:p>
        </w:tc>
        <w:tc>
          <w:tcPr>
            <w:tcW w:type="dxa" w:w="216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Tratamiento dentro de la inversión</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Nómina de montaje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576,0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pagadera en el año 0 (nómina de la fase de montaje)</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 del período NO capitalizable y NO incluido en la inversión total: financia con caja del arranque. No es gasto previo capitalizable ni duplica el capital de trabajo.</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Interés PAGADO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pagado en el año 0 según el calendario de deuda</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 corriente de la deuda: salida de caja del arranque, no capitalizable. Solo computa si el calendario lo sitúa en el año 0.</w:t>
            </w:r>
          </w:p>
        </w:tc>
      </w:tr>
      <w:tr>
        <w:trPr>
          <w:cantSplit/>
        </w:trPr>
        <w:tc>
          <w:tcPr>
            <w:tcW w:type="dxa" w:w="25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DEVENGADO del año 0</w:t>
            </w:r>
          </w:p>
        </w:tc>
        <w:tc>
          <w:tcPr>
            <w:tcW w:type="dxa" w:w="765"/>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DEVENGADO según la regla contable; SUPUESTO del modelo simplificado: pagado en el mismo período (NO es un pago verificado: no existe calendario de pagos tributario)</w:t>
            </w:r>
          </w:p>
        </w:tc>
        <w:tc>
          <w:tcPr>
            <w:tcW w:type="dxa" w:w="216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Valor de una regla contable, no un pago observado. Con pérdidas de montaje la regla plana devuelve cero. Documentar el supuesto y su diferencia frente a un calendario tributario real.</w:t>
            </w:r>
          </w:p>
        </w:tc>
      </w:tr>
      <w:tr>
        <w:trPr>
          <w:cantSplit/>
        </w:trPr>
        <w:tc>
          <w:tcPr>
            <w:tcW w:type="dxa" w:w="25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Ingresos explícitos del año 0</w:t>
            </w:r>
          </w:p>
        </w:tc>
        <w:tc>
          <w:tcPr>
            <w:tcW w:type="dxa" w:w="765"/>
            <w:tcBorders>
              <w:bottom w:val="single" w:color="64748B" w:sz="8"/>
            </w:tcBorders>
            <w:tcMar>
              <w:top w:type="dxa" w:w="40"/>
              <w:left w:type="dxa" w:w="80"/>
              <w:bottom w:type="dxa" w:w="40"/>
              <w:right w:type="dxa" w:w="80"/>
            </w:tcMar>
          </w:tcPr>
          <w:p>
            <w:pPr>
              <w:jc w:val="right"/>
            </w:pPr>
            <w:r>
              <w:rPr>
                <w:rFonts w:ascii="Calibri" w:cs="Calibri" w:eastAsia="Calibri" w:hAnsi="Calibri"/>
                <w:b w:val="false"/>
                <w:bCs w:val="false"/>
                <w:color w:val="334155"/>
                <w:sz w:val="17"/>
                <w:szCs w:val="17"/>
              </w:rPr>
              <w:t xml:space="preserve">0,0</w:t>
            </w:r>
          </w:p>
        </w:tc>
        <w:tc>
          <w:tcPr>
            <w:tcW w:type="dxa" w:w="1595"/>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c>
          <w:tcPr>
            <w:tcW w:type="dxa" w:w="1914"/>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cobro supuesto en el mismo período</w:t>
            </w:r>
          </w:p>
        </w:tc>
        <w:tc>
          <w:tcPr>
            <w:tcW w:type="dxa" w:w="216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Reduce la necesidad de caja del arranque. No incluye ingresos de servicios de operación (año 0 = montaje sin servicios).</w:t>
            </w:r>
          </w:p>
        </w:tc>
      </w:tr>
    </w:tbl>
    <w:p>
      <w:pPr>
        <w:pStyle w:val="NotaTabla"/>
        <w:keepNext/>
        <w:keepLines/>
        <w:spacing w:after="80" w:before="200"/>
      </w:pPr>
      <w:r>
        <w:rPr>
          <w:rFonts w:ascii="Calibri" w:cs="Calibri" w:eastAsia="Calibri" w:hAnsi="Calibri"/>
          <w:b/>
          <w:bCs/>
          <w:color w:val="1E3A5F"/>
          <w:sz w:val="18"/>
          <w:szCs w:val="18"/>
        </w:rPr>
        <w:t xml:space="preserve">Tabla 27. Hallazgos del diagnóstico</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422"/>
        <w:gridCol w:w="2446"/>
        <w:gridCol w:w="2446"/>
        <w:gridCol w:w="1712"/>
      </w:tblGrid>
      <w:tr>
        <w:trPr>
          <w:cantSplit/>
          <w:tblHeader/>
        </w:trPr>
        <w:tc>
          <w:tcPr>
            <w:tcW w:type="dxa" w:w="242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Nivel</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Código</w:t>
            </w:r>
          </w:p>
        </w:tc>
        <w:tc>
          <w:tcPr>
            <w:tcW w:type="dxa" w:w="244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Hallazgo</w:t>
            </w:r>
          </w:p>
        </w:tc>
        <w:tc>
          <w:tcPr>
            <w:tcW w:type="dxa" w:w="171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¿Afecta conclusiones?</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advertencia_importante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FINANCIACION_ANO0</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Arranque del año 0 — salidas de caja explícitas no capitalizables y NO incluidas en la inversión total (nómina de montaje 0,8: total 0,8 kUSD) — queda SIN cobertura temporal: la necesidad total del arranque (inversión 1.480,0 + salidas netas del año 0 = 1.480,8 kUSD) excede las fuentes con desembolso efectivo en el año 0 (1.480,0 kUSD) en 0,8 kUSD. La financiación comprometida total (1.480,0 kUSD) tampoco cubre la necesidad total (1.480,8 kUSD): brecha nominal de 0,8 kUSD. Financie esa brecha (mayor capital de trabajo, aporte anticipado o crédito con desembolso en el año 0) o declárela expresamente como supuesto pendiente. El gasto NO se deduce del resultado contable después de impuestos del año 0.</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activo «Adecuación y montaje de instalaciones» (vida útil 20 años, disponible en el año 1)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DEP_FUERA_HORIZONTE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DIVIDENDOS_RESTRINGIDOS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En el año 1 los dividendos propuestos (112,8 kUSD) superan la caja disponible (-812,2 kUSD): solo se consideran pagables 0,0 kUSD. La política de distribución está limitada por la liquidez modelada.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ESCENARIO_B</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Escenario activo: B (ampliación de capacidad). Las ampliaciones programadas (1) generan CAPEX y nueva capacidad en sus años de ejecución; sus cifras provienen de la tabla de recursos operativos.</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DATOS_FICTICIOS</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TASA_DEMO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tasa de impuesto sobre utilidades (35,0 %) es un supuesto de demostración editable. No constituye la tasa legal aplicable: documente la fuente normativa antes de un uso oficial.</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SÍ</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SUPUESTO_IMPUESTO_MISMO_PERIODO</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El impuesto sobre utilidades del modelo es un DEVENGADO contable (regla editable): el modelo simplificado SUPONE que se paga dentro del mismo período, sin calendario tributario. Ese supuesto se distingue expresamente de un pago verificado: con un calendario de pagos real (fracciones, diferimientos, pago al año siguiente) la tesorería proyectada y la necesidad de caja del arranque cambiarían.</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observacion_calidad</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ESCUDO_FISCAL_CLASE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Escudo fiscal — clasificación de la regla de impuestos activa: base directa. La regla de impuestos grava directamente la utilidad antes de intereses (referencia directa a «utilidad_antes_impuestos_k»): el escudo se calcula reevaluando la MISMA regla con la base hipotética sin intereses, respetando topes, mínimos y condiciones de su fórmula.</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Falta identificar al elaborador del plan (4.1): el campo está vacío o marcado como pendiente.</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Falta la firma o identificación del elaborador (4.1).</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w:t>
            </w:r>
          </w:p>
        </w:tc>
        <w:tc>
          <w:tcPr>
            <w:tcW w:type="dxa" w:w="244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La declaración de responsabilidad no ha sido aceptada (4.1): el documento NO está en condiciones de presentarse como definitivo.</w:t>
            </w:r>
          </w:p>
        </w:tc>
        <w:tc>
          <w:tcPr>
            <w:tcW w:type="dxa" w:w="171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r>
        <w:trPr>
          <w:cantSplit/>
        </w:trPr>
        <w:tc>
          <w:tcPr>
            <w:tcW w:type="dxa" w:w="242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informacion_pendiente</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REFERENCIA_HIPOTESIS</w:t>
            </w:r>
          </w:p>
        </w:tc>
        <w:tc>
          <w:tcPr>
            <w:tcW w:type="dxa" w:w="244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171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w:t>
            </w:r>
          </w:p>
        </w:tc>
      </w:tr>
    </w:tbl>
    <w:p>
      <w:pPr>
        <w:pStyle w:val="NotaTexto"/>
        <w:spacing w:after="60" w:before="60" w:line="276"/>
        <w:jc w:val="both"/>
      </w:pPr>
      <w:r>
        <w:rPr>
          <w:rFonts w:ascii="Calibri" w:cs="Calibri" w:eastAsia="Calibri" w:hAnsi="Calibri"/>
          <w:color w:val="334155"/>
          <w:sz w:val="16"/>
          <w:szCs w:val="16"/>
        </w:rPr>
        <w:t xml:space="preserve">Los importes de los hallazgos derivados de las reglas del motor se expresan en kUSD (unidad nativa del motor); los del propio diagnóstico, en miles de CUP.</w:t>
      </w:r>
    </w:p>
    <w:p>
      <w:pPr>
        <w:pStyle w:val="Heading1"/>
        <w:pageBreakBefore/>
      </w:pPr>
      <w:bookmarkStart w:name="_Toc14" w:id="14"/>
      <w:r>
        <w:rPr>
          <w:rFonts w:ascii="Calibri" w:cs="Calibri" w:eastAsia="Calibri" w:hAnsi="Calibri"/>
          <w:b/>
          <w:bCs/>
          <w:color w:val="1E3A5F"/>
          <w:sz w:val="30"/>
          <w:szCs w:val="30"/>
        </w:rPr>
        <w:t xml:space="preserve">Notas, parámetros y supuestos del modelo</w:t>
      </w:r>
      <w:bookmarkEnd w:id="14"/>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28. Parámetros de cálculo activos (Nivel A — editables en la aplicación)</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4226"/>
        <w:gridCol w:w="1357"/>
        <w:gridCol w:w="2400"/>
        <w:gridCol w:w="1043"/>
      </w:tblGrid>
      <w:tr>
        <w:trPr>
          <w:cantSplit/>
          <w:tblHeader/>
        </w:trPr>
        <w:tc>
          <w:tcPr>
            <w:tcW w:type="dxa" w:w="42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357"/>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Valor</w:t>
            </w:r>
          </w:p>
        </w:tc>
        <w:tc>
          <w:tcPr>
            <w:tcW w:type="dxa" w:w="2400"/>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Naturaleza</w:t>
            </w:r>
          </w:p>
        </w:tc>
        <w:tc>
          <w:tcPr>
            <w:tcW w:type="dxa" w:w="10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r>
        <w:trPr>
          <w:cantSplit/>
        </w:trPr>
        <w:tc>
          <w:tcPr>
            <w:tcW w:type="dxa" w:w="42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357"/>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15,0 %</w:t>
            </w:r>
          </w:p>
        </w:tc>
        <w:tc>
          <w:tcPr>
            <w:tcW w:type="dxa" w:w="2400"/>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Definido por el usuario</w:t>
            </w:r>
          </w:p>
        </w:tc>
        <w:tc>
          <w:tcPr>
            <w:tcW w:type="dxa" w:w="10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29. Alcance documentado de cada parámetro financiero (partidas afectadas derivadas de las reglas activas)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083"/>
        <w:gridCol w:w="1543"/>
        <w:gridCol w:w="1543"/>
        <w:gridCol w:w="771"/>
        <w:gridCol w:w="1543"/>
        <w:gridCol w:w="1543"/>
      </w:tblGrid>
      <w:tr>
        <w:trPr>
          <w:cantSplit/>
          <w:tblHeader/>
        </w:trPr>
        <w:tc>
          <w:tcPr>
            <w:tcW w:type="dxa" w:w="208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Parámetro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Partidas que afecta</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Fórmula/regla activa</w:t>
            </w:r>
          </w:p>
        </w:tc>
        <w:tc>
          <w:tcPr>
            <w:tcW w:type="dxa" w:w="771"/>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Ámbito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Efecto</w:t>
            </w:r>
          </w:p>
        </w:tc>
        <w:tc>
          <w:tcPr>
            <w:tcW w:type="dxa" w:w="1543"/>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Redondeo</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del impuesto sobre utilidades (demostrativa)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(regla demostrativa) (impuesto_utilidades_k)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impuesto_utilidades_k = MAX(0, utilidad_antes_impuestos_k * tasa_impuesto_utilidades)</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(CUP por USD)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Inversión fija en CUP convertida (inversion_fija_cup_k) · Costo laboral (costo_laboral_k)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inversion_fija_cup_k = SUMA_INVERSIONES(IF(AND(categoria_inv = "inversion_fija", moneda_inv = "CUP"), monto_inv, 0)) / tipo_cambio · costo_laboral_k = costo_laboral_cup / tipo_cambio / 1000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 · 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presentación documental y la conversión entre monedas, no los datos de origen</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interés anual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Plazo de amortización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Período de gracia del crédito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prevista (costos variables unitarios de servicios)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variable unitario proyectado (srv_costo_unitario_proy)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srv_costo_unitario_proy = costo_variable_unitario * (1 + inflacion)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Inflación de costos fijos (contratos nominales)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precios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Precio proyectado del servicio (srv_precio_proy)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srv_precio_proy = precio_base * (1 + crecimiento_precios)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Variación anual del volumen (demanda)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Demanda mensual prevista (srv_cantidad_mensual_proy)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srv_cantidad_mensual_proy = IF(PERIODO &gt;= anio_inicio_demanda, cantidad_base_mensual * (1 + crecimiento_volumen) ^ MAX(0, PERIODO - anio_inicio_demanda),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Crecimiento anual de salarios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 anual proyectado (salario_anual_proy)</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salario_anual_proy = salario_promedio_anual * (1 + crecimiento_salarios) ^ MAX(0, PERIODO - 1)</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personal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 de los ingresos)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 administrativos (gastos_admin_k)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gastos_admin_k = pct_gastos_admin * ingresos_totales_k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 de la inversión fija)</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 (años de operación) (mantenimiento_k)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mantenimiento_k = IF(PERIODO &gt;= 1, pct_mantenimiento * inversion_fija_k,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Factor de costo laboral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laboral en CUP (costo_laboral_cup)</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costo_laboral_cup = SUMA_PERSONAL(cantidad * salario_anual_proy) * factor_costo_laboral</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Participación de la parte cubana en el capital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Reparto de dividendos (% de la utilidad distribuible)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Reserva sobre la base distribuible acumulada [SUPUESTO DEMOSTRATIVO]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Recuperación del capital de trabajo al cierre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 públicos (años de operación) (servicios_publicos_k)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servicios_publicos_k = IF(PERIODO &gt;= 1, servicios_publicos_anual_k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anual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 (años de operación) (canon_k)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canon_k = IF(PERIODO &gt;= 1, canon_anual_k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gastos fijos (años de operación) (otros_gastos_k)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otros_gastos_k = IF(PERIODO &gt;= 1, otros_gastos_fijos_k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Monto del crédito externo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Financiación disponible (financiacion_disponible_k)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financiacion_disponible_k = aportaciones_total_k + otras_fuentes_k + credito_monto_k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Otras fuentes de financiamiento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Financiación disponible (financiacion_disponible_k) · Necesidad de financiación (necesidad_financiacion_k)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financiacion_disponible_k = aportaciones_total_k + otras_fuentes_k + credito_monto_k · necesidad_financiacion_k = inversion_total_k - aportaciones_total_k - otras_fuentes_k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Capital de trabajo inicial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Costo total de la inversión inicial (inversion_total_k)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inversion_total_k = gastos_previos_k + inversion_fija_k + capital_trabajo_k</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proyecto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la caja (flujo de financiación/distribución), no el estado de resultados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 (años de operación) (aranceles_k)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aranceles_k = IF(PERIODO &gt;= 1, aranceles_anual_k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impuestos y tasas (años de operación) (otros_impuestos_k)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otros_impuestos_k = IF(PERIODO &gt;= 1, otros_impuestos_anual_k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anuales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 (años de operación) (royalties_k)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royalties_k = IF(PERIODO &gt;= 1, royalties_anual_k * (1 + inflacion_costos_fijos) ^ MAX(0, PERIODO - 1),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anuales al país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 ingresos al país (años de operación) (otros_beneficios_pais_k)</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otros_beneficios_pais_k = IF(PERIODO &gt;= 1, otros_beneficios_pais_anual_k, 0)</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anio</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Afecta el estado de resultados y la caja (ambos)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utilización de recursos (análisis)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 interviene en el cálculo: califica los análisis y alertas</w:t>
            </w:r>
          </w:p>
        </w:tc>
        <w:tc>
          <w:tcPr>
            <w:tcW w:type="dxa" w:w="1543"/>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r>
        <w:trPr>
          <w:cantSplit/>
        </w:trPr>
        <w:tc>
          <w:tcPr>
            <w:tcW w:type="dxa" w:w="208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Umbral de margen de contribución mínimo (análisis)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(ninguna partida activa lo referencia: parámetro informativo o sin uso actual)</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771"/>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 interviene en el cálculo: califica los análisis y alertas</w:t>
            </w:r>
          </w:p>
        </w:tc>
        <w:tc>
          <w:tcPr>
            <w:tcW w:type="dxa" w:w="1543"/>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Precisión interna completa; el redondeo es solo de presentación (un decimal al formatear)</w:t>
            </w:r>
          </w:p>
        </w:tc>
      </w:tr>
    </w:tbl>
    <w:p>
      <w:pPr>
        <w:pStyle w:val="NotaTexto"/>
        <w:spacing w:after="60" w:before="60" w:line="276"/>
        <w:jc w:val="both"/>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30. Trazabilidad de fuentes y supuestos (normas oficiales / referencias legales / cotizaciones / datos del usuario / hipótesis ilustrativas)</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196"/>
        <w:gridCol w:w="1409"/>
        <w:gridCol w:w="1626"/>
        <w:gridCol w:w="542"/>
        <w:gridCol w:w="1626"/>
        <w:gridCol w:w="1626"/>
      </w:tblGrid>
      <w:tr>
        <w:trPr>
          <w:cantSplit/>
          <w:tblHeader/>
        </w:trPr>
        <w:tc>
          <w:tcPr>
            <w:tcW w:type="dxa" w:w="219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Fuente</w:t>
            </w:r>
          </w:p>
        </w:tc>
        <w:tc>
          <w:tcPr>
            <w:tcW w:type="dxa" w:w="1409"/>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Tipo</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Emisor</w:t>
            </w:r>
          </w:p>
        </w:tc>
        <w:tc>
          <w:tcPr>
            <w:tcW w:type="dxa" w:w="542"/>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Fecha/Ref.</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Qué respalda</w:t>
            </w:r>
          </w:p>
        </w:tc>
        <w:tc>
          <w:tcPr>
            <w:tcW w:type="dxa" w:w="1626"/>
            <w:tcBorders>
              <w:top w:val="single" w:color="64748B" w:sz="8"/>
              <w:bottom w:val="single" w:color="94A3B8" w:sz="4"/>
            </w:tcBorders>
            <w:shd w:fill="EEF2F7" w:color="auto" w:val="clear"/>
            <w:tcMar>
              <w:top w:type="dxa" w:w="40"/>
              <w:left w:type="dxa" w:w="80"/>
              <w:bottom w:type="dxa" w:w="40"/>
              <w:right w:type="dxa" w:w="80"/>
            </w:tcMar>
          </w:tcPr>
          <w:p>
            <w:pPr>
              <w:jc w:val="left"/>
            </w:pPr>
            <w:r>
              <w:rPr>
                <w:rFonts w:ascii="Calibri" w:cs="Calibri" w:eastAsia="Calibri" w:hAnsi="Calibri"/>
                <w:b/>
                <w:bCs/>
                <w:color w:val="1E3A5F"/>
                <w:sz w:val="17"/>
                <w:szCs w:val="17"/>
              </w:rPr>
              <w:t xml:space="preserve">Estado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Bases Metodológicas — Resolución 78/2026, Gaceta Oficial GOC-2026-O57</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Norma oficial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Ministerio de Economía y Planificación / Gaceta Oficial de la República de Cuba</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09/07/2026</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Estructura metodológica 4.1–4.12, unidades y contenido requeridos del plan de negocios (incluidos los desgloses por canal y los indicadores de beneficios directos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Estructura APLICADA por la aplicación; el cumplimiento del CONTENIDO depende de los datos del plan y de sus validaciones.</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Ley 118/2014 «Ley de la Inversión Extranjera» y Decreto-Ley 335/2018 (según la modalidad declarada en 4.5)</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legal declarada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Asamblea Nacional del Poder Popular / Consejo de Estado (referencia declarada por el usuario)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Modalidad de la inversión extranjera declarada en el apartado 4.5.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legal declarada: la aplicabilidad al proyecto concreto REQUIERE verificación jurídica documentada (el plan no acredita su cumplimiento).</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Tipo de cambio 743,0 CUP por USD (parámetro «tipo_cambio»)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Cotización / tasa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editable (743 CUP/USD, tasa ilustrativa pendiente de validación oficial; fecha de corte del supuesto: 2026-10-25). — SUPUESTO DE DEMOSTRACIÓN</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2026-10-25</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Conversión de salarios (CUP-&gt;USD), partidas de inversión en CUP y presentación dual del documento.</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PENDIENTE DE VALIDACIÓN OFICIAL: tasa ilustrativa; documente la tasa oficial vigente, su fecha y su fuente antes de un uso oficial.</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Tasa de impuesto sobre utilidades 35,0 % (parámetro «tasa_impuesto_utilidades»)</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editable. No constituye la tasa legal aplicable al negocio real: documente la fuente normativa y las condiciones antes de un uso oficial.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Impuesto sobre utilidades y, a través de él, utilidad neta, FCFF/FCFE (vía escudo fiscal), recuperaciones, dividendos y beneficios al país.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SUPUESTO DE DEMOSTRACIÓN que CONDICIONA las conclusiones económicas: documente la tasa legal aplicable antes de cualquier presentación.</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ap-ex-ef — Compromiso de aporte en efectivo (supuesto ficticio; adjuntar instrumento constitutivo)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420,0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ap-ex-af — Equipamiento dental e imagenología nuevos (factura proforma ilustrativa; avalúo pendiente)</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extranjero</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288,0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ap-na-af — Instalaciones adecuadas y montadas (avalúo ilustrativo; comprobar documentación de Patrimonio)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180,0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ap-na-ac — Inventario inicial de materiales y consumibles (ilustrativo)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152,0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Aportación ap-na-ef — Aporte en efectivo del socio nacional (supuesto ficticio)</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Socio nacional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Aporte de 140,0 kUSD al capital social.</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Referencia NO identificable (vacía, ficticia, proforma o pendiente): no cuenta como respaldo validado; adjunte el instrumento identificable (título, emisor, fecha).</w:t>
            </w:r>
          </w:p>
        </w:tc>
      </w:tr>
      <w:tr>
        <w:trPr>
          <w:cantSplit/>
        </w:trPr>
        <w:tc>
          <w:tcPr>
            <w:tcW w:type="dxa" w:w="219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Demanda solvente, captación y precios de servicios (apartados 4.6 y 4.8)</w:t>
            </w:r>
          </w:p>
        </w:tc>
        <w:tc>
          <w:tcPr>
            <w:tcW w:type="dxa" w:w="1409"/>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HIPÓTESIS ilustrativa</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Método ilustrativo por referencias públicas y supuestos de captación. La aplicación exige documentar fuentes y fechas; no simula investigación de mercado real.</w:t>
            </w:r>
          </w:p>
        </w:tc>
        <w:tc>
          <w:tcPr>
            <w:tcW w:type="dxa" w:w="542"/>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Volumen de servicios, ingresos por línea y desglose por canales.</w:t>
            </w:r>
          </w:p>
        </w:tc>
        <w:tc>
          <w:tcPr>
            <w:tcW w:type="dxa" w:w="1626"/>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Estimación del usuario/hipótesis ilustrativa: sin estudio de mercado verificable, la demanda NO debe presentarse como dato validado.</w:t>
            </w:r>
          </w:p>
        </w:tc>
      </w:tr>
      <w:tr>
        <w:trPr>
          <w:cantSplit/>
        </w:trPr>
        <w:tc>
          <w:tcPr>
            <w:tcW w:type="dxa" w:w="219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Requisitos regulatorios declarados (apartado 4.8)</w:t>
            </w:r>
          </w:p>
        </w:tc>
        <w:tc>
          <w:tcPr>
            <w:tcW w:type="dxa" w:w="1409"/>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Dato del usuario</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Usuario del plan</w:t>
            </w:r>
          </w:p>
        </w:tc>
        <w:tc>
          <w:tcPr>
            <w:tcW w:type="dxa" w:w="542"/>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Requisitos legales, sanitarios y ambientales identificados.</w:t>
            </w:r>
          </w:p>
        </w:tc>
        <w:tc>
          <w:tcPr>
            <w:tcW w:type="dxa" w:w="1626"/>
            <w:tcBorders>
              <w:bottom w:val="single" w:color="64748B" w:sz="8"/>
            </w:tcBorders>
            <w:tcMar>
              <w:top w:type="dxa" w:w="40"/>
              <w:left w:type="dxa" w:w="80"/>
              <w:bottom w:type="dxa" w:w="40"/>
              <w:right w:type="dxa" w:w="80"/>
            </w:tcMar>
          </w:tcPr>
          <w:p>
            <w:pPr>
              <w:jc w:val="left"/>
            </w:pPr>
            <w:r>
              <w:rPr>
                <w:rFonts w:ascii="Calibri" w:cs="Calibri" w:eastAsia="Calibri" w:hAnsi="Calibri"/>
                <w:b w:val="false"/>
                <w:bCs w:val="false"/>
                <w:color w:val="334155"/>
                <w:sz w:val="17"/>
                <w:szCs w:val="17"/>
              </w:rPr>
              <w:t xml:space="preserve">LISTADO no verificado: cada autorización exige evidencia externa comprobable (número, emisor, fecha y estado de aprobación). La aplicación NO declara su cumplimiento.</w:t>
            </w:r>
          </w:p>
        </w:tc>
      </w:tr>
    </w:tbl>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CUP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CUP.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32"/>
      <w:footerReference w:type="default" r:id="rId33"/>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theme" Target="theme/theme1.xml"/><Relationship Id="rId35" Type="http://schemas.openxmlformats.org/officeDocument/2006/relationships/image" Target="media/f7af0dcfa28c806367895230a5ea9b259620f029.png"/><Relationship Id="rId36" Type="http://schemas.openxmlformats.org/officeDocument/2006/relationships/image" Target="media/cd5ca77007d64a9f1db0087515c61b92b764fb6f.png"/><Relationship Id="rId37" Type="http://schemas.openxmlformats.org/officeDocument/2006/relationships/image" Target="media/b47280157fc58c0438f65242d47fa7bb1c63d08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CUP.</dc:description>
  <cp:lastModifiedBy>Un-named</cp:lastModifiedBy>
  <cp:revision>1</cp:revision>
  <dcterms:created xsi:type="dcterms:W3CDTF">2026-10-26T03:39:24.076Z</dcterms:created>
  <dcterms:modified xsi:type="dcterms:W3CDTF">2026-10-26T03:39:24.076Z</dcterms:modified>
</cp:coreProperties>
</file>

<file path=docProps/custom.xml><?xml version="1.0" encoding="utf-8"?>
<Properties xmlns="http://schemas.openxmlformats.org/officeDocument/2006/custom-properties" xmlns:vt="http://schemas.openxmlformats.org/officeDocument/2006/docPropsVTypes"/>
</file>