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Override ContentType="application/vnd.openxmlformats-officedocument.wordprocessingml.header+xml" PartName="/word/header4.xml"/>
  <Override ContentType="application/vnd.openxmlformats-officedocument.wordprocessingml.footer+xml" PartName="/word/footer4.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400"/>
      </w:pPr>
    </w:p>
    <w:p>
      <w:pPr>
        <w:spacing w:after="120"/>
        <w:jc w:val="center"/>
      </w:pPr>
      <w:r>
        <w:rPr>
          <w:rFonts w:ascii="Calibri" w:cs="Calibri" w:eastAsia="Calibri" w:hAnsi="Calibri"/>
          <w:b/>
          <w:bCs/>
          <w:color w:val="1E3A5F"/>
          <w:sz w:val="52"/>
          <w:szCs w:val="52"/>
        </w:rPr>
        <w:t xml:space="preserve">PLAN DE NEGOCIOS</w:t>
      </w:r>
    </w:p>
    <w:p>
      <w:pPr>
        <w:spacing w:after="80"/>
        <w:jc w:val="center"/>
      </w:pPr>
      <w:r>
        <w:rPr>
          <w:rFonts w:ascii="Calibri" w:cs="Calibri" w:eastAsia="Calibri" w:hAnsi="Calibri"/>
          <w:color w:val="334155"/>
          <w:sz w:val="22"/>
          <w:szCs w:val="22"/>
        </w:rPr>
        <w:t xml:space="preserve">Propuesta de negocio con inversión extranjera — Bases metodológicas GOC-2026-O57</w:t>
      </w:r>
    </w:p>
    <w:p>
      <w:pPr>
        <w:spacing w:after="400"/>
        <w:jc w:val="center"/>
      </w:pPr>
      <w:r>
        <w:rPr>
          <w:rFonts w:ascii="Calibri" w:cs="Calibri" w:eastAsia="Calibri" w:hAnsi="Calibri"/>
          <w:color w:val="64748B"/>
          <w:sz w:val="17"/>
          <w:szCs w:val="17"/>
        </w:rPr>
        <w:t xml:space="preserve">Elaborado con PLANEX Cuba</w:t>
      </w:r>
    </w:p>
    <w:p>
      <w:pPr>
        <w:spacing w:after="120"/>
        <w:jc w:val="center"/>
      </w:pPr>
      <w:r>
        <w:rPr>
          <w:rFonts w:ascii="Calibri" w:cs="Calibri" w:eastAsia="Calibri" w:hAnsi="Calibri"/>
          <w:b/>
          <w:bCs/>
          <w:color w:val="334155"/>
          <w:sz w:val="34"/>
          <w:szCs w:val="34"/>
        </w:rPr>
        <w:t xml:space="preserve">Clínica Estomatológica «Sonrisa Habana»</w:t>
      </w:r>
    </w:p>
    <w:p>
      <w:pPr>
        <w:spacing w:after="300"/>
        <w:jc w:val="center"/>
      </w:pPr>
      <w:r>
        <w:rPr>
          <w:rFonts w:ascii="Calibri" w:cs="Calibri" w:eastAsia="Calibri" w:hAnsi="Calibri"/>
          <w:color w:val="64748B"/>
          <w:sz w:val="21"/>
          <w:szCs w:val="21"/>
        </w:rPr>
        <w:t xml:space="preserve">Constitución de una empresa mixta para la prestación de servicios estomatológicos integrales en La Habana</w:t>
      </w:r>
    </w:p>
    <w:p>
      <w:pPr>
        <w:spacing w:after="50"/>
        <w:jc w:val="center"/>
      </w:pPr>
      <w:r>
        <w:rPr>
          <w:rFonts w:ascii="Calibri" w:cs="Calibri" w:eastAsia="Calibri" w:hAnsi="Calibri"/>
          <w:b/>
          <w:bCs/>
          <w:color w:val="334155"/>
          <w:sz w:val="19"/>
          <w:szCs w:val="19"/>
        </w:rPr>
        <w:t xml:space="preserve">Estado general del plan: </w:t>
      </w:r>
      <w:r>
        <w:rPr>
          <w:rFonts w:ascii="Calibri" w:cs="Calibri" w:eastAsia="Calibri" w:hAnsi="Calibri"/>
          <w:color w:val="334155"/>
          <w:sz w:val="19"/>
          <w:szCs w:val="19"/>
        </w:rPr>
        <w:t xml:space="preserve">Borrador de demostración (datos ficticios)</w:t>
      </w:r>
    </w:p>
    <w:p>
      <w:pPr>
        <w:spacing w:after="50"/>
        <w:jc w:val="center"/>
      </w:pPr>
      <w:r>
        <w:rPr>
          <w:rFonts w:ascii="Calibri" w:cs="Calibri" w:eastAsia="Calibri" w:hAnsi="Calibri"/>
          <w:b/>
          <w:bCs/>
          <w:color w:val="334155"/>
          <w:sz w:val="19"/>
          <w:szCs w:val="19"/>
        </w:rPr>
        <w:t xml:space="preserve">Inversión total: </w:t>
      </w:r>
      <w:r>
        <w:rPr>
          <w:rFonts w:ascii="Calibri" w:cs="Calibri" w:eastAsia="Calibri" w:hAnsi="Calibri"/>
          <w:color w:val="334155"/>
          <w:sz w:val="19"/>
          <w:szCs w:val="19"/>
        </w:rPr>
        <w:t xml:space="preserve">1.480,0 miles de USD</w:t>
      </w:r>
    </w:p>
    <w:p>
      <w:pPr>
        <w:spacing w:after="50"/>
        <w:jc w:val="center"/>
      </w:pPr>
      <w:r>
        <w:rPr>
          <w:rFonts w:ascii="Calibri" w:cs="Calibri" w:eastAsia="Calibri" w:hAnsi="Calibri"/>
          <w:b/>
          <w:bCs/>
          <w:color w:val="334155"/>
          <w:sz w:val="19"/>
          <w:szCs w:val="19"/>
        </w:rPr>
        <w:t xml:space="preserve">Horizonte de análisis: </w:t>
      </w:r>
      <w:r>
        <w:rPr>
          <w:rFonts w:ascii="Calibri" w:cs="Calibri" w:eastAsia="Calibri" w:hAnsi="Calibri"/>
          <w:color w:val="334155"/>
          <w:sz w:val="19"/>
          <w:szCs w:val="19"/>
        </w:rPr>
        <w:t xml:space="preserve">10 años</w:t>
      </w:r>
    </w:p>
    <w:p>
      <w:pPr>
        <w:spacing w:after="50"/>
        <w:jc w:val="center"/>
      </w:pPr>
      <w:r>
        <w:rPr>
          <w:rFonts w:ascii="Calibri" w:cs="Calibri" w:eastAsia="Calibri" w:hAnsi="Calibri"/>
          <w:b/>
          <w:bCs/>
          <w:color w:val="334155"/>
          <w:sz w:val="19"/>
          <w:szCs w:val="19"/>
        </w:rPr>
        <w:t xml:space="preserve">Recuperación de la inversión total (flujo del proyecto, simple): </w:t>
      </w:r>
      <w:r>
        <w:rPr>
          <w:rFonts w:ascii="Calibri" w:cs="Calibri" w:eastAsia="Calibri" w:hAnsi="Calibri"/>
          <w:color w:val="334155"/>
          <w:sz w:val="19"/>
          <w:szCs w:val="19"/>
        </w:rPr>
        <w:t xml:space="preserve">3,5 años</w:t>
      </w:r>
    </w:p>
    <w:p>
      <w:pPr>
        <w:spacing w:after="50"/>
        <w:jc w:val="center"/>
      </w:pPr>
      <w:r>
        <w:rPr>
          <w:rFonts w:ascii="Calibri" w:cs="Calibri" w:eastAsia="Calibri" w:hAnsi="Calibri"/>
          <w:b/>
          <w:bCs/>
          <w:color w:val="334155"/>
          <w:sz w:val="19"/>
          <w:szCs w:val="19"/>
        </w:rPr>
        <w:t xml:space="preserve">Recuperación del capital aportado (flujo de los socios, simple): </w:t>
      </w:r>
      <w:r>
        <w:rPr>
          <w:rFonts w:ascii="Calibri" w:cs="Calibri" w:eastAsia="Calibri" w:hAnsi="Calibri"/>
          <w:color w:val="334155"/>
          <w:sz w:val="19"/>
          <w:szCs w:val="19"/>
        </w:rPr>
        <w:t xml:space="preserve">3,2 años</w:t>
      </w:r>
    </w:p>
    <w:p>
      <w:pPr>
        <w:spacing w:after="50"/>
        <w:jc w:val="center"/>
      </w:pPr>
      <w:r>
        <w:rPr>
          <w:rFonts w:ascii="Calibri" w:cs="Calibri" w:eastAsia="Calibri" w:hAnsi="Calibri"/>
          <w:b/>
          <w:bCs/>
          <w:color w:val="334155"/>
          <w:sz w:val="19"/>
          <w:szCs w:val="19"/>
        </w:rPr>
        <w:t xml:space="preserve">Moneda de presentación del documento: </w:t>
      </w:r>
      <w:r>
        <w:rPr>
          <w:rFonts w:ascii="Calibri" w:cs="Calibri" w:eastAsia="Calibri" w:hAnsi="Calibri"/>
          <w:color w:val="334155"/>
          <w:sz w:val="19"/>
          <w:szCs w:val="19"/>
        </w:rPr>
        <w:t xml:space="preserve">USD — Miles de USD (kUSD)</w:t>
      </w:r>
    </w:p>
    <w:p>
      <w:pPr>
        <w:spacing w:after="50"/>
        <w:jc w:val="center"/>
      </w:pPr>
      <w:r>
        <w:rPr>
          <w:rFonts w:ascii="Calibri" w:cs="Calibri" w:eastAsia="Calibri" w:hAnsi="Calibri"/>
          <w:b/>
          <w:bCs/>
          <w:color w:val="334155"/>
          <w:sz w:val="19"/>
          <w:szCs w:val="19"/>
        </w:rPr>
        <w:t xml:space="preserve">Fecha del documento: </w:t>
      </w:r>
      <w:r>
        <w:rPr>
          <w:rFonts w:ascii="Calibri" w:cs="Calibri" w:eastAsia="Calibri" w:hAnsi="Calibri"/>
          <w:color w:val="334155"/>
          <w:sz w:val="19"/>
          <w:szCs w:val="19"/>
        </w:rPr>
        <w:t xml:space="preserve">25 de octubre de 2026</w:t>
      </w:r>
    </w:p>
    <w:p>
      <w:pPr>
        <w:spacing w:after="50"/>
        <w:jc w:val="center"/>
      </w:pPr>
      <w:r>
        <w:rPr>
          <w:rFonts w:ascii="Calibri" w:cs="Calibri" w:eastAsia="Calibri" w:hAnsi="Calibri"/>
          <w:b/>
          <w:bCs/>
          <w:color w:val="334155"/>
          <w:sz w:val="19"/>
          <w:szCs w:val="19"/>
        </w:rPr>
        <w:t xml:space="preserve">Versión de esquema: </w:t>
      </w:r>
      <w:r>
        <w:rPr>
          <w:rFonts w:ascii="Calibri" w:cs="Calibri" w:eastAsia="Calibri" w:hAnsi="Calibri"/>
          <w:color w:val="334155"/>
          <w:sz w:val="19"/>
          <w:szCs w:val="19"/>
        </w:rPr>
        <w:t xml:space="preserve">2.0.0</w:t>
      </w:r>
    </w:p>
    <w:p>
      <w:pPr>
        <w:spacing w:before="200"/>
      </w:pPr>
    </w:p>
    <w:tbl>
      <w:tblPr>
        <w:tblW w:type="dxa" w:w="9026"/>
        <w:tblBorders>
          <w:top w:val="single" w:color="B45309" w:sz="6"/>
          <w:left w:val="single" w:color="B45309" w:sz="6"/>
          <w:bottom w:val="single" w:color="B45309" w:sz="6"/>
          <w:right w:val="single" w:color="B45309" w:sz="6"/>
          <w:insideH w:val="none" w:color="auto" w:sz="0"/>
          <w:insideV w:val="none" w:color="auto" w:sz="0"/>
        </w:tblBorders>
      </w:tblPr>
      <w:tblGrid>
        <w:gridCol w:w="9026"/>
      </w:tblGrid>
      <w:tr>
        <w:trPr>
          <w:cantSplit/>
        </w:trPr>
        <w:tc>
          <w:tcPr>
            <w:shd w:fill="FFF3CD" w:color="auto" w:val="clear"/>
            <w:tcMar>
              <w:top w:type="dxa" w:w="100"/>
              <w:left w:type="dxa" w:w="140"/>
              <w:bottom w:type="dxa" w:w="100"/>
              <w:right w:type="dxa" w:w="140"/>
            </w:tcMar>
          </w:tcPr>
          <w:p>
            <w:pPr>
              <w:spacing w:after="60" w:before="60"/>
            </w:pPr>
            <w:r>
              <w:rPr>
                <w:rFonts w:ascii="Calibri" w:cs="Calibri" w:eastAsia="Calibri" w:hAnsi="Calibri"/>
                <w:color w:val="92400E"/>
                <w:sz w:val="16"/>
                <w:szCs w:val="16"/>
              </w:rPr>
              <w:t xml:space="preserve">EJEMPLO ILUSTRATIVO CON DATOS FICTICIOS. No constituye una propuesta aprobada ni acredita el cumplimiento de requisitos legales, tributarios, sanitarios o de inversión. Validar las cifras, supuestos, autorizaciones y requisitos aplicables antes de su presentación oficial.</w:t>
            </w:r>
          </w:p>
        </w:tc>
      </w:tr>
    </w:tbl>
    <w:p>
      <w:pPr>
        <w:sectPr>
          <w:pgSz w:w="11906" w:h="16838" w:orient="portrait"/>
          <w:pgMar w:top="1440" w:right="1440" w:bottom="1440" w:left="1440" w:header="708" w:footer="708" w:gutter="0"/>
          <w:pgNumType/>
          <w:docGrid w:linePitch="360"/>
        </w:sectPr>
      </w:pPr>
    </w:p>
    <w:p>
      <w:pPr>
        <w:pStyle w:val="Heading1"/>
        <w:pageBreakBefore/>
      </w:pPr>
      <w:bookmarkStart w:name="_Toc15" w:id="15"/>
      <w:r>
        <w:rPr>
          <w:rFonts w:ascii="Calibri" w:cs="Calibri" w:eastAsia="Calibri" w:hAnsi="Calibri"/>
          <w:b/>
          <w:bCs/>
          <w:color w:val="1E3A5F"/>
          <w:sz w:val="30"/>
          <w:szCs w:val="30"/>
        </w:rPr>
        <w:t xml:space="preserve">Índice</w:t>
      </w:r>
      <w:bookmarkEnd w:id="15"/>
    </w:p>
    <w:sdt>
      <w:sdtPr>
        <w:alias w:val="Índice del plan de negocios"/>
      </w:sdtPr>
      <w:sdtContent>
        <w:p>
          <w:pPr>
            <w:pStyle w:val="TOC1"/>
            <w:tabs>
              <w:tab w:val="right" w:pos="9026" w:leader="dot"/>
            </w:tabs>
          </w:pPr>
          <w:r>
            <w:fldChar w:fldCharType="begin" w:dirty="true"/>
            <w:instrText xml:space="preserve">TOC \h \o "1-1"</w:instrText>
            <w:fldChar w:fldCharType="separate"/>
          </w:r>
          <w:hyperlink w:history="1" w:anchor="_Toc15">
            <w:r>
              <w:t xml:space="preserve">Índice</w:t>
            </w:r>
            <w:r>
              <w:tab/>
            </w:r>
            <w:r>
              <w:fldChar w:fldCharType="begin" w:dirty="true"/>
              <w:instrText xml:space="preserve">PAGEREF _Toc15 \h</w:instrText>
              <w:fldChar w:fldCharType="separate"/>
              <w:fldChar w:fldCharType="end"/>
            </w:r>
          </w:hyperlink>
        </w:p>
        <w:p>
          <w:pPr>
            <w:pStyle w:val="TOC1"/>
            <w:tabs>
              <w:tab w:val="right" w:pos="9026" w:leader="dot"/>
            </w:tabs>
          </w:pPr>
          <w:hyperlink w:history="1" w:anchor="_Toc16">
            <w:r>
              <w:t xml:space="preserve">4.1  Información general</w:t>
            </w:r>
            <w:r>
              <w:tab/>
            </w:r>
            <w:r>
              <w:fldChar w:fldCharType="begin" w:dirty="true"/>
              <w:instrText xml:space="preserve">PAGEREF _Toc16 \h</w:instrText>
              <w:fldChar w:fldCharType="separate"/>
              <w:fldChar w:fldCharType="end"/>
            </w:r>
          </w:hyperlink>
        </w:p>
        <w:p>
          <w:pPr>
            <w:pStyle w:val="TOC1"/>
            <w:tabs>
              <w:tab w:val="right" w:pos="9026" w:leader="dot"/>
            </w:tabs>
          </w:pPr>
          <w:hyperlink w:history="1" w:anchor="_Toc17">
            <w:r>
              <w:t xml:space="preserve">4.4  Resumen ejecutivo</w:t>
            </w:r>
            <w:r>
              <w:tab/>
            </w:r>
            <w:r>
              <w:fldChar w:fldCharType="begin" w:dirty="true"/>
              <w:instrText xml:space="preserve">PAGEREF _Toc17 \h</w:instrText>
              <w:fldChar w:fldCharType="separate"/>
              <w:fldChar w:fldCharType="end"/>
            </w:r>
          </w:hyperlink>
        </w:p>
        <w:p>
          <w:pPr>
            <w:pStyle w:val="TOC1"/>
            <w:tabs>
              <w:tab w:val="right" w:pos="9026" w:leader="dot"/>
            </w:tabs>
          </w:pPr>
          <w:hyperlink w:history="1" w:anchor="_Toc18">
            <w:r>
              <w:t xml:space="preserve">4.5  Descripción del negocio</w:t>
            </w:r>
            <w:r>
              <w:tab/>
            </w:r>
            <w:r>
              <w:fldChar w:fldCharType="begin" w:dirty="true"/>
              <w:instrText xml:space="preserve">PAGEREF _Toc18 \h</w:instrText>
              <w:fldChar w:fldCharType="separate"/>
              <w:fldChar w:fldCharType="end"/>
            </w:r>
          </w:hyperlink>
        </w:p>
        <w:p>
          <w:pPr>
            <w:pStyle w:val="TOC1"/>
            <w:tabs>
              <w:tab w:val="right" w:pos="9026" w:leader="dot"/>
            </w:tabs>
          </w:pPr>
          <w:hyperlink w:history="1" w:anchor="_Toc19">
            <w:r>
              <w:t xml:space="preserve">4.6  Aspectos técnicos y operativos</w:t>
            </w:r>
            <w:r>
              <w:tab/>
            </w:r>
            <w:r>
              <w:fldChar w:fldCharType="begin" w:dirty="true"/>
              <w:instrText xml:space="preserve">PAGEREF _Toc19 \h</w:instrText>
              <w:fldChar w:fldCharType="separate"/>
              <w:fldChar w:fldCharType="end"/>
            </w:r>
          </w:hyperlink>
        </w:p>
        <w:p>
          <w:pPr>
            <w:pStyle w:val="TOC1"/>
            <w:tabs>
              <w:tab w:val="right" w:pos="9026" w:leader="dot"/>
            </w:tabs>
          </w:pPr>
          <w:hyperlink w:history="1" w:anchor="_Toc20">
            <w:r>
              <w:t xml:space="preserve">4.7  Análisis financiero</w:t>
            </w:r>
            <w:r>
              <w:tab/>
            </w:r>
            <w:r>
              <w:fldChar w:fldCharType="begin" w:dirty="true"/>
              <w:instrText xml:space="preserve">PAGEREF _Toc20 \h</w:instrText>
              <w:fldChar w:fldCharType="separate"/>
              <w:fldChar w:fldCharType="end"/>
            </w:r>
          </w:hyperlink>
        </w:p>
        <w:p>
          <w:pPr>
            <w:pStyle w:val="TOC1"/>
            <w:tabs>
              <w:tab w:val="right" w:pos="9026" w:leader="dot"/>
            </w:tabs>
          </w:pPr>
          <w:hyperlink w:history="1" w:anchor="_Toc21">
            <w:r>
              <w:t xml:space="preserve">4.7.1  Flujos de caja y recuperación de la inversión</w:t>
            </w:r>
            <w:r>
              <w:tab/>
            </w:r>
            <w:r>
              <w:fldChar w:fldCharType="begin" w:dirty="true"/>
              <w:instrText xml:space="preserve">PAGEREF _Toc21 \h</w:instrText>
              <w:fldChar w:fldCharType="separate"/>
              <w:fldChar w:fldCharType="end"/>
            </w:r>
          </w:hyperlink>
        </w:p>
        <w:p>
          <w:pPr>
            <w:pStyle w:val="TOC1"/>
            <w:tabs>
              <w:tab w:val="right" w:pos="9026" w:leader="dot"/>
            </w:tabs>
          </w:pPr>
          <w:hyperlink w:history="1" w:anchor="_Toc22">
            <w:r>
              <w:t xml:space="preserve">4.8  Análisis o caracterización del mercado</w:t>
            </w:r>
            <w:r>
              <w:tab/>
            </w:r>
            <w:r>
              <w:fldChar w:fldCharType="begin" w:dirty="true"/>
              <w:instrText xml:space="preserve">PAGEREF _Toc22 \h</w:instrText>
              <w:fldChar w:fldCharType="separate"/>
              <w:fldChar w:fldCharType="end"/>
            </w:r>
          </w:hyperlink>
        </w:p>
        <w:p>
          <w:pPr>
            <w:pStyle w:val="TOC1"/>
            <w:tabs>
              <w:tab w:val="right" w:pos="9026" w:leader="dot"/>
            </w:tabs>
          </w:pPr>
          <w:hyperlink w:history="1" w:anchor="_Toc23">
            <w:r>
              <w:t xml:space="preserve">4.9  Fuerza de trabajo</w:t>
            </w:r>
            <w:r>
              <w:tab/>
            </w:r>
            <w:r>
              <w:fldChar w:fldCharType="begin" w:dirty="true"/>
              <w:instrText xml:space="preserve">PAGEREF _Toc23 \h</w:instrText>
              <w:fldChar w:fldCharType="separate"/>
              <w:fldChar w:fldCharType="end"/>
            </w:r>
          </w:hyperlink>
        </w:p>
        <w:p>
          <w:pPr>
            <w:pStyle w:val="TOC1"/>
            <w:tabs>
              <w:tab w:val="right" w:pos="9026" w:leader="dot"/>
            </w:tabs>
          </w:pPr>
          <w:hyperlink w:history="1" w:anchor="_Toc24">
            <w:r>
              <w:t xml:space="preserve">4.10  Inversiones</w:t>
            </w:r>
            <w:r>
              <w:tab/>
            </w:r>
            <w:r>
              <w:fldChar w:fldCharType="begin" w:dirty="true"/>
              <w:instrText xml:space="preserve">PAGEREF _Toc24 \h</w:instrText>
              <w:fldChar w:fldCharType="separate"/>
              <w:fldChar w:fldCharType="end"/>
            </w:r>
          </w:hyperlink>
        </w:p>
        <w:p>
          <w:pPr>
            <w:pStyle w:val="TOC1"/>
            <w:tabs>
              <w:tab w:val="right" w:pos="9026" w:leader="dot"/>
            </w:tabs>
          </w:pPr>
          <w:hyperlink w:history="1" w:anchor="_Toc25">
            <w:r>
              <w:t xml:space="preserve">4.11  Indicadores de beneficios directos al país</w:t>
            </w:r>
            <w:r>
              <w:tab/>
            </w:r>
            <w:r>
              <w:fldChar w:fldCharType="begin" w:dirty="true"/>
              <w:instrText xml:space="preserve">PAGEREF _Toc25 \h</w:instrText>
              <w:fldChar w:fldCharType="separate"/>
              <w:fldChar w:fldCharType="end"/>
            </w:r>
          </w:hyperlink>
        </w:p>
        <w:p>
          <w:pPr>
            <w:pStyle w:val="TOC1"/>
            <w:tabs>
              <w:tab w:val="right" w:pos="9026" w:leader="dot"/>
            </w:tabs>
          </w:pPr>
          <w:hyperlink w:history="1" w:anchor="_Toc26">
            <w:r>
              <w:t xml:space="preserve">4.12  Conclusiones</w:t>
            </w:r>
            <w:r>
              <w:tab/>
            </w:r>
            <w:r>
              <w:fldChar w:fldCharType="begin" w:dirty="true"/>
              <w:instrText xml:space="preserve">PAGEREF _Toc26 \h</w:instrText>
              <w:fldChar w:fldCharType="separate"/>
              <w:fldChar w:fldCharType="end"/>
            </w:r>
          </w:hyperlink>
        </w:p>
        <w:p>
          <w:pPr>
            <w:pStyle w:val="TOC1"/>
            <w:tabs>
              <w:tab w:val="right" w:pos="9026" w:leader="dot"/>
            </w:tabs>
          </w:pPr>
          <w:hyperlink w:history="1" w:anchor="_Toc27">
            <w:r>
              <w:t xml:space="preserve">Diagnóstico y controles de consistencia</w:t>
            </w:r>
            <w:r>
              <w:tab/>
            </w:r>
            <w:r>
              <w:fldChar w:fldCharType="begin" w:dirty="true"/>
              <w:instrText xml:space="preserve">PAGEREF _Toc27 \h</w:instrText>
              <w:fldChar w:fldCharType="separate"/>
              <w:fldChar w:fldCharType="end"/>
            </w:r>
          </w:hyperlink>
        </w:p>
        <w:p>
          <w:pPr>
            <w:pStyle w:val="TOC1"/>
            <w:tabs>
              <w:tab w:val="right" w:pos="9026" w:leader="dot"/>
            </w:tabs>
          </w:pPr>
          <w:hyperlink w:history="1" w:anchor="_Toc28">
            <w:r>
              <w:t xml:space="preserve">Notas, parámetros y supuestos del modelo</w:t>
            </w:r>
            <w:r>
              <w:tab/>
            </w:r>
            <w:r>
              <w:fldChar w:fldCharType="begin" w:dirty="true"/>
              <w:instrText xml:space="preserve">PAGEREF _Toc28 \h</w:instrText>
              <w:fldChar w:fldCharType="separate"/>
              <w:fldChar w:fldCharType="end"/>
            </w:r>
          </w:hyperlink>
        </w:p>
        <w:p>
          <w:r>
            <w:fldChar w:fldCharType="end"/>
          </w:r>
        </w:p>
      </w:sdtContent>
    </w:sdt>
    <w:p>
      <w:pPr>
        <w:sectPr>
          <w:headerReference w:type="default" r:id="rId6"/>
          <w:footerReference w:type="default" r:id="rId7"/>
          <w:pgSz w:w="11906" w:h="16838" w:orient="portrait"/>
          <w:pgMar w:top="1440" w:right="1440" w:bottom="1440" w:left="1440" w:header="708" w:footer="708" w:gutter="0"/>
          <w:pgNumType/>
          <w:docGrid w:linePitch="360"/>
        </w:sectPr>
      </w:pPr>
    </w:p>
    <w:p>
      <w:pPr>
        <w:pStyle w:val="Heading1"/>
        <w:pageBreakBefore/>
      </w:pPr>
      <w:bookmarkStart w:name="_Toc16" w:id="16"/>
      <w:r>
        <w:rPr>
          <w:rFonts w:ascii="Calibri" w:cs="Calibri" w:eastAsia="Calibri" w:hAnsi="Calibri"/>
          <w:b/>
          <w:bCs/>
          <w:color w:val="1E3A5F"/>
          <w:sz w:val="30"/>
          <w:szCs w:val="30"/>
        </w:rPr>
        <w:t xml:space="preserve">4.1  Información general</w:t>
      </w:r>
      <w:bookmarkEnd w:id="16"/>
    </w:p>
    <w:p>
      <w:pPr>
        <w:spacing w:after="40" w:before="40"/>
        <w:jc w:val="left"/>
      </w:pPr>
      <w:r>
        <w:rPr>
          <w:rFonts w:ascii="Calibri" w:cs="Calibri" w:eastAsia="Calibri" w:hAnsi="Calibri"/>
          <w:b/>
          <w:bCs/>
          <w:color w:val="1E3A5F"/>
          <w:sz w:val="19"/>
          <w:szCs w:val="19"/>
        </w:rPr>
        <w:t xml:space="preserve">Elaborado por: </w:t>
      </w:r>
      <w:r>
        <w:rPr>
          <w:rFonts w:ascii="Calibri" w:cs="Calibri" w:eastAsia="Calibri" w:hAnsi="Calibri"/>
          <w:color w:val="334155"/>
          <w:sz w:val="19"/>
          <w:szCs w:val="19"/>
        </w:rPr>
        <w:t xml:space="preserve">[Pendiente: nombre y apellidos de quien elabora] (Especialista de inversiones (ejemplo ilustrativo))</w:t>
      </w:r>
    </w:p>
    <w:p>
      <w:pPr>
        <w:spacing w:after="40" w:before="40"/>
        <w:jc w:val="left"/>
      </w:pPr>
      <w:r>
        <w:rPr>
          <w:rFonts w:ascii="Calibri" w:cs="Calibri" w:eastAsia="Calibri" w:hAnsi="Calibri"/>
          <w:b/>
          <w:bCs/>
          <w:color w:val="1E3A5F"/>
          <w:sz w:val="19"/>
          <w:szCs w:val="19"/>
        </w:rPr>
        <w:t xml:space="preserve">Firma o identificación: </w:t>
      </w:r>
      <w:r>
        <w:rPr>
          <w:rFonts w:ascii="Calibri" w:cs="Calibri" w:eastAsia="Calibri" w:hAnsi="Calibri"/>
          <w:color w:val="334155"/>
          <w:sz w:val="19"/>
          <w:szCs w:val="19"/>
        </w:rPr>
        <w:t xml:space="preserve">—</w:t>
      </w:r>
    </w:p>
    <w:p>
      <w:pPr>
        <w:spacing w:after="40" w:before="40"/>
        <w:jc w:val="left"/>
      </w:pPr>
      <w:r>
        <w:rPr>
          <w:rFonts w:ascii="Calibri" w:cs="Calibri" w:eastAsia="Calibri" w:hAnsi="Calibri"/>
          <w:b/>
          <w:bCs/>
          <w:color w:val="1E3A5F"/>
          <w:sz w:val="19"/>
          <w:szCs w:val="19"/>
        </w:rPr>
        <w:t xml:space="preserve">Fecha: </w:t>
      </w:r>
      <w:r>
        <w:rPr>
          <w:rFonts w:ascii="Calibri" w:cs="Calibri" w:eastAsia="Calibri" w:hAnsi="Calibri"/>
          <w:color w:val="334155"/>
          <w:sz w:val="19"/>
          <w:szCs w:val="19"/>
        </w:rPr>
        <w:t xml:space="preserve">25 de octubre de 2026</w:t>
      </w:r>
    </w:p>
    <w:p>
      <w:pPr>
        <w:spacing w:after="60" w:before="60" w:line="276"/>
        <w:jc w:val="both"/>
      </w:pPr>
      <w:r>
        <w:rPr>
          <w:rFonts w:ascii="Calibri" w:cs="Calibri" w:eastAsia="Calibri" w:hAnsi="Calibri"/>
          <w:color w:val="334155"/>
          <w:sz w:val="20"/>
          <w:szCs w:val="20"/>
        </w:rPr>
        <w:t xml:space="preserve">Declaración de responsabilidad sobre la veracidad y confiabilidad de los datos:</w:t>
      </w:r>
    </w:p>
    <w:p>
      <w:pPr>
        <w:spacing w:after="60" w:before="60" w:line="276"/>
        <w:jc w:val="both"/>
      </w:pPr>
      <w:r>
        <w:rPr>
          <w:rFonts w:ascii="Calibri" w:cs="Calibri" w:eastAsia="Calibri" w:hAnsi="Calibri"/>
          <w:i/>
          <w:iCs/>
          <w:color w:val="334155"/>
          <w:sz w:val="20"/>
          <w:szCs w:val="20"/>
        </w:rPr>
        <w:t xml:space="preserve">PENDIENTE DE ACEPTAR: el elaborador no ha aceptado la declaración de responsabilidad en la aplicación. El documento no puede presentarse como definitivo ni como firmado.</w:t>
      </w:r>
    </w:p>
    <w:tbl>
      <w:tblPr>
        <w:tblW w:type="dxa" w:w="9026"/>
        <w:tblBorders>
          <w:top w:val="single" w:color="B45309" w:sz="6"/>
          <w:left w:val="single" w:color="B45309" w:sz="6"/>
          <w:bottom w:val="single" w:color="B45309" w:sz="6"/>
          <w:right w:val="single" w:color="B45309" w:sz="6"/>
          <w:insideH w:val="none" w:color="auto" w:sz="0"/>
          <w:insideV w:val="none" w:color="auto" w:sz="0"/>
        </w:tblBorders>
      </w:tblPr>
      <w:tblGrid>
        <w:gridCol w:w="9026"/>
      </w:tblGrid>
      <w:tr>
        <w:trPr>
          <w:cantSplit/>
        </w:trPr>
        <w:tc>
          <w:tcPr>
            <w:shd w:fill="FFF3CD" w:color="auto" w:val="clear"/>
            <w:tcMar>
              <w:top w:type="dxa" w:w="100"/>
              <w:left w:type="dxa" w:w="140"/>
              <w:bottom w:type="dxa" w:w="100"/>
              <w:right w:type="dxa" w:w="140"/>
            </w:tcMar>
          </w:tcPr>
          <w:p>
            <w:pPr>
              <w:spacing w:after="60" w:before="60"/>
            </w:pPr>
            <w:r>
              <w:rPr>
                <w:rFonts w:ascii="Calibri" w:cs="Calibri" w:eastAsia="Calibri" w:hAnsi="Calibri"/>
                <w:color w:val="92400E"/>
                <w:sz w:val="16"/>
                <w:szCs w:val="16"/>
              </w:rPr>
              <w:t xml:space="preserve">BORRADOR NO APTO PARA PRESENTACIÓN: hay 3 campo(s) obligatorio(s) sin completar en 4.1 (Nombre y apellidos de quien elabora; Firma o identificación; Declaración de responsabilidad no aceptada). Este documento es un borrador: no simula identidad, firma ni responsabilidad de persona alguna y no está en condiciones de entregarse a un cliente o inversionista hasta completar los campos y aceptar la declaración.</w:t>
            </w:r>
          </w:p>
        </w:tc>
      </w:tr>
    </w:tbl>
    <w:p>
      <w:pPr>
        <w:pStyle w:val="Heading2"/>
        <w:spacing w:after="80" w:before="220"/>
      </w:pPr>
      <w:r>
        <w:rPr>
          <w:rFonts w:ascii="Calibri" w:cs="Calibri" w:eastAsia="Calibri" w:hAnsi="Calibri"/>
          <w:b/>
          <w:bCs/>
          <w:color w:val="1E3A5F"/>
          <w:sz w:val="24"/>
          <w:szCs w:val="24"/>
        </w:rPr>
        <w:t xml:space="preserve">4.2  Título</w:t>
      </w:r>
    </w:p>
    <w:p>
      <w:pPr>
        <w:spacing w:after="40" w:before="40"/>
        <w:jc w:val="left"/>
      </w:pPr>
      <w:r>
        <w:rPr>
          <w:rFonts w:ascii="Calibri" w:cs="Calibri" w:eastAsia="Calibri" w:hAnsi="Calibri"/>
          <w:b/>
          <w:bCs/>
          <w:color w:val="1E3A5F"/>
          <w:sz w:val="19"/>
          <w:szCs w:val="19"/>
        </w:rPr>
        <w:t xml:space="preserve">Nombre del proyecto: </w:t>
      </w:r>
      <w:r>
        <w:rPr>
          <w:rFonts w:ascii="Calibri" w:cs="Calibri" w:eastAsia="Calibri" w:hAnsi="Calibri"/>
          <w:color w:val="334155"/>
          <w:sz w:val="19"/>
          <w:szCs w:val="19"/>
        </w:rPr>
        <w:t xml:space="preserve">Clínica Estomatológica «Sonrisa Habana»</w:t>
      </w:r>
    </w:p>
    <w:p>
      <w:pPr>
        <w:spacing w:after="40" w:before="40"/>
        <w:jc w:val="left"/>
      </w:pPr>
      <w:r>
        <w:rPr>
          <w:rFonts w:ascii="Calibri" w:cs="Calibri" w:eastAsia="Calibri" w:hAnsi="Calibri"/>
          <w:b/>
          <w:bCs/>
          <w:color w:val="1E3A5F"/>
          <w:sz w:val="19"/>
          <w:szCs w:val="19"/>
        </w:rPr>
        <w:t xml:space="preserve">Denominación de la propuesta: </w:t>
      </w:r>
      <w:r>
        <w:rPr>
          <w:rFonts w:ascii="Calibri" w:cs="Calibri" w:eastAsia="Calibri" w:hAnsi="Calibri"/>
          <w:color w:val="334155"/>
          <w:sz w:val="19"/>
          <w:szCs w:val="19"/>
        </w:rPr>
        <w:t xml:space="preserve">Constitución de una empresa mixta para la prestación de servicios estomatológicos integrales en La Habana</w:t>
      </w:r>
    </w:p>
    <w:p>
      <w:pPr>
        <w:pStyle w:val="Heading1"/>
        <w:pageBreakBefore/>
      </w:pPr>
      <w:bookmarkStart w:name="_Toc17" w:id="17"/>
      <w:r>
        <w:rPr>
          <w:rFonts w:ascii="Calibri" w:cs="Calibri" w:eastAsia="Calibri" w:hAnsi="Calibri"/>
          <w:b/>
          <w:bCs/>
          <w:color w:val="1E3A5F"/>
          <w:sz w:val="30"/>
          <w:szCs w:val="30"/>
        </w:rPr>
        <w:t xml:space="preserve">4.4  Resumen ejecutivo</w:t>
      </w:r>
      <w:bookmarkEnd w:id="17"/>
    </w:p>
    <w:p>
      <w:pPr>
        <w:spacing w:after="60" w:before="60" w:line="276"/>
        <w:jc w:val="both"/>
      </w:pPr>
      <w:r>
        <w:rPr>
          <w:rFonts w:ascii="Calibri" w:cs="Calibri" w:eastAsia="Calibri" w:hAnsi="Calibri"/>
          <w:color w:val="334155"/>
          <w:sz w:val="20"/>
          <w:szCs w:val="20"/>
        </w:rPr>
        <w:t xml:space="preserve">Ejemplo ilustrativo de una propuesta de constitución de una empresa mixta entre un inversionista extranjero del sector de servicios de salud y una entidad nacional cubana, para la prestación de servicios estomatológicos integrales en La Habana. La propuesta contempla la rehabilitación y equipamiento de una instalación asistencial con 5 gabinetes, la incorporación de tecnologías de imagenología digital y laboratorio de prótesis, y la generación de empleo calificado. Todas las cifras de este ejemplo son datos ficticios de demostración de la aplicación: la síntesis cuantitativa del resumen se genera automáticamente desde el modelo financiero y se recalcula al cambiar cualquier parámetro o fórmula. Antes de cualquier presentación oficial deben sustituirse los supuestos y validarse las autorizaciones legales, sanitarias y tributarias aplicables.</w:t>
      </w:r>
    </w:p>
    <w:p>
      <w:pPr>
        <w:spacing w:after="60" w:before="60" w:line="276"/>
        <w:jc w:val="both"/>
      </w:pPr>
      <w:r>
        <w:rPr>
          <w:rFonts w:ascii="Calibri" w:cs="Calibri" w:eastAsia="Calibri" w:hAnsi="Calibri"/>
          <w:i/>
          <w:iCs/>
          <w:color w:val="334155"/>
          <w:sz w:val="20"/>
          <w:szCs w:val="20"/>
        </w:rPr>
        <w:t xml:space="preserve">ESTADO GENERAL DEL PLAN: Borrador de demostración (datos ficticios). Plantilla de demostración con datos ficticios: sus cifras NO son datos reales y el informe no está en condiciones de presentarse a un cliente o inversionista. El diagnóstico del final del documento desarrolla las seis dimensiones de control; el plan no se clasifica como globalmente «correcto» porque las sumas cuadren.</w:t>
      </w:r>
    </w:p>
    <w:p>
      <w:pPr>
        <w:pStyle w:val="NotaTabla"/>
        <w:keepNext/>
        <w:keepLines/>
        <w:spacing w:after="80" w:before="200"/>
      </w:pPr>
      <w:r>
        <w:rPr>
          <w:rFonts w:ascii="Calibri" w:cs="Calibri" w:eastAsia="Calibri" w:hAnsi="Calibri"/>
          <w:b/>
          <w:bCs/>
          <w:color w:val="1E3A5F"/>
          <w:sz w:val="18"/>
          <w:szCs w:val="18"/>
        </w:rPr>
        <w:t xml:space="preserve">Tabla 1. Cifras clave (vinculadas al modelo financiero activo)</w:t>
      </w:r>
    </w:p>
    <w:tbl>
      <w:tblPr>
        <w:tblW w:type="dxa" w:w="9026"/>
        <w:tblBorders>
          <w:top w:val="none" w:color="auto" w:sz="0"/>
          <w:left w:val="none" w:color="auto" w:sz="0"/>
          <w:bottom w:val="none" w:color="auto" w:sz="0"/>
          <w:right w:val="none" w:color="auto" w:sz="0"/>
          <w:insideH w:val="none" w:color="auto" w:sz="0"/>
          <w:insideV w:val="none" w:color="auto" w:sz="0"/>
        </w:tblBorders>
      </w:tblPr>
      <w:tblGrid>
        <w:gridCol w:w="4513"/>
        <w:gridCol w:w="4513"/>
      </w:tblGrid>
      <w:tr>
        <w:trPr>
          <w:cantSplit/>
          <w:tblHeader/>
        </w:trPr>
        <w:tc>
          <w:tcPr>
            <w:tcW w:type="dxa" w:w="4513"/>
            <w:tcBorders>
              <w:top w:val="single" w:color="64748B" w:sz="8"/>
              <w:bottom w:val="single" w:color="94A3B8" w:sz="4"/>
            </w:tcBorders>
            <w:shd w:fill="EEF2F7" w:color="auto" w:val="clear"/>
            <w:tcMar>
              <w:top w:type="dxa" w:w="40"/>
              <w:left w:type="dxa" w:w="80"/>
              <w:bottom w:type="dxa" w:w="40"/>
              <w:right w:type="dxa" w:w="80"/>
            </w:tcMar>
          </w:tcPr>
          <w:p>
            <w:pPr>
              <w:jc w:val="left"/>
            </w:pPr>
            <w:r>
              <w:rPr>
                <w:rFonts w:ascii="Calibri" w:cs="Calibri" w:eastAsia="Calibri" w:hAnsi="Calibri"/>
                <w:b/>
                <w:bCs/>
                <w:color w:val="1E3A5F"/>
                <w:sz w:val="17"/>
                <w:szCs w:val="17"/>
              </w:rPr>
              <w:t xml:space="preserve">Indicador</w:t>
            </w:r>
          </w:p>
        </w:tc>
        <w:tc>
          <w:tcPr>
            <w:tcW w:type="dxa" w:w="4513"/>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7"/>
                <w:szCs w:val="17"/>
              </w:rPr>
              <w:t xml:space="preserve">Valor</w:t>
            </w:r>
          </w:p>
        </w:tc>
      </w:tr>
      <w:tr>
        <w:trPr>
          <w:cantSplit/>
        </w:trPr>
        <w:tc>
          <w:tcPr>
            <w:tcW w:type="dxa" w:w="451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Estado general del plan</w:t>
            </w:r>
          </w:p>
        </w:tc>
        <w:tc>
          <w:tcPr>
            <w:tcW w:type="dxa" w:w="4513"/>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Borrador de demostración (datos ficticios)</w:t>
            </w:r>
          </w:p>
        </w:tc>
      </w:tr>
      <w:tr>
        <w:trPr>
          <w:cantSplit/>
        </w:trPr>
        <w:tc>
          <w:tcPr>
            <w:tcW w:type="dxa" w:w="451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Inversión total (miles de USD)</w:t>
            </w:r>
          </w:p>
        </w:tc>
        <w:tc>
          <w:tcPr>
            <w:tcW w:type="dxa" w:w="4513"/>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1.480,0</w:t>
            </w:r>
          </w:p>
        </w:tc>
      </w:tr>
      <w:tr>
        <w:trPr>
          <w:cantSplit/>
        </w:trPr>
        <w:tc>
          <w:tcPr>
            <w:tcW w:type="dxa" w:w="451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Aportaciones de los socios (miles de USD)</w:t>
            </w:r>
          </w:p>
        </w:tc>
        <w:tc>
          <w:tcPr>
            <w:tcW w:type="dxa" w:w="4513"/>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1.180,0</w:t>
            </w:r>
          </w:p>
        </w:tc>
      </w:tr>
      <w:tr>
        <w:trPr>
          <w:cantSplit/>
        </w:trPr>
        <w:tc>
          <w:tcPr>
            <w:tcW w:type="dxa" w:w="451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Crédito externo previsto (miles de USD)</w:t>
            </w:r>
          </w:p>
        </w:tc>
        <w:tc>
          <w:tcPr>
            <w:tcW w:type="dxa" w:w="4513"/>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300,0</w:t>
            </w:r>
          </w:p>
        </w:tc>
      </w:tr>
      <w:tr>
        <w:trPr>
          <w:cantSplit/>
        </w:trPr>
        <w:tc>
          <w:tcPr>
            <w:tcW w:type="dxa" w:w="451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Horizonte de análisis (años)</w:t>
            </w:r>
          </w:p>
        </w:tc>
        <w:tc>
          <w:tcPr>
            <w:tcW w:type="dxa" w:w="4513"/>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10</w:t>
            </w:r>
          </w:p>
        </w:tc>
      </w:tr>
      <w:tr>
        <w:trPr>
          <w:cantSplit/>
        </w:trPr>
        <w:tc>
          <w:tcPr>
            <w:tcW w:type="dxa" w:w="451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Ingresos totales del año 1 (miles de USD)</w:t>
            </w:r>
          </w:p>
        </w:tc>
        <w:tc>
          <w:tcPr>
            <w:tcW w:type="dxa" w:w="4513"/>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967,8</w:t>
            </w:r>
          </w:p>
        </w:tc>
      </w:tr>
      <w:tr>
        <w:trPr>
          <w:cantSplit/>
        </w:trPr>
        <w:tc>
          <w:tcPr>
            <w:tcW w:type="dxa" w:w="451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Utilidad después de impuestos del año 1 (miles de USD)</w:t>
            </w:r>
          </w:p>
        </w:tc>
        <w:tc>
          <w:tcPr>
            <w:tcW w:type="dxa" w:w="4513"/>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251,5</w:t>
            </w:r>
          </w:p>
        </w:tc>
      </w:tr>
      <w:tr>
        <w:trPr>
          <w:cantSplit/>
        </w:trPr>
        <w:tc>
          <w:tcPr>
            <w:tcW w:type="dxa" w:w="451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Recuperación de la INVERSIÓN TOTAL (flujo del proyecto, simple sin descontar)</w:t>
            </w:r>
          </w:p>
        </w:tc>
        <w:tc>
          <w:tcPr>
            <w:tcW w:type="dxa" w:w="4513"/>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3,5 años</w:t>
            </w:r>
          </w:p>
        </w:tc>
      </w:tr>
      <w:tr>
        <w:trPr>
          <w:cantSplit/>
        </w:trPr>
        <w:tc>
          <w:tcPr>
            <w:tcW w:type="dxa" w:w="451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Recuperación del CAPITAL APORTADO (flujo de los socios, simple sin descontar)</w:t>
            </w:r>
          </w:p>
        </w:tc>
        <w:tc>
          <w:tcPr>
            <w:tcW w:type="dxa" w:w="4513"/>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3,2 años</w:t>
            </w:r>
          </w:p>
        </w:tc>
      </w:tr>
      <w:tr>
        <w:trPr>
          <w:cantSplit/>
        </w:trPr>
        <w:tc>
          <w:tcPr>
            <w:tcW w:type="dxa" w:w="451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Beneficios directos al país acumulados — período completo (miles de USD)</w:t>
            </w:r>
          </w:p>
        </w:tc>
        <w:tc>
          <w:tcPr>
            <w:tcW w:type="dxa" w:w="4513"/>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4.297,4</w:t>
            </w:r>
          </w:p>
        </w:tc>
      </w:tr>
      <w:tr>
        <w:trPr>
          <w:cantSplit/>
        </w:trPr>
        <w:tc>
          <w:tcPr>
            <w:tcW w:type="dxa" w:w="451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Beneficios directos al país — explotación, años 1–N (miles de USD)</w:t>
            </w:r>
          </w:p>
        </w:tc>
        <w:tc>
          <w:tcPr>
            <w:tcW w:type="dxa" w:w="4513"/>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4.296,7</w:t>
            </w:r>
          </w:p>
        </w:tc>
      </w:tr>
      <w:tr>
        <w:trPr>
          <w:cantSplit/>
        </w:trPr>
        <w:tc>
          <w:tcPr>
            <w:tcW w:type="dxa" w:w="451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Empleos directos en operación</w:t>
            </w:r>
          </w:p>
        </w:tc>
        <w:tc>
          <w:tcPr>
            <w:tcW w:type="dxa" w:w="4513"/>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27</w:t>
            </w:r>
          </w:p>
        </w:tc>
      </w:tr>
      <w:tr>
        <w:trPr>
          <w:cantSplit/>
        </w:trPr>
        <w:tc>
          <w:tcPr>
            <w:tcW w:type="dxa" w:w="4513"/>
            <w:tcBorders>
              <w:bottom w:val="single" w:color="64748B" w:sz="8"/>
            </w:tcBorders>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Salario promedio anual (CUP)</w:t>
            </w:r>
          </w:p>
        </w:tc>
        <w:tc>
          <w:tcPr>
            <w:tcW w:type="dxa" w:w="4513"/>
            <w:tcBorders>
              <w:bottom w:val="single" w:color="64748B" w:sz="8"/>
            </w:tcBorders>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567.111 CUP</w:t>
            </w:r>
          </w:p>
        </w:tc>
      </w:tr>
    </w:tbl>
    <w:p>
      <w:pPr>
        <w:pStyle w:val="AnalisisPlanex"/>
        <w:pBdr>
          <w:left w:val="single" w:color="B45309" w:sz="18" w:space="4"/>
        </w:pBdr>
        <w:shd w:fill="FFF7E6" w:color="auto" w:val="clear"/>
        <w:spacing w:after="20" w:before="160"/>
      </w:pPr>
      <w:r>
        <w:rPr>
          <w:rFonts w:ascii="Calibri" w:cs="Calibri" w:eastAsia="Calibri" w:hAnsi="Calibri"/>
          <w:b/>
          <w:bCs/>
          <w:color w:val="B45309"/>
          <w:sz w:val="18"/>
          <w:szCs w:val="18"/>
        </w:rPr>
        <w:t xml:space="preserve">Resumen ejecutivo — análisis dinámico</w:t>
      </w:r>
      <w:r>
        <w:rPr>
          <w:rFonts w:ascii="Calibri" w:cs="Calibri" w:eastAsia="Calibri" w:hAnsi="Calibri"/>
          <w:color w:val="8C6428"/>
          <w:sz w:val="14"/>
          <w:szCs w:val="14"/>
        </w:rPr>
        <w:t xml:space="preserve">  ·  ANÁLISIS GENERADO POR EL MODELO</w:t>
      </w:r>
    </w:p>
    <w:p>
      <w:pPr>
        <w:pStyle w:val="AnalisisCuerpo"/>
        <w:pBdr>
          <w:left w:val="single" w:color="B45309" w:sz="18" w:space="4"/>
          <w:bottom w:val="single" w:color="FFF7E6" w:sz="2" w:space="1"/>
        </w:pBdr>
        <w:shd w:fill="FFF7E6" w:color="auto" w:val="clear"/>
        <w:spacing w:after="160" w:before="0"/>
        <w:jc w:val="both"/>
      </w:pPr>
      <w:r>
        <w:rPr>
          <w:rFonts w:ascii="Calibri" w:cs="Calibri" w:eastAsia="Calibri" w:hAnsi="Calibri"/>
          <w:color w:val="334155"/>
          <w:sz w:val="18"/>
          <w:szCs w:val="18"/>
        </w:rPr>
        <w:t xml:space="preserve">Clínica Estomatológica «Sonrisa Habana» es una propuesta de Empresa Mixta (Ley 118/2014; Decreto-Ley 335/2018 — referencia ilustrativa a validar) con una inversión total calculada de 1.480,0 miles de USD, financiada con 1.180,0 kUSD de aportaciones de los socios y un crédito de 300,0 kUSD, sobre un horizonte de análisis de 10 años. Con los supuestos activos, el modelo proyecta ingresos del año 1 por 967,8 miles de USD, utilidad después de impuestos de 251,5 kUSD y una plantilla de 27 trabajadores en operación. La inversión total se recupera en 3,5 años (recuperación simple, sin descontar) por el flujo de caja del proyecto; el capital aportado por los socios, en 3,2 años. Los beneficios directos al país acumulan 4.297,4 miles de USD en el período completo (explotación: 4.296,7 kUSD), con impuestos sobre utilidades por 2.387,2 kUSD y dividendos de la parte cubana por 1.220,3 kUSD. Riesgos y advertencias activas: gastos del año 0 sin cobertura financiera declarada; tasa tributaria de demostración que condiciona las conclusiones económicas. Mientras no se corrijan, el resumen no puede presentarse como una evaluación favorable. ADVERTENCIA ECONÓMICA: la tasa de impuesto aplicada (35,0 %) es un SUPUESTO DE DEMOSTRACIÓN no validado normativamente: la utilidad neta, los flujos FCFF/FCFE, las recuperaciones, los dividendos y los beneficios al país dependen de ella, por lo que las conclusiones económicas quedan CONDICIONADAS a la validación de la tasa legal aplicable. Datos pendientes de verificar: tasa tributaria aplicable, tipo de cambio oficial vigente, licencias y autorizaciones, certificaciones de aportes y demanda solvente documentada.</w:t>
      </w:r>
    </w:p>
    <w:p>
      <w:pPr>
        <w:pStyle w:val="NotaTexto"/>
        <w:spacing w:after="60" w:before="60" w:line="276"/>
        <w:jc w:val="both"/>
      </w:pPr>
      <w:r>
        <w:rPr>
          <w:rFonts w:ascii="Calibri" w:cs="Calibri" w:eastAsia="Calibri" w:hAnsi="Calibri"/>
          <w:color w:val="334155"/>
          <w:sz w:val="16"/>
          <w:szCs w:val="16"/>
        </w:rPr>
        <w:t xml:space="preserve">Las cifras del resumen cuantitativo provienen del modelo de cálculo activo (análisis dinámico) y se actualizan al cambiar parámetros o fórmulas.</w:t>
      </w:r>
    </w:p>
    <w:tbl>
      <w:tblPr>
        <w:tblW w:type="dxa" w:w="9026"/>
        <w:tblBorders>
          <w:top w:val="single" w:color="B45309" w:sz="6"/>
          <w:left w:val="single" w:color="B45309" w:sz="6"/>
          <w:bottom w:val="single" w:color="B45309" w:sz="6"/>
          <w:right w:val="single" w:color="B45309" w:sz="6"/>
          <w:insideH w:val="none" w:color="auto" w:sz="0"/>
          <w:insideV w:val="none" w:color="auto" w:sz="0"/>
        </w:tblBorders>
      </w:tblPr>
      <w:tblGrid>
        <w:gridCol w:w="9026"/>
      </w:tblGrid>
      <w:tr>
        <w:trPr>
          <w:cantSplit/>
        </w:trPr>
        <w:tc>
          <w:tcPr>
            <w:shd w:fill="FFF3CD" w:color="auto" w:val="clear"/>
            <w:tcMar>
              <w:top w:type="dxa" w:w="100"/>
              <w:left w:type="dxa" w:w="140"/>
              <w:bottom w:type="dxa" w:w="100"/>
              <w:right w:type="dxa" w:w="140"/>
            </w:tcMar>
          </w:tcPr>
          <w:p>
            <w:pPr>
              <w:spacing w:after="60" w:before="60"/>
            </w:pPr>
            <w:r>
              <w:rPr>
                <w:rFonts w:ascii="Calibri" w:cs="Calibri" w:eastAsia="Calibri" w:hAnsi="Calibri"/>
                <w:color w:val="92400E"/>
                <w:sz w:val="16"/>
                <w:szCs w:val="16"/>
              </w:rPr>
              <w:t xml:space="preserve">ADVERTENCIA: EJEMPLO ILUSTRATIVO CON DATOS FICTICIOS. No constituye una propuesta aprobada ni acredita el cumplimiento de requisitos legales, tributarios, sanitarios o de inversión. Validar las cifras, supuestos, autorizaciones y requisitos aplicables antes de su presentación oficial.</w:t>
            </w:r>
          </w:p>
        </w:tc>
      </w:tr>
    </w:tbl>
    <w:p>
      <w:pPr>
        <w:pStyle w:val="Heading1"/>
        <w:pageBreakBefore/>
      </w:pPr>
      <w:bookmarkStart w:name="_Toc18" w:id="18"/>
      <w:r>
        <w:rPr>
          <w:rFonts w:ascii="Calibri" w:cs="Calibri" w:eastAsia="Calibri" w:hAnsi="Calibri"/>
          <w:b/>
          <w:bCs/>
          <w:color w:val="1E3A5F"/>
          <w:sz w:val="30"/>
          <w:szCs w:val="30"/>
        </w:rPr>
        <w:t xml:space="preserve">4.5  Descripción del negocio</w:t>
      </w:r>
      <w:bookmarkEnd w:id="18"/>
    </w:p>
    <w:p>
      <w:pPr>
        <w:spacing w:after="40" w:before="40"/>
        <w:jc w:val="left"/>
      </w:pPr>
      <w:r>
        <w:rPr>
          <w:rFonts w:ascii="Calibri" w:cs="Calibri" w:eastAsia="Calibri" w:hAnsi="Calibri"/>
          <w:b/>
          <w:bCs/>
          <w:color w:val="1E3A5F"/>
          <w:sz w:val="19"/>
          <w:szCs w:val="19"/>
        </w:rPr>
        <w:t xml:space="preserve">Modalidad de la inversión extranjera: </w:t>
      </w:r>
      <w:r>
        <w:rPr>
          <w:rFonts w:ascii="Calibri" w:cs="Calibri" w:eastAsia="Calibri" w:hAnsi="Calibri"/>
          <w:color w:val="334155"/>
          <w:sz w:val="19"/>
          <w:szCs w:val="19"/>
        </w:rPr>
        <w:t xml:space="preserve">Empresa Mixta (Ley 118/2014; Decreto-Ley 335/2018 — referencia ilustrativa a validar)</w:t>
      </w:r>
    </w:p>
    <w:p>
      <w:pPr>
        <w:spacing w:after="40" w:before="40"/>
        <w:jc w:val="left"/>
      </w:pPr>
      <w:r>
        <w:rPr>
          <w:rFonts w:ascii="Calibri" w:cs="Calibri" w:eastAsia="Calibri" w:hAnsi="Calibri"/>
          <w:b/>
          <w:bCs/>
          <w:color w:val="1E3A5F"/>
          <w:sz w:val="19"/>
          <w:szCs w:val="19"/>
        </w:rPr>
        <w:t xml:space="preserve">Objeto social o contractual: </w:t>
      </w:r>
      <w:r>
        <w:rPr>
          <w:rFonts w:ascii="Calibri" w:cs="Calibri" w:eastAsia="Calibri" w:hAnsi="Calibri"/>
          <w:color w:val="334155"/>
          <w:sz w:val="19"/>
          <w:szCs w:val="19"/>
        </w:rPr>
        <w:t xml:space="preserve">Prestación de servicios estomatológicos integrales: consulta y diagnóstico, odontología preventiva, restauraciones, endodoncia, periodoncia, cirugía oral, prótesis estomatológica, ortodoncia e imagenología dental; atención a pacientes nacionales e internacionales y servicios de laboratorio de prótesis.</w:t>
      </w:r>
    </w:p>
    <w:p>
      <w:pPr>
        <w:spacing w:after="40" w:before="40"/>
        <w:jc w:val="left"/>
      </w:pPr>
      <w:r>
        <w:rPr>
          <w:rFonts w:ascii="Calibri" w:cs="Calibri" w:eastAsia="Calibri" w:hAnsi="Calibri"/>
          <w:b/>
          <w:bCs/>
          <w:color w:val="1E3A5F"/>
          <w:sz w:val="19"/>
          <w:szCs w:val="19"/>
        </w:rPr>
        <w:t xml:space="preserve">Plazo de vigencia: </w:t>
      </w:r>
      <w:r>
        <w:rPr>
          <w:rFonts w:ascii="Calibri" w:cs="Calibri" w:eastAsia="Calibri" w:hAnsi="Calibri"/>
          <w:color w:val="334155"/>
          <w:sz w:val="19"/>
          <w:szCs w:val="19"/>
        </w:rPr>
        <w:t xml:space="preserve">20 años renovables (supuesto ilustrativo)</w:t>
      </w:r>
    </w:p>
    <w:p>
      <w:pPr>
        <w:spacing w:after="40" w:before="40"/>
        <w:jc w:val="left"/>
      </w:pPr>
      <w:r>
        <w:rPr>
          <w:rFonts w:ascii="Calibri" w:cs="Calibri" w:eastAsia="Calibri" w:hAnsi="Calibri"/>
          <w:b/>
          <w:bCs/>
          <w:color w:val="1E3A5F"/>
          <w:sz w:val="19"/>
          <w:szCs w:val="19"/>
        </w:rPr>
        <w:t xml:space="preserve">Fundamentación y propuesta de valor: </w:t>
      </w:r>
      <w:r>
        <w:rPr>
          <w:rFonts w:ascii="Calibri" w:cs="Calibri" w:eastAsia="Calibri" w:hAnsi="Calibri"/>
          <w:color w:val="334155"/>
          <w:sz w:val="19"/>
          <w:szCs w:val="19"/>
        </w:rPr>
        <w:t xml:space="preserve">La propuesta responde a la demanda insatisfecha de servicios estomatológicos especializados con estándares internacionales, tanto para la población nacional con capacidad de pago como para pacientes internacionales. La clínica incorpora tecnología de diagnóstico digital, esterilización de última generación y protocolos de bioseguridad, con transferencia de conocimiento al personal cubano. Texto ilustrativo: debe sustentarse en estudios reales de demanda y competencia.</w:t>
      </w:r>
    </w:p>
    <w:p>
      <w:pPr>
        <w:spacing w:after="40" w:before="40"/>
        <w:jc w:val="left"/>
      </w:pPr>
      <w:r>
        <w:rPr>
          <w:rFonts w:ascii="Calibri" w:cs="Calibri" w:eastAsia="Calibri" w:hAnsi="Calibri"/>
          <w:b/>
          <w:bCs/>
          <w:color w:val="1E3A5F"/>
          <w:sz w:val="19"/>
          <w:szCs w:val="19"/>
        </w:rPr>
        <w:t xml:space="preserve">Relación con los objetivos de la inversión extranjera: </w:t>
      </w:r>
      <w:r>
        <w:rPr>
          <w:rFonts w:ascii="Calibri" w:cs="Calibri" w:eastAsia="Calibri" w:hAnsi="Calibri"/>
          <w:color w:val="334155"/>
          <w:sz w:val="19"/>
          <w:szCs w:val="19"/>
        </w:rPr>
        <w:t xml:space="preserve">Vinculación ilustrativa con los objetivos de la Ley 118: sustitución de servicios importados por oferta nacional; generación de ingresos exportables (atención a pacientes internacionales); transferencia de tecnología; creación de empleo calificado; encadenamientos con proveedores nacionales cuando exista oferta.</w:t>
      </w:r>
    </w:p>
    <w:p>
      <w:pPr>
        <w:spacing w:after="40" w:before="40"/>
        <w:jc w:val="left"/>
      </w:pPr>
      <w:r>
        <w:rPr>
          <w:rFonts w:ascii="Calibri" w:cs="Calibri" w:eastAsia="Calibri" w:hAnsi="Calibri"/>
          <w:b/>
          <w:bCs/>
          <w:color w:val="1E3A5F"/>
          <w:sz w:val="19"/>
          <w:szCs w:val="19"/>
        </w:rPr>
        <w:t xml:space="preserve">Relación con el PNDES: </w:t>
      </w:r>
      <w:r>
        <w:rPr>
          <w:rFonts w:ascii="Calibri" w:cs="Calibri" w:eastAsia="Calibri" w:hAnsi="Calibri"/>
          <w:color w:val="334155"/>
          <w:sz w:val="19"/>
          <w:szCs w:val="19"/>
        </w:rPr>
        <w:t xml:space="preserve">Alineación ilustrativa con el Plan Nacional de Desarrollo Económico y Social: transformación de los servicios con alto valor agregado y exportables; elevación de la calidad de vida mediante servicios de salud. (Validar la alineación real con el PNDES vigente.)</w:t>
      </w:r>
    </w:p>
    <w:p>
      <w:pPr>
        <w:spacing w:after="40" w:before="40"/>
        <w:jc w:val="left"/>
      </w:pPr>
      <w:r>
        <w:rPr>
          <w:rFonts w:ascii="Calibri" w:cs="Calibri" w:eastAsia="Calibri" w:hAnsi="Calibri"/>
          <w:b/>
          <w:bCs/>
          <w:color w:val="1E3A5F"/>
          <w:sz w:val="19"/>
          <w:szCs w:val="19"/>
        </w:rPr>
        <w:t xml:space="preserve">Relación con la estrategia territorial: </w:t>
      </w:r>
      <w:r>
        <w:rPr>
          <w:rFonts w:ascii="Calibri" w:cs="Calibri" w:eastAsia="Calibri" w:hAnsi="Calibri"/>
          <w:color w:val="334155"/>
          <w:sz w:val="19"/>
          <w:szCs w:val="19"/>
        </w:rPr>
        <w:t xml:space="preserve">Contribución ilustrativa a la Estrategia de Desarrollo Territorial de La Habana: fortalecimiento del polo de servicios de salud y posicionamiento como destino de turismo de salud. (Validar con la EDT municipal aplicable.)</w:t>
      </w:r>
    </w:p>
    <w:p>
      <w:pPr>
        <w:spacing w:after="40" w:before="40"/>
        <w:jc w:val="left"/>
      </w:pPr>
      <w:r>
        <w:rPr>
          <w:rFonts w:ascii="Calibri" w:cs="Calibri" w:eastAsia="Calibri" w:hAnsi="Calibri"/>
          <w:b/>
          <w:bCs/>
          <w:color w:val="1E3A5F"/>
          <w:sz w:val="19"/>
          <w:szCs w:val="19"/>
        </w:rPr>
        <w:t xml:space="preserve">Bienes y servicios: </w:t>
      </w:r>
      <w:r>
        <w:rPr>
          <w:rFonts w:ascii="Calibri" w:cs="Calibri" w:eastAsia="Calibri" w:hAnsi="Calibri"/>
          <w:color w:val="334155"/>
          <w:sz w:val="19"/>
          <w:szCs w:val="19"/>
        </w:rPr>
        <w:t xml:space="preserve">Servicios estomatológicos especializados con equipamiento digital. Nueve líneas de servicio con precios, demanda prevista, duración y recursos requeridos definidos en 4.6; el motor de cálculo limita la producción a la capacidad instalada del escenario activo. El detalle de precios y volúmenes es un supuesto ficticio precargado para demostrar el modelo.</w:t>
      </w:r>
    </w:p>
    <w:p>
      <w:pPr>
        <w:spacing w:after="40" w:before="40"/>
        <w:jc w:val="left"/>
      </w:pPr>
      <w:r>
        <w:rPr>
          <w:rFonts w:ascii="Calibri" w:cs="Calibri" w:eastAsia="Calibri" w:hAnsi="Calibri"/>
          <w:b/>
          <w:bCs/>
          <w:color w:val="1E3A5F"/>
          <w:sz w:val="19"/>
          <w:szCs w:val="19"/>
        </w:rPr>
        <w:t xml:space="preserve">Mercado interno: </w:t>
      </w:r>
      <w:r>
        <w:rPr>
          <w:rFonts w:ascii="Calibri" w:cs="Calibri" w:eastAsia="Calibri" w:hAnsi="Calibri"/>
          <w:color w:val="334155"/>
          <w:sz w:val="19"/>
          <w:szCs w:val="19"/>
        </w:rPr>
        <w:t xml:space="preserve">Demanda de la población con capacidad de pago en La Habana y municipios cercanos; convenios con entidades empleadoras para planes de atención. La demanda solvente y su captación son supuestos ilustrativos definidos en 4.8.</w:t>
      </w:r>
    </w:p>
    <w:p>
      <w:pPr>
        <w:spacing w:after="40" w:before="40"/>
        <w:jc w:val="left"/>
      </w:pPr>
      <w:r>
        <w:rPr>
          <w:rFonts w:ascii="Calibri" w:cs="Calibri" w:eastAsia="Calibri" w:hAnsi="Calibri"/>
          <w:b/>
          <w:bCs/>
          <w:color w:val="1E3A5F"/>
          <w:sz w:val="19"/>
          <w:szCs w:val="19"/>
        </w:rPr>
        <w:t xml:space="preserve">Mercado externo: </w:t>
      </w:r>
      <w:r>
        <w:rPr>
          <w:rFonts w:ascii="Calibri" w:cs="Calibri" w:eastAsia="Calibri" w:hAnsi="Calibri"/>
          <w:color w:val="334155"/>
          <w:sz w:val="19"/>
          <w:szCs w:val="19"/>
        </w:rPr>
        <w:t xml:space="preserve">Atención a pacientes internacionales (turismo de salud) mediante acuerdos con turoperadores y plataformas de reservas médicas. Supuesto ilustrativo: participación creciente a partir del tercer año.</w:t>
      </w:r>
    </w:p>
    <w:p>
      <w:pPr>
        <w:spacing w:after="40" w:before="40"/>
        <w:jc w:val="left"/>
      </w:pPr>
      <w:r>
        <w:rPr>
          <w:rFonts w:ascii="Calibri" w:cs="Calibri" w:eastAsia="Calibri" w:hAnsi="Calibri"/>
          <w:b/>
          <w:bCs/>
          <w:color w:val="1E3A5F"/>
          <w:sz w:val="19"/>
          <w:szCs w:val="19"/>
        </w:rPr>
        <w:t xml:space="preserve">Regla de distribución de beneficios: </w:t>
      </w:r>
      <w:r>
        <w:rPr>
          <w:rFonts w:ascii="Calibri" w:cs="Calibri" w:eastAsia="Calibri" w:hAnsi="Calibri"/>
          <w:color w:val="334155"/>
          <w:sz w:val="19"/>
          <w:szCs w:val="19"/>
        </w:rPr>
        <w:t xml:space="preserve">Distribución de utilidades conforme a la participación en el capital social (60 % socio extranjero / 40 % socio nacional, supuesto ilustrativo), previa absorción de pérdidas acumuladas y constitución de las reservas que correspondan según la legislación vigente. El módulo de dividendos del modelo distingue utilidad contable, utilidad distribuible, dividendos propuestos y dividendos pagables según la caja disponible. (Regla a validar jurídicamente.)</w:t>
      </w:r>
    </w:p>
    <w:p>
      <w:pPr>
        <w:pStyle w:val="NotaTabla"/>
        <w:keepNext/>
        <w:keepLines/>
        <w:spacing w:after="80" w:before="200"/>
      </w:pPr>
      <w:r>
        <w:rPr>
          <w:rFonts w:ascii="Calibri" w:cs="Calibri" w:eastAsia="Calibri" w:hAnsi="Calibri"/>
          <w:b/>
          <w:bCs/>
          <w:color w:val="1E3A5F"/>
          <w:sz w:val="18"/>
          <w:szCs w:val="18"/>
        </w:rPr>
        <w:t xml:space="preserve">Tabla 2. Inversionista extranjero</w:t>
      </w:r>
    </w:p>
    <w:tbl>
      <w:tblPr>
        <w:tblW w:type="dxa" w:w="9026"/>
        <w:tblBorders>
          <w:top w:val="none" w:color="auto" w:sz="0"/>
          <w:left w:val="none" w:color="auto" w:sz="0"/>
          <w:bottom w:val="none" w:color="auto" w:sz="0"/>
          <w:right w:val="none" w:color="auto" w:sz="0"/>
          <w:insideH w:val="none" w:color="auto" w:sz="0"/>
          <w:insideV w:val="none" w:color="auto" w:sz="0"/>
        </w:tblBorders>
      </w:tblPr>
      <w:tblGrid>
        <w:gridCol w:w="3717"/>
        <w:gridCol w:w="5309"/>
      </w:tblGrid>
      <w:tr>
        <w:trPr>
          <w:cantSplit/>
          <w:tblHeader/>
        </w:trPr>
        <w:tc>
          <w:tcPr>
            <w:tcW w:type="dxa" w:w="3717"/>
            <w:tcBorders>
              <w:top w:val="single" w:color="64748B" w:sz="8"/>
              <w:bottom w:val="single" w:color="94A3B8" w:sz="4"/>
            </w:tcBorders>
            <w:shd w:fill="EEF2F7" w:color="auto" w:val="clear"/>
            <w:tcMar>
              <w:top w:type="dxa" w:w="40"/>
              <w:left w:type="dxa" w:w="80"/>
              <w:bottom w:type="dxa" w:w="40"/>
              <w:right w:type="dxa" w:w="80"/>
            </w:tcMar>
          </w:tcPr>
          <w:p>
            <w:pPr>
              <w:jc w:val="left"/>
            </w:pPr>
            <w:r>
              <w:rPr>
                <w:rFonts w:ascii="Calibri" w:cs="Calibri" w:eastAsia="Calibri" w:hAnsi="Calibri"/>
                <w:b/>
                <w:bCs/>
                <w:color w:val="1E3A5F"/>
                <w:sz w:val="17"/>
                <w:szCs w:val="17"/>
              </w:rPr>
              <w:t xml:space="preserve">Campo</w:t>
            </w:r>
          </w:p>
        </w:tc>
        <w:tc>
          <w:tcPr>
            <w:tcW w:type="dxa" w:w="5309"/>
            <w:tcBorders>
              <w:top w:val="single" w:color="64748B" w:sz="8"/>
              <w:bottom w:val="single" w:color="94A3B8" w:sz="4"/>
            </w:tcBorders>
            <w:shd w:fill="EEF2F7" w:color="auto" w:val="clear"/>
            <w:tcMar>
              <w:top w:type="dxa" w:w="40"/>
              <w:left w:type="dxa" w:w="80"/>
              <w:bottom w:type="dxa" w:w="40"/>
              <w:right w:type="dxa" w:w="80"/>
            </w:tcMar>
          </w:tcPr>
          <w:p>
            <w:pPr>
              <w:jc w:val="left"/>
            </w:pPr>
            <w:r>
              <w:rPr>
                <w:rFonts w:ascii="Calibri" w:cs="Calibri" w:eastAsia="Calibri" w:hAnsi="Calibri"/>
                <w:b/>
                <w:bCs/>
                <w:color w:val="1E3A5F"/>
                <w:sz w:val="17"/>
                <w:szCs w:val="17"/>
              </w:rPr>
              <w:t xml:space="preserve">Contenido</w:t>
            </w:r>
          </w:p>
        </w:tc>
      </w:tr>
      <w:tr>
        <w:trPr>
          <w:cantSplit/>
        </w:trPr>
        <w:tc>
          <w:tcPr>
            <w:tcW w:type="dxa" w:w="3717"/>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Nombre</w:t>
            </w:r>
          </w:p>
        </w:tc>
        <w:tc>
          <w:tcPr>
            <w:tcW w:type="dxa" w:w="5309"/>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Grupo Dental Internacional S.A. (ficticio)</w:t>
            </w:r>
          </w:p>
        </w:tc>
      </w:tr>
      <w:tr>
        <w:trPr>
          <w:cantSplit/>
        </w:trPr>
        <w:tc>
          <w:tcPr>
            <w:tcW w:type="dxa" w:w="3717"/>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Domicilio</w:t>
            </w:r>
          </w:p>
        </w:tc>
        <w:tc>
          <w:tcPr>
            <w:tcW w:type="dxa" w:w="5309"/>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Av. Ejemplo 123, Ciudad Ejemplo, País Ejemplo (dato ficticio)</w:t>
            </w:r>
          </w:p>
        </w:tc>
      </w:tr>
      <w:tr>
        <w:trPr>
          <w:cantSplit/>
        </w:trPr>
        <w:tc>
          <w:tcPr>
            <w:tcW w:type="dxa" w:w="3717"/>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Identificación fiscal</w:t>
            </w:r>
          </w:p>
        </w:tc>
        <w:tc>
          <w:tcPr>
            <w:tcW w:type="dxa" w:w="5309"/>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NIF-EJEMPLO-000000 (ficticio)</w:t>
            </w:r>
          </w:p>
        </w:tc>
      </w:tr>
      <w:tr>
        <w:trPr>
          <w:cantSplit/>
        </w:trPr>
        <w:tc>
          <w:tcPr>
            <w:tcW w:type="dxa" w:w="3717"/>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Experiencia</w:t>
            </w:r>
          </w:p>
        </w:tc>
        <w:tc>
          <w:tcPr>
            <w:tcW w:type="dxa" w:w="5309"/>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Operador ilustrativo de redes de clínicas dentales con 15 años de experiencia (dato ficticio para la demostración).</w:t>
            </w:r>
          </w:p>
        </w:tc>
      </w:tr>
      <w:tr>
        <w:trPr>
          <w:cantSplit/>
        </w:trPr>
        <w:tc>
          <w:tcPr>
            <w:tcW w:type="dxa" w:w="3717"/>
            <w:tcBorders>
              <w:bottom w:val="single" w:color="64748B" w:sz="8"/>
            </w:tcBorders>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Vinculación con Cuba</w:t>
            </w:r>
          </w:p>
        </w:tc>
        <w:tc>
          <w:tcPr>
            <w:tcW w:type="dxa" w:w="5309"/>
            <w:tcBorders>
              <w:bottom w:val="single" w:color="64748B" w:sz="8"/>
            </w:tcBorders>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Sin operaciones previas en Cuba (supuesto ilustrativo).</w:t>
            </w:r>
          </w:p>
        </w:tc>
      </w:tr>
    </w:tbl>
    <w:p>
      <w:pPr>
        <w:pStyle w:val="NotaTabla"/>
        <w:keepNext/>
        <w:keepLines/>
        <w:spacing w:after="80" w:before="200"/>
      </w:pPr>
      <w:r>
        <w:rPr>
          <w:rFonts w:ascii="Calibri" w:cs="Calibri" w:eastAsia="Calibri" w:hAnsi="Calibri"/>
          <w:b/>
          <w:bCs/>
          <w:color w:val="1E3A5F"/>
          <w:sz w:val="18"/>
          <w:szCs w:val="18"/>
        </w:rPr>
        <w:t xml:space="preserve">Tabla 3. Inversionista nacional</w:t>
      </w:r>
    </w:p>
    <w:tbl>
      <w:tblPr>
        <w:tblW w:type="dxa" w:w="9026"/>
        <w:tblBorders>
          <w:top w:val="none" w:color="auto" w:sz="0"/>
          <w:left w:val="none" w:color="auto" w:sz="0"/>
          <w:bottom w:val="none" w:color="auto" w:sz="0"/>
          <w:right w:val="none" w:color="auto" w:sz="0"/>
          <w:insideH w:val="none" w:color="auto" w:sz="0"/>
          <w:insideV w:val="none" w:color="auto" w:sz="0"/>
        </w:tblBorders>
      </w:tblPr>
      <w:tblGrid>
        <w:gridCol w:w="4513"/>
        <w:gridCol w:w="4513"/>
      </w:tblGrid>
      <w:tr>
        <w:trPr>
          <w:cantSplit/>
          <w:tblHeader/>
        </w:trPr>
        <w:tc>
          <w:tcPr>
            <w:tcW w:type="dxa" w:w="4513"/>
            <w:tcBorders>
              <w:top w:val="single" w:color="64748B" w:sz="8"/>
              <w:bottom w:val="single" w:color="94A3B8" w:sz="4"/>
            </w:tcBorders>
            <w:shd w:fill="EEF2F7" w:color="auto" w:val="clear"/>
            <w:tcMar>
              <w:top w:type="dxa" w:w="40"/>
              <w:left w:type="dxa" w:w="80"/>
              <w:bottom w:type="dxa" w:w="40"/>
              <w:right w:type="dxa" w:w="80"/>
            </w:tcMar>
          </w:tcPr>
          <w:p>
            <w:pPr>
              <w:jc w:val="left"/>
            </w:pPr>
            <w:r>
              <w:rPr>
                <w:rFonts w:ascii="Calibri" w:cs="Calibri" w:eastAsia="Calibri" w:hAnsi="Calibri"/>
                <w:b/>
                <w:bCs/>
                <w:color w:val="1E3A5F"/>
                <w:sz w:val="17"/>
                <w:szCs w:val="17"/>
              </w:rPr>
              <w:t xml:space="preserve">Campo</w:t>
            </w:r>
          </w:p>
        </w:tc>
        <w:tc>
          <w:tcPr>
            <w:tcW w:type="dxa" w:w="4513"/>
            <w:tcBorders>
              <w:top w:val="single" w:color="64748B" w:sz="8"/>
              <w:bottom w:val="single" w:color="94A3B8" w:sz="4"/>
            </w:tcBorders>
            <w:shd w:fill="EEF2F7" w:color="auto" w:val="clear"/>
            <w:tcMar>
              <w:top w:type="dxa" w:w="40"/>
              <w:left w:type="dxa" w:w="80"/>
              <w:bottom w:type="dxa" w:w="40"/>
              <w:right w:type="dxa" w:w="80"/>
            </w:tcMar>
          </w:tcPr>
          <w:p>
            <w:pPr>
              <w:jc w:val="left"/>
            </w:pPr>
            <w:r>
              <w:rPr>
                <w:rFonts w:ascii="Calibri" w:cs="Calibri" w:eastAsia="Calibri" w:hAnsi="Calibri"/>
                <w:b/>
                <w:bCs/>
                <w:color w:val="1E3A5F"/>
                <w:sz w:val="17"/>
                <w:szCs w:val="17"/>
              </w:rPr>
              <w:t xml:space="preserve">Contenido</w:t>
            </w:r>
          </w:p>
        </w:tc>
      </w:tr>
      <w:tr>
        <w:trPr>
          <w:cantSplit/>
        </w:trPr>
        <w:tc>
          <w:tcPr>
            <w:tcW w:type="dxa" w:w="451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Nombre</w:t>
            </w:r>
          </w:p>
        </w:tc>
        <w:tc>
          <w:tcPr>
            <w:tcW w:type="dxa" w:w="451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Entidad Nacional de Servicios de Salud (ficticia)</w:t>
            </w:r>
          </w:p>
        </w:tc>
      </w:tr>
      <w:tr>
        <w:trPr>
          <w:cantSplit/>
        </w:trPr>
        <w:tc>
          <w:tcPr>
            <w:tcW w:type="dxa" w:w="451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Domicilio</w:t>
            </w:r>
          </w:p>
        </w:tc>
        <w:tc>
          <w:tcPr>
            <w:tcW w:type="dxa" w:w="451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Calle Ejemplo 456, La Habana, Cuba (dato ficticio)</w:t>
            </w:r>
          </w:p>
        </w:tc>
      </w:tr>
      <w:tr>
        <w:trPr>
          <w:cantSplit/>
        </w:trPr>
        <w:tc>
          <w:tcPr>
            <w:tcW w:type="dxa" w:w="451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Identificación fiscal</w:t>
            </w:r>
          </w:p>
        </w:tc>
        <w:tc>
          <w:tcPr>
            <w:tcW w:type="dxa" w:w="451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Código ONAT ficticio (dato ilustrativo)</w:t>
            </w:r>
          </w:p>
        </w:tc>
      </w:tr>
      <w:tr>
        <w:trPr>
          <w:cantSplit/>
        </w:trPr>
        <w:tc>
          <w:tcPr>
            <w:tcW w:type="dxa" w:w="451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Experiencia (objeto social vigente, cuando corresponda)</w:t>
            </w:r>
          </w:p>
        </w:tc>
        <w:tc>
          <w:tcPr>
            <w:tcW w:type="dxa" w:w="451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Entidad empleadora y prestadora de servicios de salud conforme a su objeto social vigente (dato ficticio).</w:t>
            </w:r>
          </w:p>
        </w:tc>
      </w:tr>
      <w:tr>
        <w:trPr>
          <w:cantSplit/>
        </w:trPr>
        <w:tc>
          <w:tcPr>
            <w:tcW w:type="dxa" w:w="4513"/>
            <w:tcBorders>
              <w:bottom w:val="single" w:color="64748B" w:sz="8"/>
            </w:tcBorders>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Vinculación con Cuba</w:t>
            </w:r>
          </w:p>
        </w:tc>
        <w:tc>
          <w:tcPr>
            <w:tcW w:type="dxa" w:w="4513"/>
            <w:tcBorders>
              <w:bottom w:val="single" w:color="64748B" w:sz="8"/>
            </w:tcBorders>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Aporta instalaciones y fuerza de trabajo calificada (supuesto ilustrativo).</w:t>
            </w:r>
          </w:p>
        </w:tc>
      </w:tr>
    </w:tbl>
    <w:p>
      <w:pPr>
        <w:pStyle w:val="NotaTabla"/>
        <w:keepNext/>
        <w:keepLines/>
        <w:spacing w:after="80" w:before="200"/>
      </w:pPr>
      <w:r>
        <w:rPr>
          <w:rFonts w:ascii="Calibri" w:cs="Calibri" w:eastAsia="Calibri" w:hAnsi="Calibri"/>
          <w:b/>
          <w:bCs/>
          <w:color w:val="1E3A5F"/>
          <w:sz w:val="18"/>
          <w:szCs w:val="18"/>
        </w:rPr>
        <w:t xml:space="preserve">Tabla 4. Aportaciones de los socios (montos en kUSD de origen; equivalente en miles de USD; año 0 = montaje/arranque, que financia la inversión total)</w:t>
      </w:r>
    </w:p>
    <w:tbl>
      <w:tblPr>
        <w:tblW w:type="dxa" w:w="9026"/>
        <w:tblBorders>
          <w:top w:val="none" w:color="auto" w:sz="0"/>
          <w:left w:val="none" w:color="auto" w:sz="0"/>
          <w:bottom w:val="none" w:color="auto" w:sz="0"/>
          <w:right w:val="none" w:color="auto" w:sz="0"/>
          <w:insideH w:val="none" w:color="auto" w:sz="0"/>
          <w:insideV w:val="none" w:color="auto" w:sz="0"/>
        </w:tblBorders>
      </w:tblPr>
      <w:tblGrid>
        <w:gridCol w:w="1237"/>
        <w:gridCol w:w="2108"/>
        <w:gridCol w:w="1375"/>
        <w:gridCol w:w="550"/>
        <w:gridCol w:w="550"/>
        <w:gridCol w:w="1100"/>
        <w:gridCol w:w="2108"/>
      </w:tblGrid>
      <w:tr>
        <w:trPr>
          <w:cantSplit/>
          <w:tblHeader/>
        </w:trPr>
        <w:tc>
          <w:tcPr>
            <w:tcW w:type="dxa" w:w="1237"/>
            <w:tcBorders>
              <w:top w:val="single" w:color="64748B" w:sz="8"/>
              <w:bottom w:val="single" w:color="94A3B8" w:sz="4"/>
            </w:tcBorders>
            <w:shd w:fill="EEF2F7" w:color="auto" w:val="clear"/>
            <w:tcMar>
              <w:top w:type="dxa" w:w="40"/>
              <w:left w:type="dxa" w:w="80"/>
              <w:bottom w:type="dxa" w:w="40"/>
              <w:right w:type="dxa" w:w="80"/>
            </w:tcMar>
          </w:tcPr>
          <w:p>
            <w:pPr>
              <w:jc w:val="left"/>
            </w:pPr>
            <w:r>
              <w:rPr>
                <w:rFonts w:ascii="Calibri" w:cs="Calibri" w:eastAsia="Calibri" w:hAnsi="Calibri"/>
                <w:b/>
                <w:bCs/>
                <w:color w:val="1E3A5F"/>
                <w:sz w:val="17"/>
                <w:szCs w:val="17"/>
              </w:rPr>
              <w:t xml:space="preserve">Socio</w:t>
            </w:r>
          </w:p>
        </w:tc>
        <w:tc>
          <w:tcPr>
            <w:tcW w:type="dxa" w:w="2108"/>
            <w:tcBorders>
              <w:top w:val="single" w:color="64748B" w:sz="8"/>
              <w:bottom w:val="single" w:color="94A3B8" w:sz="4"/>
            </w:tcBorders>
            <w:shd w:fill="EEF2F7" w:color="auto" w:val="clear"/>
            <w:tcMar>
              <w:top w:type="dxa" w:w="40"/>
              <w:left w:type="dxa" w:w="80"/>
              <w:bottom w:type="dxa" w:w="40"/>
              <w:right w:type="dxa" w:w="80"/>
            </w:tcMar>
          </w:tcPr>
          <w:p>
            <w:pPr>
              <w:jc w:val="left"/>
            </w:pPr>
            <w:r>
              <w:rPr>
                <w:rFonts w:ascii="Calibri" w:cs="Calibri" w:eastAsia="Calibri" w:hAnsi="Calibri"/>
                <w:b/>
                <w:bCs/>
                <w:color w:val="1E3A5F"/>
                <w:sz w:val="17"/>
                <w:szCs w:val="17"/>
              </w:rPr>
              <w:t xml:space="preserve">Tipo de aporte</w:t>
            </w:r>
          </w:p>
        </w:tc>
        <w:tc>
          <w:tcPr>
            <w:tcW w:type="dxa" w:w="1375"/>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7"/>
                <w:szCs w:val="17"/>
              </w:rPr>
              <w:t xml:space="preserve">Año 0 (montaje)</w:t>
            </w:r>
          </w:p>
        </w:tc>
        <w:tc>
          <w:tcPr>
            <w:tcW w:type="dxa" w:w="550"/>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7"/>
                <w:szCs w:val="17"/>
              </w:rPr>
              <w:t xml:space="preserve">Año 1</w:t>
            </w:r>
          </w:p>
        </w:tc>
        <w:tc>
          <w:tcPr>
            <w:tcW w:type="dxa" w:w="550"/>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7"/>
                <w:szCs w:val="17"/>
              </w:rPr>
              <w:t xml:space="preserve">Año 2</w:t>
            </w:r>
          </w:p>
        </w:tc>
        <w:tc>
          <w:tcPr>
            <w:tcW w:type="dxa" w:w="1100"/>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7"/>
                <w:szCs w:val="17"/>
              </w:rPr>
              <w:t xml:space="preserve">Total (kUSD)</w:t>
            </w:r>
          </w:p>
        </w:tc>
        <w:tc>
          <w:tcPr>
            <w:tcW w:type="dxa" w:w="2108"/>
            <w:tcBorders>
              <w:top w:val="single" w:color="64748B" w:sz="8"/>
              <w:bottom w:val="single" w:color="94A3B8" w:sz="4"/>
            </w:tcBorders>
            <w:shd w:fill="EEF2F7" w:color="auto" w:val="clear"/>
            <w:tcMar>
              <w:top w:type="dxa" w:w="40"/>
              <w:left w:type="dxa" w:w="80"/>
              <w:bottom w:type="dxa" w:w="40"/>
              <w:right w:type="dxa" w:w="80"/>
            </w:tcMar>
          </w:tcPr>
          <w:p>
            <w:pPr>
              <w:jc w:val="left"/>
            </w:pPr>
            <w:r>
              <w:rPr>
                <w:rFonts w:ascii="Calibri" w:cs="Calibri" w:eastAsia="Calibri" w:hAnsi="Calibri"/>
                <w:b/>
                <w:bCs/>
                <w:color w:val="1E3A5F"/>
                <w:sz w:val="17"/>
                <w:szCs w:val="17"/>
              </w:rPr>
              <w:t xml:space="preserve">Ref. doc.</w:t>
            </w:r>
          </w:p>
        </w:tc>
      </w:tr>
      <w:tr>
        <w:trPr>
          <w:cantSplit/>
        </w:trPr>
        <w:tc>
          <w:tcPr>
            <w:tcW w:type="dxa" w:w="1237"/>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Extranjero</w:t>
            </w:r>
          </w:p>
        </w:tc>
        <w:tc>
          <w:tcPr>
            <w:tcW w:type="dxa" w:w="2108"/>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Efectivo</w:t>
            </w:r>
          </w:p>
        </w:tc>
        <w:tc>
          <w:tcPr>
            <w:tcW w:type="dxa" w:w="1375"/>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420,0</w:t>
            </w:r>
          </w:p>
        </w:tc>
        <w:tc>
          <w:tcPr>
            <w:tcW w:type="dxa" w:w="550"/>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0,0</w:t>
            </w:r>
          </w:p>
        </w:tc>
        <w:tc>
          <w:tcPr>
            <w:tcW w:type="dxa" w:w="550"/>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0,0</w:t>
            </w:r>
          </w:p>
        </w:tc>
        <w:tc>
          <w:tcPr>
            <w:tcW w:type="dxa" w:w="1100"/>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420,0</w:t>
            </w:r>
          </w:p>
        </w:tc>
        <w:tc>
          <w:tcPr>
            <w:tcW w:type="dxa" w:w="2108"/>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HIPÓTESIS (no validada)</w:t>
            </w:r>
          </w:p>
        </w:tc>
      </w:tr>
      <w:tr>
        <w:trPr>
          <w:cantSplit/>
        </w:trPr>
        <w:tc>
          <w:tcPr>
            <w:tcW w:type="dxa" w:w="1237"/>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Extranjero</w:t>
            </w:r>
          </w:p>
        </w:tc>
        <w:tc>
          <w:tcPr>
            <w:tcW w:type="dxa" w:w="2108"/>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Activos fijos tangibles</w:t>
            </w:r>
          </w:p>
        </w:tc>
        <w:tc>
          <w:tcPr>
            <w:tcW w:type="dxa" w:w="1375"/>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288,0</w:t>
            </w:r>
          </w:p>
        </w:tc>
        <w:tc>
          <w:tcPr>
            <w:tcW w:type="dxa" w:w="550"/>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0,0</w:t>
            </w:r>
          </w:p>
        </w:tc>
        <w:tc>
          <w:tcPr>
            <w:tcW w:type="dxa" w:w="550"/>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0,0</w:t>
            </w:r>
          </w:p>
        </w:tc>
        <w:tc>
          <w:tcPr>
            <w:tcW w:type="dxa" w:w="1100"/>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288,0</w:t>
            </w:r>
          </w:p>
        </w:tc>
        <w:tc>
          <w:tcPr>
            <w:tcW w:type="dxa" w:w="2108"/>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HIPÓTESIS (no validada)</w:t>
            </w:r>
          </w:p>
        </w:tc>
      </w:tr>
      <w:tr>
        <w:trPr>
          <w:cantSplit/>
        </w:trPr>
        <w:tc>
          <w:tcPr>
            <w:tcW w:type="dxa" w:w="1237"/>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Nacional</w:t>
            </w:r>
          </w:p>
        </w:tc>
        <w:tc>
          <w:tcPr>
            <w:tcW w:type="dxa" w:w="2108"/>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Activos fijos tangibles</w:t>
            </w:r>
          </w:p>
        </w:tc>
        <w:tc>
          <w:tcPr>
            <w:tcW w:type="dxa" w:w="1375"/>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180,0</w:t>
            </w:r>
          </w:p>
        </w:tc>
        <w:tc>
          <w:tcPr>
            <w:tcW w:type="dxa" w:w="550"/>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0,0</w:t>
            </w:r>
          </w:p>
        </w:tc>
        <w:tc>
          <w:tcPr>
            <w:tcW w:type="dxa" w:w="550"/>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0,0</w:t>
            </w:r>
          </w:p>
        </w:tc>
        <w:tc>
          <w:tcPr>
            <w:tcW w:type="dxa" w:w="1100"/>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180,0</w:t>
            </w:r>
          </w:p>
        </w:tc>
        <w:tc>
          <w:tcPr>
            <w:tcW w:type="dxa" w:w="2108"/>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HIPÓTESIS (no validada)</w:t>
            </w:r>
          </w:p>
        </w:tc>
      </w:tr>
      <w:tr>
        <w:trPr>
          <w:cantSplit/>
        </w:trPr>
        <w:tc>
          <w:tcPr>
            <w:tcW w:type="dxa" w:w="1237"/>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Nacional</w:t>
            </w:r>
          </w:p>
        </w:tc>
        <w:tc>
          <w:tcPr>
            <w:tcW w:type="dxa" w:w="2108"/>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Activos circulantes</w:t>
            </w:r>
          </w:p>
        </w:tc>
        <w:tc>
          <w:tcPr>
            <w:tcW w:type="dxa" w:w="1375"/>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152,0</w:t>
            </w:r>
          </w:p>
        </w:tc>
        <w:tc>
          <w:tcPr>
            <w:tcW w:type="dxa" w:w="550"/>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0,0</w:t>
            </w:r>
          </w:p>
        </w:tc>
        <w:tc>
          <w:tcPr>
            <w:tcW w:type="dxa" w:w="550"/>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0,0</w:t>
            </w:r>
          </w:p>
        </w:tc>
        <w:tc>
          <w:tcPr>
            <w:tcW w:type="dxa" w:w="1100"/>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152,0</w:t>
            </w:r>
          </w:p>
        </w:tc>
        <w:tc>
          <w:tcPr>
            <w:tcW w:type="dxa" w:w="2108"/>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HIPÓTESIS (no validada)</w:t>
            </w:r>
          </w:p>
        </w:tc>
      </w:tr>
      <w:tr>
        <w:trPr>
          <w:cantSplit/>
        </w:trPr>
        <w:tc>
          <w:tcPr>
            <w:tcW w:type="dxa" w:w="1237"/>
            <w:tcBorders>
              <w:bottom w:val="single" w:color="64748B" w:sz="8"/>
            </w:tcBorders>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Nacional</w:t>
            </w:r>
          </w:p>
        </w:tc>
        <w:tc>
          <w:tcPr>
            <w:tcW w:type="dxa" w:w="2108"/>
            <w:tcBorders>
              <w:bottom w:val="single" w:color="64748B" w:sz="8"/>
            </w:tcBorders>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Efectivo</w:t>
            </w:r>
          </w:p>
        </w:tc>
        <w:tc>
          <w:tcPr>
            <w:tcW w:type="dxa" w:w="1375"/>
            <w:tcBorders>
              <w:bottom w:val="single" w:color="64748B" w:sz="8"/>
            </w:tcBorders>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140,0</w:t>
            </w:r>
          </w:p>
        </w:tc>
        <w:tc>
          <w:tcPr>
            <w:tcW w:type="dxa" w:w="550"/>
            <w:tcBorders>
              <w:bottom w:val="single" w:color="64748B" w:sz="8"/>
            </w:tcBorders>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0,0</w:t>
            </w:r>
          </w:p>
        </w:tc>
        <w:tc>
          <w:tcPr>
            <w:tcW w:type="dxa" w:w="550"/>
            <w:tcBorders>
              <w:bottom w:val="single" w:color="64748B" w:sz="8"/>
            </w:tcBorders>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0,0</w:t>
            </w:r>
          </w:p>
        </w:tc>
        <w:tc>
          <w:tcPr>
            <w:tcW w:type="dxa" w:w="1100"/>
            <w:tcBorders>
              <w:bottom w:val="single" w:color="64748B" w:sz="8"/>
            </w:tcBorders>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140,0</w:t>
            </w:r>
          </w:p>
        </w:tc>
        <w:tc>
          <w:tcPr>
            <w:tcW w:type="dxa" w:w="2108"/>
            <w:tcBorders>
              <w:bottom w:val="single" w:color="64748B" w:sz="8"/>
            </w:tcBorders>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HIPÓTESIS (no validada)</w:t>
            </w:r>
          </w:p>
        </w:tc>
      </w:tr>
    </w:tbl>
    <w:p>
      <w:pPr>
        <w:pStyle w:val="NotaTexto"/>
        <w:spacing w:after="60" w:before="60" w:line="276"/>
        <w:jc w:val="both"/>
      </w:pPr>
      <w:r>
        <w:rPr>
          <w:rFonts w:ascii="Calibri" w:cs="Calibri" w:eastAsia="Calibri" w:hAnsi="Calibri"/>
          <w:color w:val="334155"/>
          <w:sz w:val="16"/>
          <w:szCs w:val="16"/>
        </w:rPr>
        <w:t xml:space="preserve">Los aportes de derechos reales requieren la certificación de la Dirección de Patrimonio del MFP cuando corresponda (metodología 4.5). Los aportes en activos deben conciliar con el inventario de inversiones para evitar la doble contabilización del mismo bien. Una referencia «HIPÓTESIS (no validada)» NO cuenta como respaldo acreditado: identifique el documento (título, emisor, fecha) y adjunte el soporte.</w:t>
      </w:r>
    </w:p>
    <w:p>
      <w:pPr>
        <w:pStyle w:val="AnalisisPlanex"/>
        <w:pBdr>
          <w:left w:val="single" w:color="B45309" w:sz="18" w:space="4"/>
        </w:pBdr>
        <w:shd w:fill="FFF7E6" w:color="auto" w:val="clear"/>
        <w:spacing w:after="20" w:before="160"/>
      </w:pPr>
      <w:r>
        <w:rPr>
          <w:rFonts w:ascii="Calibri" w:cs="Calibri" w:eastAsia="Calibri" w:hAnsi="Calibri"/>
          <w:b/>
          <w:bCs/>
          <w:color w:val="B45309"/>
          <w:sz w:val="18"/>
          <w:szCs w:val="18"/>
        </w:rPr>
        <w:t xml:space="preserve">Análisis de las aportaciones</w:t>
      </w:r>
      <w:r>
        <w:rPr>
          <w:rFonts w:ascii="Calibri" w:cs="Calibri" w:eastAsia="Calibri" w:hAnsi="Calibri"/>
          <w:color w:val="8C6428"/>
          <w:sz w:val="14"/>
          <w:szCs w:val="14"/>
        </w:rPr>
        <w:t xml:space="preserve">  ·  ANÁLISIS GENERADO POR EL MODELO</w:t>
      </w:r>
    </w:p>
    <w:p>
      <w:pPr>
        <w:pStyle w:val="AnalisisCuerpo"/>
        <w:pBdr>
          <w:left w:val="single" w:color="B45309" w:sz="18" w:space="4"/>
          <w:bottom w:val="single" w:color="FFF7E6" w:sz="2" w:space="1"/>
        </w:pBdr>
        <w:shd w:fill="FFF7E6" w:color="auto" w:val="clear"/>
        <w:spacing w:after="160" w:before="0"/>
        <w:jc w:val="both"/>
      </w:pPr>
      <w:r>
        <w:rPr>
          <w:rFonts w:ascii="Calibri" w:cs="Calibri" w:eastAsia="Calibri" w:hAnsi="Calibri"/>
          <w:color w:val="334155"/>
          <w:sz w:val="18"/>
          <w:szCs w:val="18"/>
        </w:rPr>
        <w:t xml:space="preserve">Las aportaciones comprometidas suman 1.180,0 miles de USD: el inversionista extranjero aporta 708,0 (60,0 %) y la parte nacional 472,0 (40,0 %). Por tipo de aporte, Efectivo con 560,0 (47,5 %), Activos fijos tangibles con 468,0 (39,7 %), Activos circulantes con 152,0 (12,9 %). La composición del capital resultante es 60,0 % extranjero / 40,0 % nacional; el parámetro de participación cubana configurado es 40,0 % y el diagnóstico comprueba su coherencia con estas aportaciones. Con estas aportaciones y las demás fuentes, la financiación disponible cubre exactamente la inversión total calculada (diferencia de 0,0 kUSD) bajo las premisas vigentes; ello no implica que los fondos estén comprometidos ni desembolsados: las aportaciones requieren documentación de respaldo. Estas cifras son estimaciones de la plantilla mientras no se adjunten los documentos de respaldo; no constituyen validación jurídica de los aportes.</w:t>
      </w:r>
    </w:p>
    <w:p>
      <w:pPr>
        <w:pStyle w:val="Heading1"/>
        <w:pageBreakBefore/>
      </w:pPr>
      <w:bookmarkStart w:name="_Toc19" w:id="19"/>
      <w:r>
        <w:rPr>
          <w:rFonts w:ascii="Calibri" w:cs="Calibri" w:eastAsia="Calibri" w:hAnsi="Calibri"/>
          <w:b/>
          <w:bCs/>
          <w:color w:val="1E3A5F"/>
          <w:sz w:val="30"/>
          <w:szCs w:val="30"/>
        </w:rPr>
        <w:t xml:space="preserve">4.6  Aspectos técnicos y operativos</w:t>
      </w:r>
      <w:bookmarkEnd w:id="19"/>
    </w:p>
    <w:p>
      <w:pPr>
        <w:spacing w:after="40" w:before="40"/>
        <w:jc w:val="left"/>
      </w:pPr>
      <w:r>
        <w:rPr>
          <w:rFonts w:ascii="Calibri" w:cs="Calibri" w:eastAsia="Calibri" w:hAnsi="Calibri"/>
          <w:b/>
          <w:bCs/>
          <w:color w:val="1E3A5F"/>
          <w:sz w:val="19"/>
          <w:szCs w:val="19"/>
        </w:rPr>
        <w:t xml:space="preserve">Caracterización de bienes y servicios: </w:t>
      </w:r>
      <w:r>
        <w:rPr>
          <w:rFonts w:ascii="Calibri" w:cs="Calibri" w:eastAsia="Calibri" w:hAnsi="Calibri"/>
          <w:color w:val="334155"/>
          <w:sz w:val="19"/>
          <w:szCs w:val="19"/>
        </w:rPr>
        <w:t xml:space="preserve">Clínica estomatológica integral con 5 gabinetes de atención (ampliables a 7 según el escenario activo), 1 laboratorio de prótesis, 1 sala de imagenología dental (2 equipos), esterilización central con autoclaves de vacío y compresores dedicados, recepción y administración. Modelo operativo con cita programada y horario extendido (lunes a sábado). Instalación en local existente sujeto a adecuación y montaje (supuesto ilustrativo).</w:t>
      </w:r>
    </w:p>
    <w:p>
      <w:pPr>
        <w:spacing w:after="40" w:before="40"/>
        <w:jc w:val="left"/>
      </w:pPr>
      <w:r>
        <w:rPr>
          <w:rFonts w:ascii="Calibri" w:cs="Calibri" w:eastAsia="Calibri" w:hAnsi="Calibri"/>
          <w:b/>
          <w:bCs/>
          <w:color w:val="1E3A5F"/>
          <w:sz w:val="19"/>
          <w:szCs w:val="19"/>
        </w:rPr>
        <w:t xml:space="preserve">Capacidad instalada: </w:t>
      </w:r>
      <w:r>
        <w:rPr>
          <w:rFonts w:ascii="Calibri" w:cs="Calibri" w:eastAsia="Calibri" w:hAnsi="Calibri"/>
          <w:color w:val="334155"/>
          <w:sz w:val="19"/>
          <w:szCs w:val="19"/>
        </w:rPr>
        <w:t xml:space="preserve">La capacidad se deriva de los recursos operativos de la tabla 4.6 (no de una cifra aislada): 5 gabinetes × 8 h/día × 288 días/año, con 5 % de mantenimiento; 2 equipos de imagenología a 6 h/día; laboratorio de prótesis a 6 h/día; y 12 profesionales a 6 h/día. Cada servicio declara su duración media y los recursos que ocupa simultáneamente; como los gabinetes y los profesionales se COMPARTEN entre líneas, el motor reparte el tiempo disponible (asignación proporcional) y limita la producción a lo realmente atendible. Escenario ACTIVO: B (ampliación) — véase la ampliación programada en la tabla de recursos.</w:t>
      </w:r>
    </w:p>
    <w:p>
      <w:pPr>
        <w:spacing w:after="40" w:before="40"/>
        <w:jc w:val="left"/>
      </w:pPr>
      <w:r>
        <w:rPr>
          <w:rFonts w:ascii="Calibri" w:cs="Calibri" w:eastAsia="Calibri" w:hAnsi="Calibri"/>
          <w:b/>
          <w:bCs/>
          <w:color w:val="1E3A5F"/>
          <w:sz w:val="19"/>
          <w:szCs w:val="19"/>
        </w:rPr>
        <w:t xml:space="preserve">Plazo para alcanzar los niveles previstos: </w:t>
      </w:r>
      <w:r>
        <w:rPr>
          <w:rFonts w:ascii="Calibri" w:cs="Calibri" w:eastAsia="Calibri" w:hAnsi="Calibri"/>
          <w:color w:val="334155"/>
          <w:sz w:val="19"/>
          <w:szCs w:val="19"/>
        </w:rPr>
        <w:t xml:space="preserve">Crecimiento de la demanda del 5 % anual desde el año 1 (supuesto ilustrativo); la ampliación de gabinetes programada en la tabla de recursos operativos (escenario B) sostiene el crecimiento posterior: el año de entrada, el CAPEX y la depreciación correspondiente se derivan del dato estructurado de la ampliación, no de este texto.</w:t>
      </w:r>
    </w:p>
    <w:p>
      <w:pPr>
        <w:spacing w:after="40" w:before="40"/>
        <w:jc w:val="left"/>
      </w:pPr>
      <w:r>
        <w:rPr>
          <w:rFonts w:ascii="Calibri" w:cs="Calibri" w:eastAsia="Calibri" w:hAnsi="Calibri"/>
          <w:b/>
          <w:bCs/>
          <w:color w:val="1E3A5F"/>
          <w:sz w:val="19"/>
          <w:szCs w:val="19"/>
        </w:rPr>
        <w:t xml:space="preserve">Tecnologías utilizadas: </w:t>
      </w:r>
      <w:r>
        <w:rPr>
          <w:rFonts w:ascii="Calibri" w:cs="Calibri" w:eastAsia="Calibri" w:hAnsi="Calibri"/>
          <w:color w:val="334155"/>
          <w:sz w:val="19"/>
          <w:szCs w:val="19"/>
        </w:rPr>
        <w:t xml:space="preserve">Instalación base con equipamiento básico existente (dato ficticio).</w:t>
      </w:r>
    </w:p>
    <w:p>
      <w:pPr>
        <w:spacing w:after="40" w:before="40"/>
        <w:jc w:val="left"/>
      </w:pPr>
      <w:r>
        <w:rPr>
          <w:rFonts w:ascii="Calibri" w:cs="Calibri" w:eastAsia="Calibri" w:hAnsi="Calibri"/>
          <w:b/>
          <w:bCs/>
          <w:color w:val="1E3A5F"/>
          <w:sz w:val="19"/>
          <w:szCs w:val="19"/>
        </w:rPr>
        <w:t xml:space="preserve">Tecnologías a incorporar: </w:t>
      </w:r>
      <w:r>
        <w:rPr>
          <w:rFonts w:ascii="Calibri" w:cs="Calibri" w:eastAsia="Calibri" w:hAnsi="Calibri"/>
          <w:color w:val="334155"/>
          <w:sz w:val="19"/>
          <w:szCs w:val="19"/>
        </w:rPr>
        <w:t xml:space="preserve">Radiógrafos digitales panorámicos/periapicales, sillones de última generación, autoclaves de vacío clase B, sistema de gestión clínica digital y laboratorio de prótesis CAD/CAM básico (todos supuestos ilustrativos).</w:t>
      </w:r>
    </w:p>
    <w:p>
      <w:pPr>
        <w:spacing w:after="40" w:before="40"/>
        <w:jc w:val="left"/>
      </w:pPr>
      <w:r>
        <w:rPr>
          <w:rFonts w:ascii="Calibri" w:cs="Calibri" w:eastAsia="Calibri" w:hAnsi="Calibri"/>
          <w:b/>
          <w:bCs/>
          <w:color w:val="1E3A5F"/>
          <w:sz w:val="19"/>
          <w:szCs w:val="19"/>
        </w:rPr>
        <w:t xml:space="preserve">Localización: </w:t>
      </w:r>
      <w:r>
        <w:rPr>
          <w:rFonts w:ascii="Calibri" w:cs="Calibri" w:eastAsia="Calibri" w:hAnsi="Calibri"/>
          <w:color w:val="334155"/>
          <w:sz w:val="19"/>
          <w:szCs w:val="19"/>
        </w:rPr>
        <w:t xml:space="preserve">Municipio Playa, La Habana, Cuba (dirección ficticia: Calle Ejemplo e/ Ejemplo y Ejemplo, Reparto Ejemplo).</w:t>
      </w:r>
    </w:p>
    <w:p>
      <w:pPr>
        <w:spacing w:after="40" w:before="40"/>
        <w:jc w:val="left"/>
      </w:pPr>
      <w:r>
        <w:rPr>
          <w:rFonts w:ascii="Calibri" w:cs="Calibri" w:eastAsia="Calibri" w:hAnsi="Calibri"/>
          <w:b/>
          <w:bCs/>
          <w:color w:val="1E3A5F"/>
          <w:sz w:val="19"/>
          <w:szCs w:val="19"/>
        </w:rPr>
        <w:t xml:space="preserve">Infraestructura requerida: </w:t>
      </w:r>
      <w:r>
        <w:rPr>
          <w:rFonts w:ascii="Calibri" w:cs="Calibri" w:eastAsia="Calibri" w:hAnsi="Calibri"/>
          <w:color w:val="334155"/>
          <w:sz w:val="19"/>
          <w:szCs w:val="19"/>
        </w:rPr>
        <w:t xml:space="preserve">Red eléctrica, agua, alcantarillado, comunicaciones y acceso vial disponibles en la ubicación (supuesto ilustrativo).</w:t>
      </w:r>
    </w:p>
    <w:p>
      <w:pPr>
        <w:spacing w:after="40" w:before="40"/>
        <w:jc w:val="left"/>
      </w:pPr>
      <w:r>
        <w:rPr>
          <w:rFonts w:ascii="Calibri" w:cs="Calibri" w:eastAsia="Calibri" w:hAnsi="Calibri"/>
          <w:b/>
          <w:bCs/>
          <w:color w:val="1E3A5F"/>
          <w:sz w:val="19"/>
          <w:szCs w:val="19"/>
        </w:rPr>
        <w:t xml:space="preserve">Terrenos e instalaciones: </w:t>
      </w:r>
      <w:r>
        <w:rPr>
          <w:rFonts w:ascii="Calibri" w:cs="Calibri" w:eastAsia="Calibri" w:hAnsi="Calibri"/>
          <w:color w:val="334155"/>
          <w:sz w:val="19"/>
          <w:szCs w:val="19"/>
        </w:rPr>
        <w:t xml:space="preserve">Local en régimen de usufructo/arrendamiento estatal con canon anual parametrizado (supuesto ficticio).</w:t>
      </w:r>
    </w:p>
    <w:p>
      <w:pPr>
        <w:spacing w:after="40" w:before="40"/>
        <w:jc w:val="left"/>
      </w:pPr>
      <w:r>
        <w:rPr>
          <w:rFonts w:ascii="Calibri" w:cs="Calibri" w:eastAsia="Calibri" w:hAnsi="Calibri"/>
          <w:b/>
          <w:bCs/>
          <w:color w:val="1E3A5F"/>
          <w:sz w:val="19"/>
          <w:szCs w:val="19"/>
        </w:rPr>
        <w:t xml:space="preserve">Necesidades de construcción: </w:t>
      </w:r>
      <w:r>
        <w:rPr>
          <w:rFonts w:ascii="Calibri" w:cs="Calibri" w:eastAsia="Calibri" w:hAnsi="Calibri"/>
          <w:color w:val="334155"/>
          <w:sz w:val="19"/>
          <w:szCs w:val="19"/>
        </w:rPr>
        <w:t xml:space="preserve">Adecuación de 450 m²: climatización, red de aire comprimido, aspiración centralizada, área de esterilización y laboratorio (monto ilustrativo en la tabla de inversiones).</w:t>
      </w:r>
    </w:p>
    <w:p>
      <w:pPr>
        <w:pStyle w:val="NotaTexto"/>
        <w:spacing w:after="60" w:before="60" w:line="276"/>
        <w:jc w:val="both"/>
      </w:pPr>
      <w:r>
        <w:rPr>
          <w:rFonts w:ascii="Calibri" w:cs="Calibri" w:eastAsia="Calibri" w:hAnsi="Calibri"/>
          <w:color w:val="334155"/>
          <w:sz w:val="16"/>
          <w:szCs w:val="16"/>
        </w:rPr>
        <w:t xml:space="preserve">Escenario de capacidad ACTIVO: B — ampliaciones programadas.</w:t>
      </w:r>
    </w:p>
    <w:p>
      <w:pPr>
        <w:pStyle w:val="NotaTabla"/>
        <w:keepNext/>
        <w:keepLines/>
        <w:spacing w:after="80" w:before="200"/>
      </w:pPr>
      <w:r>
        <w:rPr>
          <w:rFonts w:ascii="Calibri" w:cs="Calibri" w:eastAsia="Calibri" w:hAnsi="Calibri"/>
          <w:b/>
          <w:bCs/>
          <w:color w:val="1E3A5F"/>
          <w:sz w:val="18"/>
          <w:szCs w:val="18"/>
        </w:rPr>
        <w:t xml:space="preserve">Tabla 5. Recursos operativos (la capacidad se deriva de estos datos)</w:t>
      </w:r>
    </w:p>
    <w:tbl>
      <w:tblPr>
        <w:tblW w:type="dxa" w:w="9026"/>
        <w:tblBorders>
          <w:top w:val="none" w:color="auto" w:sz="0"/>
          <w:left w:val="none" w:color="auto" w:sz="0"/>
          <w:bottom w:val="none" w:color="auto" w:sz="0"/>
          <w:right w:val="none" w:color="auto" w:sz="0"/>
          <w:insideH w:val="none" w:color="auto" w:sz="0"/>
          <w:insideV w:val="none" w:color="auto" w:sz="0"/>
        </w:tblBorders>
      </w:tblPr>
      <w:tblGrid>
        <w:gridCol w:w="2960"/>
        <w:gridCol w:w="877"/>
        <w:gridCol w:w="439"/>
        <w:gridCol w:w="658"/>
        <w:gridCol w:w="585"/>
        <w:gridCol w:w="658"/>
        <w:gridCol w:w="1096"/>
        <w:gridCol w:w="1754"/>
      </w:tblGrid>
      <w:tr>
        <w:trPr>
          <w:cantSplit/>
          <w:tblHeader/>
        </w:trPr>
        <w:tc>
          <w:tcPr>
            <w:tcW w:type="dxa" w:w="2960"/>
            <w:tcBorders>
              <w:top w:val="single" w:color="64748B" w:sz="8"/>
              <w:bottom w:val="single" w:color="94A3B8" w:sz="4"/>
            </w:tcBorders>
            <w:shd w:fill="EEF2F7" w:color="auto" w:val="clear"/>
            <w:tcMar>
              <w:top w:type="dxa" w:w="40"/>
              <w:left w:type="dxa" w:w="80"/>
              <w:bottom w:type="dxa" w:w="40"/>
              <w:right w:type="dxa" w:w="80"/>
            </w:tcMar>
          </w:tcPr>
          <w:p>
            <w:pPr>
              <w:jc w:val="left"/>
            </w:pPr>
            <w:r>
              <w:rPr>
                <w:rFonts w:ascii="Calibri" w:cs="Calibri" w:eastAsia="Calibri" w:hAnsi="Calibri"/>
                <w:b/>
                <w:bCs/>
                <w:color w:val="1E3A5F"/>
                <w:sz w:val="17"/>
                <w:szCs w:val="17"/>
              </w:rPr>
              <w:t xml:space="preserve">Recurso</w:t>
            </w:r>
          </w:p>
        </w:tc>
        <w:tc>
          <w:tcPr>
            <w:tcW w:type="dxa" w:w="877"/>
            <w:tcBorders>
              <w:top w:val="single" w:color="64748B" w:sz="8"/>
              <w:bottom w:val="single" w:color="94A3B8" w:sz="4"/>
            </w:tcBorders>
            <w:shd w:fill="EEF2F7" w:color="auto" w:val="clear"/>
            <w:tcMar>
              <w:top w:type="dxa" w:w="40"/>
              <w:left w:type="dxa" w:w="80"/>
              <w:bottom w:type="dxa" w:w="40"/>
              <w:right w:type="dxa" w:w="80"/>
            </w:tcMar>
          </w:tcPr>
          <w:p>
            <w:pPr>
              <w:jc w:val="left"/>
            </w:pPr>
            <w:r>
              <w:rPr>
                <w:rFonts w:ascii="Calibri" w:cs="Calibri" w:eastAsia="Calibri" w:hAnsi="Calibri"/>
                <w:b/>
                <w:bCs/>
                <w:color w:val="1E3A5F"/>
                <w:sz w:val="17"/>
                <w:szCs w:val="17"/>
              </w:rPr>
              <w:t xml:space="preserve">Tipo</w:t>
            </w:r>
          </w:p>
        </w:tc>
        <w:tc>
          <w:tcPr>
            <w:tcW w:type="dxa" w:w="439"/>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7"/>
                <w:szCs w:val="17"/>
              </w:rPr>
              <w:t xml:space="preserve">Cant.</w:t>
            </w:r>
          </w:p>
        </w:tc>
        <w:tc>
          <w:tcPr>
            <w:tcW w:type="dxa" w:w="658"/>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7"/>
                <w:szCs w:val="17"/>
              </w:rPr>
              <w:t xml:space="preserve">Horas/día</w:t>
            </w:r>
          </w:p>
        </w:tc>
        <w:tc>
          <w:tcPr>
            <w:tcW w:type="dxa" w:w="585"/>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7"/>
                <w:szCs w:val="17"/>
              </w:rPr>
              <w:t xml:space="preserve">Días/año</w:t>
            </w:r>
          </w:p>
        </w:tc>
        <w:tc>
          <w:tcPr>
            <w:tcW w:type="dxa" w:w="658"/>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7"/>
                <w:szCs w:val="17"/>
              </w:rPr>
              <w:t xml:space="preserve">Mantenim.</w:t>
            </w:r>
          </w:p>
        </w:tc>
        <w:tc>
          <w:tcPr>
            <w:tcW w:type="dxa" w:w="1096"/>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7"/>
                <w:szCs w:val="17"/>
              </w:rPr>
              <w:t xml:space="preserve">Disp. desde año</w:t>
            </w:r>
          </w:p>
        </w:tc>
        <w:tc>
          <w:tcPr>
            <w:tcW w:type="dxa" w:w="1754"/>
            <w:tcBorders>
              <w:top w:val="single" w:color="64748B" w:sz="8"/>
              <w:bottom w:val="single" w:color="94A3B8" w:sz="4"/>
            </w:tcBorders>
            <w:shd w:fill="EEF2F7" w:color="auto" w:val="clear"/>
            <w:tcMar>
              <w:top w:type="dxa" w:w="40"/>
              <w:left w:type="dxa" w:w="80"/>
              <w:bottom w:type="dxa" w:w="40"/>
              <w:right w:type="dxa" w:w="80"/>
            </w:tcMar>
          </w:tcPr>
          <w:p>
            <w:pPr>
              <w:jc w:val="left"/>
            </w:pPr>
            <w:r>
              <w:rPr>
                <w:rFonts w:ascii="Calibri" w:cs="Calibri" w:eastAsia="Calibri" w:hAnsi="Calibri"/>
                <w:b/>
                <w:bCs/>
                <w:color w:val="1E3A5F"/>
                <w:sz w:val="17"/>
                <w:szCs w:val="17"/>
              </w:rPr>
              <w:t xml:space="preserve">Ampliaciones</w:t>
            </w:r>
          </w:p>
        </w:tc>
      </w:tr>
      <w:tr>
        <w:trPr>
          <w:cantSplit/>
        </w:trPr>
        <w:tc>
          <w:tcPr>
            <w:tcW w:type="dxa" w:w="2960"/>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Gabinetes de atención (sillones)</w:t>
            </w:r>
          </w:p>
        </w:tc>
        <w:tc>
          <w:tcPr>
            <w:tcW w:type="dxa" w:w="877"/>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Gabinete</w:t>
            </w:r>
          </w:p>
        </w:tc>
        <w:tc>
          <w:tcPr>
            <w:tcW w:type="dxa" w:w="439"/>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5</w:t>
            </w:r>
          </w:p>
        </w:tc>
        <w:tc>
          <w:tcPr>
            <w:tcW w:type="dxa" w:w="658"/>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8,0</w:t>
            </w:r>
          </w:p>
        </w:tc>
        <w:tc>
          <w:tcPr>
            <w:tcW w:type="dxa" w:w="585"/>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288</w:t>
            </w:r>
          </w:p>
        </w:tc>
        <w:tc>
          <w:tcPr>
            <w:tcW w:type="dxa" w:w="658"/>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5,0 %</w:t>
            </w:r>
          </w:p>
        </w:tc>
        <w:tc>
          <w:tcPr>
            <w:tcW w:type="dxa" w:w="1096"/>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1</w:t>
            </w:r>
          </w:p>
        </w:tc>
        <w:tc>
          <w:tcPr>
            <w:tcW w:type="dxa" w:w="1754"/>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+2 en año 7 (150,0 kUSD)</w:t>
            </w:r>
          </w:p>
        </w:tc>
      </w:tr>
      <w:tr>
        <w:trPr>
          <w:cantSplit/>
        </w:trPr>
        <w:tc>
          <w:tcPr>
            <w:tcW w:type="dxa" w:w="2960"/>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Equipos de imagenología dental</w:t>
            </w:r>
          </w:p>
        </w:tc>
        <w:tc>
          <w:tcPr>
            <w:tcW w:type="dxa" w:w="877"/>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Equipo</w:t>
            </w:r>
          </w:p>
        </w:tc>
        <w:tc>
          <w:tcPr>
            <w:tcW w:type="dxa" w:w="439"/>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2</w:t>
            </w:r>
          </w:p>
        </w:tc>
        <w:tc>
          <w:tcPr>
            <w:tcW w:type="dxa" w:w="658"/>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6,0</w:t>
            </w:r>
          </w:p>
        </w:tc>
        <w:tc>
          <w:tcPr>
            <w:tcW w:type="dxa" w:w="585"/>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288</w:t>
            </w:r>
          </w:p>
        </w:tc>
        <w:tc>
          <w:tcPr>
            <w:tcW w:type="dxa" w:w="658"/>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10,0 %</w:t>
            </w:r>
          </w:p>
        </w:tc>
        <w:tc>
          <w:tcPr>
            <w:tcW w:type="dxa" w:w="1096"/>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1</w:t>
            </w:r>
          </w:p>
        </w:tc>
        <w:tc>
          <w:tcPr>
            <w:tcW w:type="dxa" w:w="1754"/>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w:t>
            </w:r>
          </w:p>
        </w:tc>
      </w:tr>
      <w:tr>
        <w:trPr>
          <w:cantSplit/>
        </w:trPr>
        <w:tc>
          <w:tcPr>
            <w:tcW w:type="dxa" w:w="2960"/>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Laboratorio de prótesis</w:t>
            </w:r>
          </w:p>
        </w:tc>
        <w:tc>
          <w:tcPr>
            <w:tcW w:type="dxa" w:w="877"/>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Local / área</w:t>
            </w:r>
          </w:p>
        </w:tc>
        <w:tc>
          <w:tcPr>
            <w:tcW w:type="dxa" w:w="439"/>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1</w:t>
            </w:r>
          </w:p>
        </w:tc>
        <w:tc>
          <w:tcPr>
            <w:tcW w:type="dxa" w:w="658"/>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6,0</w:t>
            </w:r>
          </w:p>
        </w:tc>
        <w:tc>
          <w:tcPr>
            <w:tcW w:type="dxa" w:w="585"/>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288</w:t>
            </w:r>
          </w:p>
        </w:tc>
        <w:tc>
          <w:tcPr>
            <w:tcW w:type="dxa" w:w="658"/>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5,0 %</w:t>
            </w:r>
          </w:p>
        </w:tc>
        <w:tc>
          <w:tcPr>
            <w:tcW w:type="dxa" w:w="1096"/>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1</w:t>
            </w:r>
          </w:p>
        </w:tc>
        <w:tc>
          <w:tcPr>
            <w:tcW w:type="dxa" w:w="1754"/>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w:t>
            </w:r>
          </w:p>
        </w:tc>
      </w:tr>
      <w:tr>
        <w:trPr>
          <w:cantSplit/>
        </w:trPr>
        <w:tc>
          <w:tcPr>
            <w:tcW w:type="dxa" w:w="2960"/>
            <w:tcBorders>
              <w:bottom w:val="single" w:color="64748B" w:sz="8"/>
            </w:tcBorders>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Profesionales estomatológicos</w:t>
            </w:r>
          </w:p>
        </w:tc>
        <w:tc>
          <w:tcPr>
            <w:tcW w:type="dxa" w:w="877"/>
            <w:tcBorders>
              <w:bottom w:val="single" w:color="64748B" w:sz="8"/>
            </w:tcBorders>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Profesional</w:t>
            </w:r>
          </w:p>
        </w:tc>
        <w:tc>
          <w:tcPr>
            <w:tcW w:type="dxa" w:w="439"/>
            <w:tcBorders>
              <w:bottom w:val="single" w:color="64748B" w:sz="8"/>
            </w:tcBorders>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12</w:t>
            </w:r>
          </w:p>
        </w:tc>
        <w:tc>
          <w:tcPr>
            <w:tcW w:type="dxa" w:w="658"/>
            <w:tcBorders>
              <w:bottom w:val="single" w:color="64748B" w:sz="8"/>
            </w:tcBorders>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6,0</w:t>
            </w:r>
          </w:p>
        </w:tc>
        <w:tc>
          <w:tcPr>
            <w:tcW w:type="dxa" w:w="585"/>
            <w:tcBorders>
              <w:bottom w:val="single" w:color="64748B" w:sz="8"/>
            </w:tcBorders>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288</w:t>
            </w:r>
          </w:p>
        </w:tc>
        <w:tc>
          <w:tcPr>
            <w:tcW w:type="dxa" w:w="658"/>
            <w:tcBorders>
              <w:bottom w:val="single" w:color="64748B" w:sz="8"/>
            </w:tcBorders>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5,0 %</w:t>
            </w:r>
          </w:p>
        </w:tc>
        <w:tc>
          <w:tcPr>
            <w:tcW w:type="dxa" w:w="1096"/>
            <w:tcBorders>
              <w:bottom w:val="single" w:color="64748B" w:sz="8"/>
            </w:tcBorders>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1</w:t>
            </w:r>
          </w:p>
        </w:tc>
        <w:tc>
          <w:tcPr>
            <w:tcW w:type="dxa" w:w="1754"/>
            <w:tcBorders>
              <w:bottom w:val="single" w:color="64748B" w:sz="8"/>
            </w:tcBorders>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w:t>
            </w:r>
          </w:p>
        </w:tc>
      </w:tr>
    </w:tbl>
    <w:p>
      <w:pPr>
        <w:pStyle w:val="NotaTabla"/>
        <w:keepNext/>
        <w:keepLines/>
        <w:spacing w:after="80" w:before="200"/>
      </w:pPr>
      <w:r>
        <w:rPr>
          <w:rFonts w:ascii="Calibri" w:cs="Calibri" w:eastAsia="Calibri" w:hAnsi="Calibri"/>
          <w:b/>
          <w:bCs/>
          <w:color w:val="1E3A5F"/>
          <w:sz w:val="18"/>
          <w:szCs w:val="18"/>
        </w:rPr>
        <w:t xml:space="preserve">Tabla 6. Ampliaciones programadas según la tabla de recursos (derivadas del modelo: el año de la capacidad, el CAPEX y la depreciación provienen del mismo dato estructurado)</w:t>
      </w:r>
    </w:p>
    <w:tbl>
      <w:tblPr>
        <w:tblW w:type="dxa" w:w="9026"/>
        <w:tblBorders>
          <w:top w:val="none" w:color="auto" w:sz="0"/>
          <w:left w:val="none" w:color="auto" w:sz="0"/>
          <w:bottom w:val="none" w:color="auto" w:sz="0"/>
          <w:right w:val="none" w:color="auto" w:sz="0"/>
          <w:insideH w:val="none" w:color="auto" w:sz="0"/>
          <w:insideV w:val="none" w:color="auto" w:sz="0"/>
        </w:tblBorders>
      </w:tblPr>
      <w:tblGrid>
        <w:gridCol w:w="2397"/>
        <w:gridCol w:w="592"/>
        <w:gridCol w:w="1539"/>
        <w:gridCol w:w="769"/>
        <w:gridCol w:w="2012"/>
        <w:gridCol w:w="1716"/>
      </w:tblGrid>
      <w:tr>
        <w:trPr>
          <w:cantSplit/>
          <w:tblHeader/>
        </w:trPr>
        <w:tc>
          <w:tcPr>
            <w:tcW w:type="dxa" w:w="2397"/>
            <w:tcBorders>
              <w:top w:val="single" w:color="64748B" w:sz="8"/>
              <w:bottom w:val="single" w:color="94A3B8" w:sz="4"/>
            </w:tcBorders>
            <w:shd w:fill="EEF2F7" w:color="auto" w:val="clear"/>
            <w:tcMar>
              <w:top w:type="dxa" w:w="40"/>
              <w:left w:type="dxa" w:w="80"/>
              <w:bottom w:type="dxa" w:w="40"/>
              <w:right w:type="dxa" w:w="80"/>
            </w:tcMar>
          </w:tcPr>
          <w:p>
            <w:pPr>
              <w:jc w:val="left"/>
            </w:pPr>
            <w:r>
              <w:rPr>
                <w:rFonts w:ascii="Calibri" w:cs="Calibri" w:eastAsia="Calibri" w:hAnsi="Calibri"/>
                <w:b/>
                <w:bCs/>
                <w:color w:val="1E3A5F"/>
                <w:sz w:val="17"/>
                <w:szCs w:val="17"/>
              </w:rPr>
              <w:t xml:space="preserve">Recurso</w:t>
            </w:r>
          </w:p>
        </w:tc>
        <w:tc>
          <w:tcPr>
            <w:tcW w:type="dxa" w:w="592"/>
            <w:tcBorders>
              <w:top w:val="single" w:color="64748B" w:sz="8"/>
              <w:bottom w:val="single" w:color="94A3B8" w:sz="4"/>
            </w:tcBorders>
            <w:shd w:fill="EEF2F7" w:color="auto" w:val="clear"/>
            <w:tcMar>
              <w:top w:type="dxa" w:w="40"/>
              <w:left w:type="dxa" w:w="80"/>
              <w:bottom w:type="dxa" w:w="40"/>
              <w:right w:type="dxa" w:w="80"/>
            </w:tcMar>
          </w:tcPr>
          <w:p>
            <w:pPr>
              <w:jc w:val="left"/>
            </w:pPr>
            <w:r>
              <w:rPr>
                <w:rFonts w:ascii="Calibri" w:cs="Calibri" w:eastAsia="Calibri" w:hAnsi="Calibri"/>
                <w:b/>
                <w:bCs/>
                <w:color w:val="1E3A5F"/>
                <w:sz w:val="17"/>
                <w:szCs w:val="17"/>
              </w:rPr>
              <w:t xml:space="preserve">Incremento</w:t>
            </w:r>
          </w:p>
        </w:tc>
        <w:tc>
          <w:tcPr>
            <w:tcW w:type="dxa" w:w="1539"/>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7"/>
                <w:szCs w:val="17"/>
              </w:rPr>
              <w:t xml:space="preserve">Año de entrada (capacidad)</w:t>
            </w:r>
          </w:p>
        </w:tc>
        <w:tc>
          <w:tcPr>
            <w:tcW w:type="dxa" w:w="769"/>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7"/>
                <w:szCs w:val="17"/>
              </w:rPr>
              <w:t xml:space="preserve">CAPEX del año</w:t>
            </w:r>
          </w:p>
        </w:tc>
        <w:tc>
          <w:tcPr>
            <w:tcW w:type="dxa" w:w="2012"/>
            <w:tcBorders>
              <w:top w:val="single" w:color="64748B" w:sz="8"/>
              <w:bottom w:val="single" w:color="94A3B8" w:sz="4"/>
            </w:tcBorders>
            <w:shd w:fill="EEF2F7" w:color="auto" w:val="clear"/>
            <w:tcMar>
              <w:top w:type="dxa" w:w="40"/>
              <w:left w:type="dxa" w:w="80"/>
              <w:bottom w:type="dxa" w:w="40"/>
              <w:right w:type="dxa" w:w="80"/>
            </w:tcMar>
          </w:tcPr>
          <w:p>
            <w:pPr>
              <w:jc w:val="left"/>
            </w:pPr>
            <w:r>
              <w:rPr>
                <w:rFonts w:ascii="Calibri" w:cs="Calibri" w:eastAsia="Calibri" w:hAnsi="Calibri"/>
                <w:b/>
                <w:bCs/>
                <w:color w:val="1E3A5F"/>
                <w:sz w:val="17"/>
                <w:szCs w:val="17"/>
              </w:rPr>
              <w:t xml:space="preserve">Depreciación desde el año de entrada</w:t>
            </w:r>
          </w:p>
        </w:tc>
        <w:tc>
          <w:tcPr>
            <w:tcW w:type="dxa" w:w="1716"/>
            <w:tcBorders>
              <w:top w:val="single" w:color="64748B" w:sz="8"/>
              <w:bottom w:val="single" w:color="94A3B8" w:sz="4"/>
            </w:tcBorders>
            <w:shd w:fill="EEF2F7" w:color="auto" w:val="clear"/>
            <w:tcMar>
              <w:top w:type="dxa" w:w="40"/>
              <w:left w:type="dxa" w:w="80"/>
              <w:bottom w:type="dxa" w:w="40"/>
              <w:right w:type="dxa" w:w="80"/>
            </w:tcMar>
          </w:tcPr>
          <w:p>
            <w:pPr>
              <w:jc w:val="left"/>
            </w:pPr>
            <w:r>
              <w:rPr>
                <w:rFonts w:ascii="Calibri" w:cs="Calibri" w:eastAsia="Calibri" w:hAnsi="Calibri"/>
                <w:b/>
                <w:bCs/>
                <w:color w:val="1E3A5F"/>
                <w:sz w:val="17"/>
                <w:szCs w:val="17"/>
              </w:rPr>
              <w:t xml:space="preserve">Vida útil / VNL al cierre</w:t>
            </w:r>
          </w:p>
        </w:tc>
      </w:tr>
      <w:tr>
        <w:trPr>
          <w:cantSplit/>
        </w:trPr>
        <w:tc>
          <w:tcPr>
            <w:tcW w:type="dxa" w:w="2397"/>
            <w:tcBorders>
              <w:bottom w:val="single" w:color="64748B" w:sz="8"/>
            </w:tcBorders>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Gabinetes de atención (sillones)</w:t>
            </w:r>
          </w:p>
        </w:tc>
        <w:tc>
          <w:tcPr>
            <w:tcW w:type="dxa" w:w="592"/>
            <w:tcBorders>
              <w:bottom w:val="single" w:color="64748B" w:sz="8"/>
            </w:tcBorders>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+2 uds.</w:t>
            </w:r>
          </w:p>
        </w:tc>
        <w:tc>
          <w:tcPr>
            <w:tcW w:type="dxa" w:w="1539"/>
            <w:tcBorders>
              <w:bottom w:val="single" w:color="64748B" w:sz="8"/>
            </w:tcBorders>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7</w:t>
            </w:r>
          </w:p>
        </w:tc>
        <w:tc>
          <w:tcPr>
            <w:tcW w:type="dxa" w:w="769"/>
            <w:tcBorders>
              <w:bottom w:val="single" w:color="64748B" w:sz="8"/>
            </w:tcBorders>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150,0</w:t>
            </w:r>
          </w:p>
        </w:tc>
        <w:tc>
          <w:tcPr>
            <w:tcW w:type="dxa" w:w="2012"/>
            <w:tcBorders>
              <w:bottom w:val="single" w:color="64748B" w:sz="8"/>
            </w:tcBorders>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15,0 kUSD/año desde el año 7</w:t>
            </w:r>
          </w:p>
        </w:tc>
        <w:tc>
          <w:tcPr>
            <w:tcW w:type="dxa" w:w="1716"/>
            <w:tcBorders>
              <w:bottom w:val="single" w:color="64748B" w:sz="8"/>
            </w:tcBorders>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10 años (VNL al cierre: 90,0)</w:t>
            </w:r>
          </w:p>
        </w:tc>
      </w:tr>
    </w:tbl>
    <w:p>
      <w:pPr>
        <w:pStyle w:val="NotaTexto"/>
        <w:spacing w:after="60" w:before="60" w:line="276"/>
        <w:jc w:val="both"/>
      </w:pPr>
      <w:r>
        <w:rPr>
          <w:rFonts w:ascii="Calibri" w:cs="Calibri" w:eastAsia="Calibri" w:hAnsi="Calibri"/>
          <w:color w:val="334155"/>
          <w:sz w:val="16"/>
          <w:szCs w:val="16"/>
        </w:rPr>
        <w:t xml:space="preserve">El año de entrada de cada ampliación es el dato estructurado registrado en la tabla de recursos (año 7); el CAPEX, la depreciación y las tablas de capacidad y flujos usan ese mismo año. Toda mención narrativa a una fecha de ampliación debe corresponderse con este registro.</w:t>
      </w:r>
    </w:p>
    <w:p>
      <w:pPr>
        <w:pStyle w:val="NotaTabla"/>
        <w:keepNext/>
        <w:keepLines/>
        <w:spacing w:after="80" w:before="200"/>
      </w:pPr>
      <w:r>
        <w:rPr>
          <w:rFonts w:ascii="Calibri" w:cs="Calibri" w:eastAsia="Calibri" w:hAnsi="Calibri"/>
          <w:b/>
          <w:bCs/>
          <w:color w:val="1E3A5F"/>
          <w:sz w:val="18"/>
          <w:szCs w:val="18"/>
        </w:rPr>
        <w:t xml:space="preserve">Tabla 7. Servicios previstos (año 1; precios y costos unitarios en USD; demanda vs. capacidad del escenario activo; canal de comercialización 4.8)</w:t>
      </w:r>
    </w:p>
    <w:tbl>
      <w:tblPr>
        <w:tblW w:type="dxa" w:w="9026"/>
        <w:tblBorders>
          <w:top w:val="none" w:color="auto" w:sz="0"/>
          <w:left w:val="none" w:color="auto" w:sz="0"/>
          <w:bottom w:val="none" w:color="auto" w:sz="0"/>
          <w:right w:val="none" w:color="auto" w:sz="0"/>
          <w:insideH w:val="none" w:color="auto" w:sz="0"/>
          <w:insideV w:val="none" w:color="auto" w:sz="0"/>
        </w:tblBorders>
      </w:tblPr>
      <w:tblGrid>
        <w:gridCol w:w="1889"/>
        <w:gridCol w:w="560"/>
        <w:gridCol w:w="700"/>
        <w:gridCol w:w="653"/>
        <w:gridCol w:w="746"/>
        <w:gridCol w:w="280"/>
        <w:gridCol w:w="1073"/>
        <w:gridCol w:w="793"/>
        <w:gridCol w:w="1306"/>
        <w:gridCol w:w="1026"/>
      </w:tblGrid>
      <w:tr>
        <w:trPr>
          <w:cantSplit/>
          <w:tblHeader/>
        </w:trPr>
        <w:tc>
          <w:tcPr>
            <w:tcW w:type="dxa" w:w="1889"/>
            <w:tcBorders>
              <w:top w:val="single" w:color="64748B" w:sz="8"/>
              <w:bottom w:val="single" w:color="94A3B8" w:sz="4"/>
            </w:tcBorders>
            <w:shd w:fill="EEF2F7" w:color="auto" w:val="clear"/>
            <w:tcMar>
              <w:top w:type="dxa" w:w="40"/>
              <w:left w:type="dxa" w:w="80"/>
              <w:bottom w:type="dxa" w:w="40"/>
              <w:right w:type="dxa" w:w="80"/>
            </w:tcMar>
          </w:tcPr>
          <w:p>
            <w:pPr>
              <w:jc w:val="left"/>
            </w:pPr>
            <w:r>
              <w:rPr>
                <w:rFonts w:ascii="Calibri" w:cs="Calibri" w:eastAsia="Calibri" w:hAnsi="Calibri"/>
                <w:b/>
                <w:bCs/>
                <w:color w:val="1E3A5F"/>
                <w:sz w:val="17"/>
                <w:szCs w:val="17"/>
              </w:rPr>
              <w:t xml:space="preserve">Servicio</w:t>
            </w:r>
          </w:p>
        </w:tc>
        <w:tc>
          <w:tcPr>
            <w:tcW w:type="dxa" w:w="560"/>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7"/>
                <w:szCs w:val="17"/>
              </w:rPr>
              <w:t xml:space="preserve">Precio unit.</w:t>
            </w:r>
          </w:p>
        </w:tc>
        <w:tc>
          <w:tcPr>
            <w:tcW w:type="dxa" w:w="700"/>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7"/>
                <w:szCs w:val="17"/>
              </w:rPr>
              <w:t xml:space="preserve">Demanda mensual</w:t>
            </w:r>
          </w:p>
        </w:tc>
        <w:tc>
          <w:tcPr>
            <w:tcW w:type="dxa" w:w="653"/>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7"/>
                <w:szCs w:val="17"/>
              </w:rPr>
              <w:t xml:space="preserve">Duración (min)</w:t>
            </w:r>
          </w:p>
        </w:tc>
        <w:tc>
          <w:tcPr>
            <w:tcW w:type="dxa" w:w="746"/>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7"/>
                <w:szCs w:val="17"/>
              </w:rPr>
              <w:t xml:space="preserve">Recursos que usa</w:t>
            </w:r>
          </w:p>
        </w:tc>
        <w:tc>
          <w:tcPr>
            <w:tcW w:type="dxa" w:w="280"/>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7"/>
                <w:szCs w:val="17"/>
              </w:rPr>
              <w:t xml:space="preserve">CVU</w:t>
            </w:r>
          </w:p>
        </w:tc>
        <w:tc>
          <w:tcPr>
            <w:tcW w:type="dxa" w:w="1073"/>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7"/>
                <w:szCs w:val="17"/>
              </w:rPr>
              <w:t xml:space="preserve">Cantidad realizable/mes</w:t>
            </w:r>
          </w:p>
        </w:tc>
        <w:tc>
          <w:tcPr>
            <w:tcW w:type="dxa" w:w="793"/>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7"/>
                <w:szCs w:val="17"/>
              </w:rPr>
              <w:t xml:space="preserve">Capacidad mensual</w:t>
            </w:r>
          </w:p>
        </w:tc>
        <w:tc>
          <w:tcPr>
            <w:tcW w:type="dxa" w:w="1306"/>
            <w:tcBorders>
              <w:top w:val="single" w:color="64748B" w:sz="8"/>
              <w:bottom w:val="single" w:color="94A3B8" w:sz="4"/>
            </w:tcBorders>
            <w:shd w:fill="EEF2F7" w:color="auto" w:val="clear"/>
            <w:tcMar>
              <w:top w:type="dxa" w:w="40"/>
              <w:left w:type="dxa" w:w="80"/>
              <w:bottom w:type="dxa" w:w="40"/>
              <w:right w:type="dxa" w:w="80"/>
            </w:tcMar>
          </w:tcPr>
          <w:p>
            <w:pPr>
              <w:jc w:val="left"/>
            </w:pPr>
            <w:r>
              <w:rPr>
                <w:rFonts w:ascii="Calibri" w:cs="Calibri" w:eastAsia="Calibri" w:hAnsi="Calibri"/>
                <w:b/>
                <w:bCs/>
                <w:color w:val="1E3A5F"/>
                <w:sz w:val="17"/>
                <w:szCs w:val="17"/>
              </w:rPr>
              <w:t xml:space="preserve">Canal</w:t>
            </w:r>
          </w:p>
        </w:tc>
        <w:tc>
          <w:tcPr>
            <w:tcW w:type="dxa" w:w="1026"/>
            <w:tcBorders>
              <w:top w:val="single" w:color="64748B" w:sz="8"/>
              <w:bottom w:val="single" w:color="94A3B8" w:sz="4"/>
            </w:tcBorders>
            <w:shd w:fill="EEF2F7" w:color="auto" w:val="clear"/>
            <w:tcMar>
              <w:top w:type="dxa" w:w="40"/>
              <w:left w:type="dxa" w:w="80"/>
              <w:bottom w:type="dxa" w:w="40"/>
              <w:right w:type="dxa" w:w="80"/>
            </w:tcMar>
          </w:tcPr>
          <w:p>
            <w:pPr>
              <w:jc w:val="left"/>
            </w:pPr>
            <w:r>
              <w:rPr>
                <w:rFonts w:ascii="Calibri" w:cs="Calibri" w:eastAsia="Calibri" w:hAnsi="Calibri"/>
                <w:b/>
                <w:bCs/>
                <w:color w:val="1E3A5F"/>
                <w:sz w:val="17"/>
                <w:szCs w:val="17"/>
              </w:rPr>
              <w:t xml:space="preserve">Estado de la capacidad</w:t>
            </w:r>
          </w:p>
        </w:tc>
      </w:tr>
      <w:tr>
        <w:trPr>
          <w:cantSplit/>
        </w:trPr>
        <w:tc>
          <w:tcPr>
            <w:tcW w:type="dxa" w:w="1889"/>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Consulta estomatológica</w:t>
            </w:r>
          </w:p>
        </w:tc>
        <w:tc>
          <w:tcPr>
            <w:tcW w:type="dxa" w:w="560"/>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25,0</w:t>
            </w:r>
          </w:p>
        </w:tc>
        <w:tc>
          <w:tcPr>
            <w:tcW w:type="dxa" w:w="700"/>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400</w:t>
            </w:r>
          </w:p>
        </w:tc>
        <w:tc>
          <w:tcPr>
            <w:tcW w:type="dxa" w:w="653"/>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30,0</w:t>
            </w:r>
          </w:p>
        </w:tc>
        <w:tc>
          <w:tcPr>
            <w:tcW w:type="dxa" w:w="746"/>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2</w:t>
            </w:r>
          </w:p>
        </w:tc>
        <w:tc>
          <w:tcPr>
            <w:tcW w:type="dxa" w:w="280"/>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6,0</w:t>
            </w:r>
          </w:p>
        </w:tc>
        <w:tc>
          <w:tcPr>
            <w:tcW w:type="dxa" w:w="1073"/>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400,0</w:t>
            </w:r>
          </w:p>
        </w:tc>
        <w:tc>
          <w:tcPr>
            <w:tcW w:type="dxa" w:w="793"/>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1.824,0</w:t>
            </w:r>
          </w:p>
        </w:tc>
        <w:tc>
          <w:tcPr>
            <w:tcW w:type="dxa" w:w="1306"/>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Venta en plaza</w:t>
            </w:r>
          </w:p>
        </w:tc>
        <w:tc>
          <w:tcPr>
            <w:tcW w:type="dxa" w:w="1026"/>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Atendible</w:t>
            </w:r>
          </w:p>
        </w:tc>
      </w:tr>
      <w:tr>
        <w:trPr>
          <w:cantSplit/>
        </w:trPr>
        <w:tc>
          <w:tcPr>
            <w:tcW w:type="dxa" w:w="1889"/>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Odontología preventiva (profilaxis y sellado)</w:t>
            </w:r>
          </w:p>
        </w:tc>
        <w:tc>
          <w:tcPr>
            <w:tcW w:type="dxa" w:w="560"/>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35,0</w:t>
            </w:r>
          </w:p>
        </w:tc>
        <w:tc>
          <w:tcPr>
            <w:tcW w:type="dxa" w:w="700"/>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160</w:t>
            </w:r>
          </w:p>
        </w:tc>
        <w:tc>
          <w:tcPr>
            <w:tcW w:type="dxa" w:w="653"/>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40,0</w:t>
            </w:r>
          </w:p>
        </w:tc>
        <w:tc>
          <w:tcPr>
            <w:tcW w:type="dxa" w:w="746"/>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2</w:t>
            </w:r>
          </w:p>
        </w:tc>
        <w:tc>
          <w:tcPr>
            <w:tcW w:type="dxa" w:w="280"/>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10,0</w:t>
            </w:r>
          </w:p>
        </w:tc>
        <w:tc>
          <w:tcPr>
            <w:tcW w:type="dxa" w:w="1073"/>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160,0</w:t>
            </w:r>
          </w:p>
        </w:tc>
        <w:tc>
          <w:tcPr>
            <w:tcW w:type="dxa" w:w="793"/>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1.368,0</w:t>
            </w:r>
          </w:p>
        </w:tc>
        <w:tc>
          <w:tcPr>
            <w:tcW w:type="dxa" w:w="1306"/>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Venta en plaza</w:t>
            </w:r>
          </w:p>
        </w:tc>
        <w:tc>
          <w:tcPr>
            <w:tcW w:type="dxa" w:w="1026"/>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Atendible</w:t>
            </w:r>
          </w:p>
        </w:tc>
      </w:tr>
      <w:tr>
        <w:trPr>
          <w:cantSplit/>
        </w:trPr>
        <w:tc>
          <w:tcPr>
            <w:tcW w:type="dxa" w:w="1889"/>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Restauraciones (obturaciones)</w:t>
            </w:r>
          </w:p>
        </w:tc>
        <w:tc>
          <w:tcPr>
            <w:tcW w:type="dxa" w:w="560"/>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60,0</w:t>
            </w:r>
          </w:p>
        </w:tc>
        <w:tc>
          <w:tcPr>
            <w:tcW w:type="dxa" w:w="700"/>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220</w:t>
            </w:r>
          </w:p>
        </w:tc>
        <w:tc>
          <w:tcPr>
            <w:tcW w:type="dxa" w:w="653"/>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45,0</w:t>
            </w:r>
          </w:p>
        </w:tc>
        <w:tc>
          <w:tcPr>
            <w:tcW w:type="dxa" w:w="746"/>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2</w:t>
            </w:r>
          </w:p>
        </w:tc>
        <w:tc>
          <w:tcPr>
            <w:tcW w:type="dxa" w:w="280"/>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18,0</w:t>
            </w:r>
          </w:p>
        </w:tc>
        <w:tc>
          <w:tcPr>
            <w:tcW w:type="dxa" w:w="1073"/>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220,0</w:t>
            </w:r>
          </w:p>
        </w:tc>
        <w:tc>
          <w:tcPr>
            <w:tcW w:type="dxa" w:w="793"/>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1.216,0</w:t>
            </w:r>
          </w:p>
        </w:tc>
        <w:tc>
          <w:tcPr>
            <w:tcW w:type="dxa" w:w="1306"/>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Venta en plaza</w:t>
            </w:r>
          </w:p>
        </w:tc>
        <w:tc>
          <w:tcPr>
            <w:tcW w:type="dxa" w:w="1026"/>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Atendible</w:t>
            </w:r>
          </w:p>
        </w:tc>
      </w:tr>
      <w:tr>
        <w:trPr>
          <w:cantSplit/>
        </w:trPr>
        <w:tc>
          <w:tcPr>
            <w:tcW w:type="dxa" w:w="1889"/>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Endodoncia</w:t>
            </w:r>
          </w:p>
        </w:tc>
        <w:tc>
          <w:tcPr>
            <w:tcW w:type="dxa" w:w="560"/>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150,0</w:t>
            </w:r>
          </w:p>
        </w:tc>
        <w:tc>
          <w:tcPr>
            <w:tcW w:type="dxa" w:w="700"/>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70</w:t>
            </w:r>
          </w:p>
        </w:tc>
        <w:tc>
          <w:tcPr>
            <w:tcW w:type="dxa" w:w="653"/>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60,0</w:t>
            </w:r>
          </w:p>
        </w:tc>
        <w:tc>
          <w:tcPr>
            <w:tcW w:type="dxa" w:w="746"/>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2</w:t>
            </w:r>
          </w:p>
        </w:tc>
        <w:tc>
          <w:tcPr>
            <w:tcW w:type="dxa" w:w="280"/>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40,0</w:t>
            </w:r>
          </w:p>
        </w:tc>
        <w:tc>
          <w:tcPr>
            <w:tcW w:type="dxa" w:w="1073"/>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70,0</w:t>
            </w:r>
          </w:p>
        </w:tc>
        <w:tc>
          <w:tcPr>
            <w:tcW w:type="dxa" w:w="793"/>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912,0</w:t>
            </w:r>
          </w:p>
        </w:tc>
        <w:tc>
          <w:tcPr>
            <w:tcW w:type="dxa" w:w="1306"/>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Venta en plaza</w:t>
            </w:r>
          </w:p>
        </w:tc>
        <w:tc>
          <w:tcPr>
            <w:tcW w:type="dxa" w:w="1026"/>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Atendible</w:t>
            </w:r>
          </w:p>
        </w:tc>
      </w:tr>
      <w:tr>
        <w:trPr>
          <w:cantSplit/>
        </w:trPr>
        <w:tc>
          <w:tcPr>
            <w:tcW w:type="dxa" w:w="1889"/>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Periodoncia</w:t>
            </w:r>
          </w:p>
        </w:tc>
        <w:tc>
          <w:tcPr>
            <w:tcW w:type="dxa" w:w="560"/>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120,0</w:t>
            </w:r>
          </w:p>
        </w:tc>
        <w:tc>
          <w:tcPr>
            <w:tcW w:type="dxa" w:w="700"/>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60</w:t>
            </w:r>
          </w:p>
        </w:tc>
        <w:tc>
          <w:tcPr>
            <w:tcW w:type="dxa" w:w="653"/>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50,0</w:t>
            </w:r>
          </w:p>
        </w:tc>
        <w:tc>
          <w:tcPr>
            <w:tcW w:type="dxa" w:w="746"/>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2</w:t>
            </w:r>
          </w:p>
        </w:tc>
        <w:tc>
          <w:tcPr>
            <w:tcW w:type="dxa" w:w="280"/>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30,0</w:t>
            </w:r>
          </w:p>
        </w:tc>
        <w:tc>
          <w:tcPr>
            <w:tcW w:type="dxa" w:w="1073"/>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60,0</w:t>
            </w:r>
          </w:p>
        </w:tc>
        <w:tc>
          <w:tcPr>
            <w:tcW w:type="dxa" w:w="793"/>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1.094,4</w:t>
            </w:r>
          </w:p>
        </w:tc>
        <w:tc>
          <w:tcPr>
            <w:tcW w:type="dxa" w:w="1306"/>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Venta en plaza</w:t>
            </w:r>
          </w:p>
        </w:tc>
        <w:tc>
          <w:tcPr>
            <w:tcW w:type="dxa" w:w="1026"/>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Atendible</w:t>
            </w:r>
          </w:p>
        </w:tc>
      </w:tr>
      <w:tr>
        <w:trPr>
          <w:cantSplit/>
        </w:trPr>
        <w:tc>
          <w:tcPr>
            <w:tcW w:type="dxa" w:w="1889"/>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Cirugía oral</w:t>
            </w:r>
          </w:p>
        </w:tc>
        <w:tc>
          <w:tcPr>
            <w:tcW w:type="dxa" w:w="560"/>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180,0</w:t>
            </w:r>
          </w:p>
        </w:tc>
        <w:tc>
          <w:tcPr>
            <w:tcW w:type="dxa" w:w="700"/>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35</w:t>
            </w:r>
          </w:p>
        </w:tc>
        <w:tc>
          <w:tcPr>
            <w:tcW w:type="dxa" w:w="653"/>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60,0</w:t>
            </w:r>
          </w:p>
        </w:tc>
        <w:tc>
          <w:tcPr>
            <w:tcW w:type="dxa" w:w="746"/>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2</w:t>
            </w:r>
          </w:p>
        </w:tc>
        <w:tc>
          <w:tcPr>
            <w:tcW w:type="dxa" w:w="280"/>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45,0</w:t>
            </w:r>
          </w:p>
        </w:tc>
        <w:tc>
          <w:tcPr>
            <w:tcW w:type="dxa" w:w="1073"/>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35,0</w:t>
            </w:r>
          </w:p>
        </w:tc>
        <w:tc>
          <w:tcPr>
            <w:tcW w:type="dxa" w:w="793"/>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912,0</w:t>
            </w:r>
          </w:p>
        </w:tc>
        <w:tc>
          <w:tcPr>
            <w:tcW w:type="dxa" w:w="1306"/>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Venta en plaza</w:t>
            </w:r>
          </w:p>
        </w:tc>
        <w:tc>
          <w:tcPr>
            <w:tcW w:type="dxa" w:w="1026"/>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Atendible</w:t>
            </w:r>
          </w:p>
        </w:tc>
      </w:tr>
      <w:tr>
        <w:trPr>
          <w:cantSplit/>
        </w:trPr>
        <w:tc>
          <w:tcPr>
            <w:tcW w:type="dxa" w:w="1889"/>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Prótesis estomatológica</w:t>
            </w:r>
          </w:p>
        </w:tc>
        <w:tc>
          <w:tcPr>
            <w:tcW w:type="dxa" w:w="560"/>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400,0</w:t>
            </w:r>
          </w:p>
        </w:tc>
        <w:tc>
          <w:tcPr>
            <w:tcW w:type="dxa" w:w="700"/>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28</w:t>
            </w:r>
          </w:p>
        </w:tc>
        <w:tc>
          <w:tcPr>
            <w:tcW w:type="dxa" w:w="653"/>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90,0</w:t>
            </w:r>
          </w:p>
        </w:tc>
        <w:tc>
          <w:tcPr>
            <w:tcW w:type="dxa" w:w="746"/>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2</w:t>
            </w:r>
          </w:p>
        </w:tc>
        <w:tc>
          <w:tcPr>
            <w:tcW w:type="dxa" w:w="280"/>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120,0</w:t>
            </w:r>
          </w:p>
        </w:tc>
        <w:tc>
          <w:tcPr>
            <w:tcW w:type="dxa" w:w="1073"/>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28,0</w:t>
            </w:r>
          </w:p>
        </w:tc>
        <w:tc>
          <w:tcPr>
            <w:tcW w:type="dxa" w:w="793"/>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91,2</w:t>
            </w:r>
          </w:p>
        </w:tc>
        <w:tc>
          <w:tcPr>
            <w:tcW w:type="dxa" w:w="1306"/>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Exportación</w:t>
            </w:r>
          </w:p>
        </w:tc>
        <w:tc>
          <w:tcPr>
            <w:tcW w:type="dxa" w:w="1026"/>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Atendible</w:t>
            </w:r>
          </w:p>
        </w:tc>
      </w:tr>
      <w:tr>
        <w:trPr>
          <w:cantSplit/>
        </w:trPr>
        <w:tc>
          <w:tcPr>
            <w:tcW w:type="dxa" w:w="1889"/>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Ortodoncia</w:t>
            </w:r>
          </w:p>
        </w:tc>
        <w:tc>
          <w:tcPr>
            <w:tcW w:type="dxa" w:w="560"/>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1.200,0</w:t>
            </w:r>
          </w:p>
        </w:tc>
        <w:tc>
          <w:tcPr>
            <w:tcW w:type="dxa" w:w="700"/>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9</w:t>
            </w:r>
          </w:p>
        </w:tc>
        <w:tc>
          <w:tcPr>
            <w:tcW w:type="dxa" w:w="653"/>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90,0</w:t>
            </w:r>
          </w:p>
        </w:tc>
        <w:tc>
          <w:tcPr>
            <w:tcW w:type="dxa" w:w="746"/>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2</w:t>
            </w:r>
          </w:p>
        </w:tc>
        <w:tc>
          <w:tcPr>
            <w:tcW w:type="dxa" w:w="280"/>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300,0</w:t>
            </w:r>
          </w:p>
        </w:tc>
        <w:tc>
          <w:tcPr>
            <w:tcW w:type="dxa" w:w="1073"/>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9,0</w:t>
            </w:r>
          </w:p>
        </w:tc>
        <w:tc>
          <w:tcPr>
            <w:tcW w:type="dxa" w:w="793"/>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608,0</w:t>
            </w:r>
          </w:p>
        </w:tc>
        <w:tc>
          <w:tcPr>
            <w:tcW w:type="dxa" w:w="1306"/>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Venta en plaza</w:t>
            </w:r>
          </w:p>
        </w:tc>
        <w:tc>
          <w:tcPr>
            <w:tcW w:type="dxa" w:w="1026"/>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Atendible</w:t>
            </w:r>
          </w:p>
        </w:tc>
      </w:tr>
      <w:tr>
        <w:trPr>
          <w:cantSplit/>
        </w:trPr>
        <w:tc>
          <w:tcPr>
            <w:tcW w:type="dxa" w:w="1889"/>
            <w:tcBorders>
              <w:bottom w:val="single" w:color="64748B" w:sz="8"/>
            </w:tcBorders>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Imagenología dental</w:t>
            </w:r>
          </w:p>
        </w:tc>
        <w:tc>
          <w:tcPr>
            <w:tcW w:type="dxa" w:w="560"/>
            <w:tcBorders>
              <w:bottom w:val="single" w:color="64748B" w:sz="8"/>
            </w:tcBorders>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45,0</w:t>
            </w:r>
          </w:p>
        </w:tc>
        <w:tc>
          <w:tcPr>
            <w:tcW w:type="dxa" w:w="700"/>
            <w:tcBorders>
              <w:bottom w:val="single" w:color="64748B" w:sz="8"/>
            </w:tcBorders>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130</w:t>
            </w:r>
          </w:p>
        </w:tc>
        <w:tc>
          <w:tcPr>
            <w:tcW w:type="dxa" w:w="653"/>
            <w:tcBorders>
              <w:bottom w:val="single" w:color="64748B" w:sz="8"/>
            </w:tcBorders>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20,0</w:t>
            </w:r>
          </w:p>
        </w:tc>
        <w:tc>
          <w:tcPr>
            <w:tcW w:type="dxa" w:w="746"/>
            <w:tcBorders>
              <w:bottom w:val="single" w:color="64748B" w:sz="8"/>
            </w:tcBorders>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2</w:t>
            </w:r>
          </w:p>
        </w:tc>
        <w:tc>
          <w:tcPr>
            <w:tcW w:type="dxa" w:w="280"/>
            <w:tcBorders>
              <w:bottom w:val="single" w:color="64748B" w:sz="8"/>
            </w:tcBorders>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8,0</w:t>
            </w:r>
          </w:p>
        </w:tc>
        <w:tc>
          <w:tcPr>
            <w:tcW w:type="dxa" w:w="1073"/>
            <w:tcBorders>
              <w:bottom w:val="single" w:color="64748B" w:sz="8"/>
            </w:tcBorders>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130,0</w:t>
            </w:r>
          </w:p>
        </w:tc>
        <w:tc>
          <w:tcPr>
            <w:tcW w:type="dxa" w:w="793"/>
            <w:tcBorders>
              <w:bottom w:val="single" w:color="64748B" w:sz="8"/>
            </w:tcBorders>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777,6</w:t>
            </w:r>
          </w:p>
        </w:tc>
        <w:tc>
          <w:tcPr>
            <w:tcW w:type="dxa" w:w="1306"/>
            <w:tcBorders>
              <w:bottom w:val="single" w:color="64748B" w:sz="8"/>
            </w:tcBorders>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Plataformas (pagos exterior)</w:t>
            </w:r>
          </w:p>
        </w:tc>
        <w:tc>
          <w:tcPr>
            <w:tcW w:type="dxa" w:w="1026"/>
            <w:tcBorders>
              <w:bottom w:val="single" w:color="64748B" w:sz="8"/>
            </w:tcBorders>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Atendible</w:t>
            </w:r>
          </w:p>
        </w:tc>
      </w:tr>
    </w:tbl>
    <w:p>
      <w:pPr>
        <w:pStyle w:val="NotaTabla"/>
        <w:keepNext/>
        <w:keepLines/>
        <w:spacing w:after="80" w:before="200"/>
      </w:pPr>
      <w:r>
        <w:rPr>
          <w:rFonts w:ascii="Calibri" w:cs="Calibri" w:eastAsia="Calibri" w:hAnsi="Calibri"/>
          <w:b/>
          <w:bCs/>
          <w:color w:val="1E3A5F"/>
          <w:sz w:val="18"/>
          <w:szCs w:val="18"/>
        </w:rPr>
        <w:t xml:space="preserve">Tabla 8. Utilización de los recursos operativos por año (reproducible: horas-mes demandadas ÷ horas-mes disponibles)</w:t>
      </w:r>
    </w:p>
    <w:tbl>
      <w:tblPr>
        <w:tblW w:type="dxa" w:w="9026"/>
        <w:tblBorders>
          <w:top w:val="none" w:color="auto" w:sz="0"/>
          <w:left w:val="none" w:color="auto" w:sz="0"/>
          <w:bottom w:val="none" w:color="auto" w:sz="0"/>
          <w:right w:val="none" w:color="auto" w:sz="0"/>
          <w:insideH w:val="none" w:color="auto" w:sz="0"/>
          <w:insideV w:val="none" w:color="auto" w:sz="0"/>
        </w:tblBorders>
      </w:tblPr>
      <w:tblGrid>
        <w:gridCol w:w="4131"/>
        <w:gridCol w:w="612"/>
        <w:gridCol w:w="612"/>
        <w:gridCol w:w="612"/>
        <w:gridCol w:w="612"/>
        <w:gridCol w:w="612"/>
        <w:gridCol w:w="612"/>
        <w:gridCol w:w="612"/>
        <w:gridCol w:w="612"/>
      </w:tblGrid>
      <w:tr>
        <w:trPr>
          <w:cantSplit/>
          <w:tblHeader/>
        </w:trPr>
        <w:tc>
          <w:tcPr>
            <w:tcW w:type="dxa" w:w="4131"/>
            <w:tcBorders>
              <w:top w:val="single" w:color="64748B" w:sz="8"/>
              <w:bottom w:val="single" w:color="94A3B8" w:sz="4"/>
            </w:tcBorders>
            <w:shd w:fill="EEF2F7" w:color="auto" w:val="clear"/>
            <w:tcMar>
              <w:top w:type="dxa" w:w="40"/>
              <w:left w:type="dxa" w:w="80"/>
              <w:bottom w:type="dxa" w:w="40"/>
              <w:right w:type="dxa" w:w="80"/>
            </w:tcMar>
          </w:tcPr>
          <w:p>
            <w:pPr>
              <w:jc w:val="left"/>
            </w:pPr>
            <w:r>
              <w:rPr>
                <w:rFonts w:ascii="Calibri" w:cs="Calibri" w:eastAsia="Calibri" w:hAnsi="Calibri"/>
                <w:b/>
                <w:bCs/>
                <w:color w:val="1E3A5F"/>
                <w:sz w:val="17"/>
                <w:szCs w:val="17"/>
              </w:rPr>
              <w:t xml:space="preserve">Recurso</w:t>
            </w:r>
          </w:p>
        </w:tc>
        <w:tc>
          <w:tcPr>
            <w:tcW w:type="dxa" w:w="612"/>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7"/>
                <w:szCs w:val="17"/>
              </w:rPr>
              <w:t xml:space="preserve">Año 0</w:t>
            </w:r>
          </w:p>
        </w:tc>
        <w:tc>
          <w:tcPr>
            <w:tcW w:type="dxa" w:w="612"/>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7"/>
                <w:szCs w:val="17"/>
              </w:rPr>
              <w:t xml:space="preserve">Año 1</w:t>
            </w:r>
          </w:p>
        </w:tc>
        <w:tc>
          <w:tcPr>
            <w:tcW w:type="dxa" w:w="612"/>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7"/>
                <w:szCs w:val="17"/>
              </w:rPr>
              <w:t xml:space="preserve">Año 2</w:t>
            </w:r>
          </w:p>
        </w:tc>
        <w:tc>
          <w:tcPr>
            <w:tcW w:type="dxa" w:w="612"/>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7"/>
                <w:szCs w:val="17"/>
              </w:rPr>
              <w:t xml:space="preserve">Año 3</w:t>
            </w:r>
          </w:p>
        </w:tc>
        <w:tc>
          <w:tcPr>
            <w:tcW w:type="dxa" w:w="612"/>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7"/>
                <w:szCs w:val="17"/>
              </w:rPr>
              <w:t xml:space="preserve">Año 5</w:t>
            </w:r>
          </w:p>
        </w:tc>
        <w:tc>
          <w:tcPr>
            <w:tcW w:type="dxa" w:w="612"/>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7"/>
                <w:szCs w:val="17"/>
              </w:rPr>
              <w:t xml:space="preserve">Año 7</w:t>
            </w:r>
          </w:p>
        </w:tc>
        <w:tc>
          <w:tcPr>
            <w:tcW w:type="dxa" w:w="612"/>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7"/>
                <w:szCs w:val="17"/>
              </w:rPr>
              <w:t xml:space="preserve">Año 10</w:t>
            </w:r>
          </w:p>
        </w:tc>
        <w:tc>
          <w:tcPr>
            <w:tcW w:type="dxa" w:w="612"/>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7"/>
                <w:szCs w:val="17"/>
              </w:rPr>
              <w:t xml:space="preserve">Máx.</w:t>
            </w:r>
          </w:p>
        </w:tc>
      </w:tr>
      <w:tr>
        <w:trPr>
          <w:cantSplit/>
        </w:trPr>
        <w:tc>
          <w:tcPr>
            <w:tcW w:type="dxa" w:w="4131"/>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Gabinetes de atención (sillones)</w:t>
            </w:r>
          </w:p>
        </w:tc>
        <w:tc>
          <w:tcPr>
            <w:tcW w:type="dxa" w:w="612"/>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0 %</w:t>
            </w:r>
          </w:p>
        </w:tc>
        <w:tc>
          <w:tcPr>
            <w:tcW w:type="dxa" w:w="612"/>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70 %</w:t>
            </w:r>
          </w:p>
        </w:tc>
        <w:tc>
          <w:tcPr>
            <w:tcW w:type="dxa" w:w="612"/>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74 %</w:t>
            </w:r>
          </w:p>
        </w:tc>
        <w:tc>
          <w:tcPr>
            <w:tcW w:type="dxa" w:w="612"/>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77 %</w:t>
            </w:r>
          </w:p>
        </w:tc>
        <w:tc>
          <w:tcPr>
            <w:tcW w:type="dxa" w:w="612"/>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85 %</w:t>
            </w:r>
          </w:p>
        </w:tc>
        <w:tc>
          <w:tcPr>
            <w:tcW w:type="dxa" w:w="612"/>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67 %</w:t>
            </w:r>
          </w:p>
        </w:tc>
        <w:tc>
          <w:tcPr>
            <w:tcW w:type="dxa" w:w="612"/>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78 %</w:t>
            </w:r>
          </w:p>
        </w:tc>
        <w:tc>
          <w:tcPr>
            <w:tcW w:type="dxa" w:w="612"/>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89,6 %</w:t>
            </w:r>
          </w:p>
        </w:tc>
      </w:tr>
      <w:tr>
        <w:trPr>
          <w:cantSplit/>
        </w:trPr>
        <w:tc>
          <w:tcPr>
            <w:tcW w:type="dxa" w:w="4131"/>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Equipos de imagenología dental</w:t>
            </w:r>
          </w:p>
        </w:tc>
        <w:tc>
          <w:tcPr>
            <w:tcW w:type="dxa" w:w="612"/>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0 %</w:t>
            </w:r>
          </w:p>
        </w:tc>
        <w:tc>
          <w:tcPr>
            <w:tcW w:type="dxa" w:w="612"/>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17 %</w:t>
            </w:r>
          </w:p>
        </w:tc>
        <w:tc>
          <w:tcPr>
            <w:tcW w:type="dxa" w:w="612"/>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18 %</w:t>
            </w:r>
          </w:p>
        </w:tc>
        <w:tc>
          <w:tcPr>
            <w:tcW w:type="dxa" w:w="612"/>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18 %</w:t>
            </w:r>
          </w:p>
        </w:tc>
        <w:tc>
          <w:tcPr>
            <w:tcW w:type="dxa" w:w="612"/>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20 %</w:t>
            </w:r>
          </w:p>
        </w:tc>
        <w:tc>
          <w:tcPr>
            <w:tcW w:type="dxa" w:w="612"/>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22 %</w:t>
            </w:r>
          </w:p>
        </w:tc>
        <w:tc>
          <w:tcPr>
            <w:tcW w:type="dxa" w:w="612"/>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26 %</w:t>
            </w:r>
          </w:p>
        </w:tc>
        <w:tc>
          <w:tcPr>
            <w:tcW w:type="dxa" w:w="612"/>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25,9 %</w:t>
            </w:r>
          </w:p>
        </w:tc>
      </w:tr>
      <w:tr>
        <w:trPr>
          <w:cantSplit/>
        </w:trPr>
        <w:tc>
          <w:tcPr>
            <w:tcW w:type="dxa" w:w="4131"/>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Laboratorio de prótesis</w:t>
            </w:r>
          </w:p>
        </w:tc>
        <w:tc>
          <w:tcPr>
            <w:tcW w:type="dxa" w:w="612"/>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0 %</w:t>
            </w:r>
          </w:p>
        </w:tc>
        <w:tc>
          <w:tcPr>
            <w:tcW w:type="dxa" w:w="612"/>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31 %</w:t>
            </w:r>
          </w:p>
        </w:tc>
        <w:tc>
          <w:tcPr>
            <w:tcW w:type="dxa" w:w="612"/>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32 %</w:t>
            </w:r>
          </w:p>
        </w:tc>
        <w:tc>
          <w:tcPr>
            <w:tcW w:type="dxa" w:w="612"/>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34 %</w:t>
            </w:r>
          </w:p>
        </w:tc>
        <w:tc>
          <w:tcPr>
            <w:tcW w:type="dxa" w:w="612"/>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37 %</w:t>
            </w:r>
          </w:p>
        </w:tc>
        <w:tc>
          <w:tcPr>
            <w:tcW w:type="dxa" w:w="612"/>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41 %</w:t>
            </w:r>
          </w:p>
        </w:tc>
        <w:tc>
          <w:tcPr>
            <w:tcW w:type="dxa" w:w="612"/>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48 %</w:t>
            </w:r>
          </w:p>
        </w:tc>
        <w:tc>
          <w:tcPr>
            <w:tcW w:type="dxa" w:w="612"/>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47,6 %</w:t>
            </w:r>
          </w:p>
        </w:tc>
      </w:tr>
      <w:tr>
        <w:trPr>
          <w:cantSplit/>
        </w:trPr>
        <w:tc>
          <w:tcPr>
            <w:tcW w:type="dxa" w:w="4131"/>
            <w:tcBorders>
              <w:bottom w:val="single" w:color="64748B" w:sz="8"/>
            </w:tcBorders>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Profesionales estomatológicos</w:t>
            </w:r>
          </w:p>
        </w:tc>
        <w:tc>
          <w:tcPr>
            <w:tcW w:type="dxa" w:w="612"/>
            <w:tcBorders>
              <w:bottom w:val="single" w:color="64748B" w:sz="8"/>
            </w:tcBorders>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0 %</w:t>
            </w:r>
          </w:p>
        </w:tc>
        <w:tc>
          <w:tcPr>
            <w:tcW w:type="dxa" w:w="612"/>
            <w:tcBorders>
              <w:bottom w:val="single" w:color="64748B" w:sz="8"/>
            </w:tcBorders>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44 %</w:t>
            </w:r>
          </w:p>
        </w:tc>
        <w:tc>
          <w:tcPr>
            <w:tcW w:type="dxa" w:w="612"/>
            <w:tcBorders>
              <w:bottom w:val="single" w:color="64748B" w:sz="8"/>
            </w:tcBorders>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46 %</w:t>
            </w:r>
          </w:p>
        </w:tc>
        <w:tc>
          <w:tcPr>
            <w:tcW w:type="dxa" w:w="612"/>
            <w:tcBorders>
              <w:bottom w:val="single" w:color="64748B" w:sz="8"/>
            </w:tcBorders>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49 %</w:t>
            </w:r>
          </w:p>
        </w:tc>
        <w:tc>
          <w:tcPr>
            <w:tcW w:type="dxa" w:w="612"/>
            <w:tcBorders>
              <w:bottom w:val="single" w:color="64748B" w:sz="8"/>
            </w:tcBorders>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54 %</w:t>
            </w:r>
          </w:p>
        </w:tc>
        <w:tc>
          <w:tcPr>
            <w:tcW w:type="dxa" w:w="612"/>
            <w:tcBorders>
              <w:bottom w:val="single" w:color="64748B" w:sz="8"/>
            </w:tcBorders>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59 %</w:t>
            </w:r>
          </w:p>
        </w:tc>
        <w:tc>
          <w:tcPr>
            <w:tcW w:type="dxa" w:w="612"/>
            <w:tcBorders>
              <w:bottom w:val="single" w:color="64748B" w:sz="8"/>
            </w:tcBorders>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69 %</w:t>
            </w:r>
          </w:p>
        </w:tc>
        <w:tc>
          <w:tcPr>
            <w:tcW w:type="dxa" w:w="612"/>
            <w:tcBorders>
              <w:bottom w:val="single" w:color="64748B" w:sz="8"/>
            </w:tcBorders>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68,6 %</w:t>
            </w:r>
          </w:p>
        </w:tc>
      </w:tr>
    </w:tbl>
    <w:p>
      <w:pPr>
        <w:pStyle w:val="NotaTexto"/>
        <w:spacing w:after="60" w:before="60" w:line="276"/>
        <w:jc w:val="both"/>
      </w:pPr>
      <w:r>
        <w:rPr>
          <w:rFonts w:ascii="Calibri" w:cs="Calibri" w:eastAsia="Calibri" w:hAnsi="Calibri"/>
          <w:color w:val="334155"/>
          <w:sz w:val="16"/>
          <w:szCs w:val="16"/>
        </w:rPr>
        <w:t xml:space="preserve">La utilización máxima agregada no basta: cada valor de la tabla se reproduce como horas-mes demandadas divididas por horas-mes disponibles del recurso en el año (asignación pro-rata entre líneas que comparten el recurso). Véase la figura «Utilización de los recursos operativos por año (horas-mes demandadas ÷ horas-mes disponibles)» para la trayectoria completa por año.</w:t>
      </w:r>
    </w:p>
    <w:p>
      <w:pPr>
        <w:pStyle w:val="NotaTabla"/>
        <w:keepNext/>
        <w:keepLines/>
        <w:spacing w:after="80" w:before="240"/>
      </w:pPr>
      <w:r>
        <w:rPr>
          <w:rFonts w:ascii="Calibri" w:cs="Calibri" w:eastAsia="Calibri" w:hAnsi="Calibri"/>
          <w:b/>
          <w:bCs/>
          <w:color w:val="1E3A5F"/>
          <w:sz w:val="18"/>
          <w:szCs w:val="18"/>
        </w:rPr>
        <w:t xml:space="preserve">Figura 1. Utilización de los recursos operativos por año (horas-mes demandadas ÷ horas-mes disponibles)</w:t>
      </w:r>
    </w:p>
    <w:p>
      <w:pPr>
        <w:keepLines/>
        <w:spacing w:after="80"/>
        <w:jc w:val="center"/>
      </w:pPr>
      <w:r>
        <w:drawing>
          <wp:inline distT="0" distB="0" distL="0" distR="0">
            <wp:extent cx="5524500" cy="2762250"/>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524500" cy="2762250"/>
                    </a:xfrm>
                    <a:prstGeom prst="rect">
                      <a:avLst/>
                    </a:prstGeom>
                  </pic:spPr>
                </pic:pic>
              </a:graphicData>
            </a:graphic>
          </wp:inline>
        </w:drawing>
      </w:r>
    </w:p>
    <w:p>
      <w:pPr>
        <w:spacing w:after="40" w:before="40"/>
      </w:pPr>
      <w:r>
        <w:rPr>
          <w:rFonts w:ascii="Calibri" w:cs="Calibri" w:eastAsia="Calibri" w:hAnsi="Calibri"/>
          <w:color w:val="64748B"/>
          <w:sz w:val="16"/>
          <w:szCs w:val="16"/>
        </w:rPr>
        <w:t xml:space="preserve">—— </w:t>
      </w:r>
      <w:r>
        <w:rPr>
          <w:rFonts w:ascii="Calibri" w:cs="Calibri" w:eastAsia="Calibri" w:hAnsi="Calibri"/>
          <w:color w:val="64748B"/>
          <w:sz w:val="16"/>
          <w:szCs w:val="16"/>
        </w:rPr>
        <w:t xml:space="preserve">Umbral de referencia (90 %)</w:t>
      </w:r>
      <w:r>
        <w:rPr>
          <w:rFonts w:ascii="Calibri" w:cs="Calibri" w:eastAsia="Calibri" w:hAnsi="Calibri"/>
          <w:color w:val="64748B"/>
          <w:sz w:val="14"/>
          <w:szCs w:val="14"/>
        </w:rPr>
        <w:t xml:space="preserve">   ·   </w:t>
      </w:r>
      <w:r>
        <w:rPr>
          <w:rFonts w:ascii="Calibri" w:cs="Calibri" w:eastAsia="Calibri" w:hAnsi="Calibri"/>
          <w:color w:val="0F766E"/>
          <w:sz w:val="16"/>
          <w:szCs w:val="16"/>
        </w:rPr>
        <w:t xml:space="preserve">—— </w:t>
      </w:r>
      <w:r>
        <w:rPr>
          <w:rFonts w:ascii="Calibri" w:cs="Calibri" w:eastAsia="Calibri" w:hAnsi="Calibri"/>
          <w:color w:val="64748B"/>
          <w:sz w:val="16"/>
          <w:szCs w:val="16"/>
        </w:rPr>
        <w:t xml:space="preserve">Gabinetes de atención (sillones)</w:t>
      </w:r>
      <w:r>
        <w:rPr>
          <w:rFonts w:ascii="Calibri" w:cs="Calibri" w:eastAsia="Calibri" w:hAnsi="Calibri"/>
          <w:color w:val="64748B"/>
          <w:sz w:val="14"/>
          <w:szCs w:val="14"/>
        </w:rPr>
        <w:t xml:space="preserve">   ·   </w:t>
      </w:r>
      <w:r>
        <w:rPr>
          <w:rFonts w:ascii="Calibri" w:cs="Calibri" w:eastAsia="Calibri" w:hAnsi="Calibri"/>
          <w:color w:val="7C3AED"/>
          <w:sz w:val="16"/>
          <w:szCs w:val="16"/>
        </w:rPr>
        <w:t xml:space="preserve">—— </w:t>
      </w:r>
      <w:r>
        <w:rPr>
          <w:rFonts w:ascii="Calibri" w:cs="Calibri" w:eastAsia="Calibri" w:hAnsi="Calibri"/>
          <w:color w:val="64748B"/>
          <w:sz w:val="16"/>
          <w:szCs w:val="16"/>
        </w:rPr>
        <w:t xml:space="preserve">Equipos de imagenología dental</w:t>
      </w:r>
      <w:r>
        <w:rPr>
          <w:rFonts w:ascii="Calibri" w:cs="Calibri" w:eastAsia="Calibri" w:hAnsi="Calibri"/>
          <w:color w:val="64748B"/>
          <w:sz w:val="14"/>
          <w:szCs w:val="14"/>
        </w:rPr>
        <w:t xml:space="preserve">   ·   </w:t>
      </w:r>
      <w:r>
        <w:rPr>
          <w:rFonts w:ascii="Calibri" w:cs="Calibri" w:eastAsia="Calibri" w:hAnsi="Calibri"/>
          <w:color w:val="BE185D"/>
          <w:sz w:val="16"/>
          <w:szCs w:val="16"/>
        </w:rPr>
        <w:t xml:space="preserve">—— </w:t>
      </w:r>
      <w:r>
        <w:rPr>
          <w:rFonts w:ascii="Calibri" w:cs="Calibri" w:eastAsia="Calibri" w:hAnsi="Calibri"/>
          <w:color w:val="64748B"/>
          <w:sz w:val="16"/>
          <w:szCs w:val="16"/>
        </w:rPr>
        <w:t xml:space="preserve">Laboratorio de prótesis</w:t>
      </w:r>
      <w:r>
        <w:rPr>
          <w:rFonts w:ascii="Calibri" w:cs="Calibri" w:eastAsia="Calibri" w:hAnsi="Calibri"/>
          <w:color w:val="64748B"/>
          <w:sz w:val="14"/>
          <w:szCs w:val="14"/>
        </w:rPr>
        <w:t xml:space="preserve">   ·   </w:t>
      </w:r>
      <w:r>
        <w:rPr>
          <w:rFonts w:ascii="Calibri" w:cs="Calibri" w:eastAsia="Calibri" w:hAnsi="Calibri"/>
          <w:color w:val="4D7C0F"/>
          <w:sz w:val="16"/>
          <w:szCs w:val="16"/>
        </w:rPr>
        <w:t xml:space="preserve">—— </w:t>
      </w:r>
      <w:r>
        <w:rPr>
          <w:rFonts w:ascii="Calibri" w:cs="Calibri" w:eastAsia="Calibri" w:hAnsi="Calibri"/>
          <w:color w:val="64748B"/>
          <w:sz w:val="16"/>
          <w:szCs w:val="16"/>
        </w:rPr>
        <w:t xml:space="preserve">Profesionales estomatológicos</w:t>
      </w:r>
    </w:p>
    <w:p>
      <w:pPr>
        <w:pStyle w:val="NotaTexto"/>
        <w:spacing w:after="60" w:before="20"/>
      </w:pPr>
      <w:r>
        <w:rPr>
          <w:rFonts w:ascii="Calibri" w:cs="Calibri" w:eastAsia="Calibri" w:hAnsi="Calibri"/>
          <w:color w:val="64748B"/>
          <w:sz w:val="16"/>
          <w:szCs w:val="16"/>
        </w:rPr>
        <w:t xml:space="preserve">Unidades del eje vertical: % de utilización. Eje horizontal: Años de operación (1–10). </w:t>
      </w:r>
      <w:r>
        <w:rPr>
          <w:rFonts w:ascii="Calibri" w:cs="Calibri" w:eastAsia="Calibri" w:hAnsi="Calibri"/>
          <w:i/>
          <w:iCs/>
          <w:color w:val="64748B"/>
          <w:sz w:val="16"/>
          <w:szCs w:val="16"/>
        </w:rPr>
        <w:t xml:space="preserve">Nota. Fuente: modelo de cálculo activo (capacidad del escenario activo, años 1–10). La utilización de cada recurso y año se reproduce como horas-mes demandadas divididas por horas-mes disponibles (tabla de utilización del apartado 4.6); el umbral de referencia es un parámetro de análisis, no un límite técnico.</w:t>
      </w:r>
    </w:p>
    <w:p>
      <w:pPr>
        <w:pStyle w:val="AnalisisPlanex"/>
        <w:pBdr>
          <w:left w:val="single" w:color="B45309" w:sz="18" w:space="4"/>
        </w:pBdr>
        <w:shd w:fill="FFF7E6" w:color="auto" w:val="clear"/>
        <w:spacing w:after="20" w:before="160"/>
      </w:pPr>
      <w:r>
        <w:rPr>
          <w:rFonts w:ascii="Calibri" w:cs="Calibri" w:eastAsia="Calibri" w:hAnsi="Calibri"/>
          <w:b/>
          <w:bCs/>
          <w:color w:val="B45309"/>
          <w:sz w:val="18"/>
          <w:szCs w:val="18"/>
        </w:rPr>
        <w:t xml:space="preserve">Análisis de capacidad y servicios</w:t>
      </w:r>
      <w:r>
        <w:rPr>
          <w:rFonts w:ascii="Calibri" w:cs="Calibri" w:eastAsia="Calibri" w:hAnsi="Calibri"/>
          <w:color w:val="8C6428"/>
          <w:sz w:val="14"/>
          <w:szCs w:val="14"/>
        </w:rPr>
        <w:t xml:space="preserve">  ·  ANÁLISIS GENERADO POR EL MODELO</w:t>
      </w:r>
    </w:p>
    <w:p>
      <w:pPr>
        <w:pStyle w:val="AnalisisCuerpo"/>
        <w:pBdr>
          <w:left w:val="single" w:color="B45309" w:sz="18" w:space="4"/>
          <w:bottom w:val="single" w:color="FFF7E6" w:sz="2" w:space="1"/>
        </w:pBdr>
        <w:shd w:fill="FFF7E6" w:color="auto" w:val="clear"/>
        <w:spacing w:after="160" w:before="0"/>
        <w:jc w:val="both"/>
      </w:pPr>
      <w:r>
        <w:rPr>
          <w:rFonts w:ascii="Calibri" w:cs="Calibri" w:eastAsia="Calibri" w:hAnsi="Calibri"/>
          <w:color w:val="334155"/>
          <w:sz w:val="18"/>
          <w:szCs w:val="18"/>
        </w:rPr>
        <w:t xml:space="preserve">En el año 1 los ingresos por servicios ascienden a 967,8 miles de USD. Las tres líneas principales («Restauraciones (obturaciones)» con 16,4 %, «Prótesis estomatológica» con 13,9 %, «Ortodoncia» con 13,4 %) concentran 43,6 % del ingreso, encabezadas por «Restauraciones (obturaciones)» con 158,4 miles de USD. El margen de contribución del año 1 es 713,0 miles de USD (73,7 % de los ingresos). La línea que más margen aporta es «Restauraciones (obturaciones)» (110,9 miles de USD) y la que menos, «Odontología preventiva (profilaxis y sellado)» (48,0). Escenario activo: B (ampliación de capacidad). Las ampliaciones programadas en la tabla de recursos generan CAPEX en sus años de ejecución y amplían la capacidad disponible; el total de CAPEX de ampliaciones del horizonte es 150,0 miles de USD. Con la capacidad del escenario activo, toda la demanda prevista de todas las líneas puede atenderse dentro del horizonte: no hay ventas limitadas por capacidad. Ningún recurso supera el umbral de utilización de referencia (90,0 %); el más cargado es «Gabinetes de atención (sillones)» con 89,6 % en el año 6.</w:t>
      </w:r>
    </w:p>
    <w:p>
      <w:pPr>
        <w:pStyle w:val="NotaTabla"/>
        <w:keepNext/>
        <w:keepLines/>
        <w:spacing w:after="80" w:before="200"/>
      </w:pPr>
      <w:r>
        <w:rPr>
          <w:rFonts w:ascii="Calibri" w:cs="Calibri" w:eastAsia="Calibri" w:hAnsi="Calibri"/>
          <w:b/>
          <w:bCs/>
          <w:color w:val="1E3A5F"/>
          <w:sz w:val="18"/>
          <w:szCs w:val="18"/>
        </w:rPr>
        <w:t xml:space="preserve">Tabla 9. Estimación de consumos y residuos</w:t>
      </w:r>
    </w:p>
    <w:tbl>
      <w:tblPr>
        <w:tblW w:type="dxa" w:w="9026"/>
        <w:tblBorders>
          <w:top w:val="none" w:color="auto" w:sz="0"/>
          <w:left w:val="none" w:color="auto" w:sz="0"/>
          <w:bottom w:val="none" w:color="auto" w:sz="0"/>
          <w:right w:val="none" w:color="auto" w:sz="0"/>
          <w:insideH w:val="none" w:color="auto" w:sz="0"/>
          <w:insideV w:val="none" w:color="auto" w:sz="0"/>
        </w:tblBorders>
      </w:tblPr>
      <w:tblGrid>
        <w:gridCol w:w="4485"/>
        <w:gridCol w:w="775"/>
        <w:gridCol w:w="886"/>
        <w:gridCol w:w="997"/>
        <w:gridCol w:w="1883"/>
      </w:tblGrid>
      <w:tr>
        <w:trPr>
          <w:cantSplit/>
          <w:tblHeader/>
        </w:trPr>
        <w:tc>
          <w:tcPr>
            <w:tcW w:type="dxa" w:w="4485"/>
            <w:tcBorders>
              <w:top w:val="single" w:color="64748B" w:sz="8"/>
              <w:bottom w:val="single" w:color="94A3B8" w:sz="4"/>
            </w:tcBorders>
            <w:shd w:fill="EEF2F7" w:color="auto" w:val="clear"/>
            <w:tcMar>
              <w:top w:type="dxa" w:w="40"/>
              <w:left w:type="dxa" w:w="80"/>
              <w:bottom w:type="dxa" w:w="40"/>
              <w:right w:type="dxa" w:w="80"/>
            </w:tcMar>
          </w:tcPr>
          <w:p>
            <w:pPr>
              <w:jc w:val="left"/>
            </w:pPr>
            <w:r>
              <w:rPr>
                <w:rFonts w:ascii="Calibri" w:cs="Calibri" w:eastAsia="Calibri" w:hAnsi="Calibri"/>
                <w:b/>
                <w:bCs/>
                <w:color w:val="1E3A5F"/>
                <w:sz w:val="17"/>
                <w:szCs w:val="17"/>
              </w:rPr>
              <w:t xml:space="preserve">Concepto</w:t>
            </w:r>
          </w:p>
        </w:tc>
        <w:tc>
          <w:tcPr>
            <w:tcW w:type="dxa" w:w="775"/>
            <w:tcBorders>
              <w:top w:val="single" w:color="64748B" w:sz="8"/>
              <w:bottom w:val="single" w:color="94A3B8" w:sz="4"/>
            </w:tcBorders>
            <w:shd w:fill="EEF2F7" w:color="auto" w:val="clear"/>
            <w:tcMar>
              <w:top w:type="dxa" w:w="40"/>
              <w:left w:type="dxa" w:w="80"/>
              <w:bottom w:type="dxa" w:w="40"/>
              <w:right w:type="dxa" w:w="80"/>
            </w:tcMar>
          </w:tcPr>
          <w:p>
            <w:pPr>
              <w:jc w:val="left"/>
            </w:pPr>
            <w:r>
              <w:rPr>
                <w:rFonts w:ascii="Calibri" w:cs="Calibri" w:eastAsia="Calibri" w:hAnsi="Calibri"/>
                <w:b/>
                <w:bCs/>
                <w:color w:val="1E3A5F"/>
                <w:sz w:val="17"/>
                <w:szCs w:val="17"/>
              </w:rPr>
              <w:t xml:space="preserve">Unidad</w:t>
            </w:r>
          </w:p>
        </w:tc>
        <w:tc>
          <w:tcPr>
            <w:tcW w:type="dxa" w:w="886"/>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7"/>
                <w:szCs w:val="17"/>
              </w:rPr>
              <w:t xml:space="preserve">Cantidad</w:t>
            </w:r>
          </w:p>
        </w:tc>
        <w:tc>
          <w:tcPr>
            <w:tcW w:type="dxa" w:w="997"/>
            <w:tcBorders>
              <w:top w:val="single" w:color="64748B" w:sz="8"/>
              <w:bottom w:val="single" w:color="94A3B8" w:sz="4"/>
            </w:tcBorders>
            <w:shd w:fill="EEF2F7" w:color="auto" w:val="clear"/>
            <w:tcMar>
              <w:top w:type="dxa" w:w="40"/>
              <w:left w:type="dxa" w:w="80"/>
              <w:bottom w:type="dxa" w:w="40"/>
              <w:right w:type="dxa" w:w="80"/>
            </w:tcMar>
          </w:tcPr>
          <w:p>
            <w:pPr>
              <w:jc w:val="left"/>
            </w:pPr>
            <w:r>
              <w:rPr>
                <w:rFonts w:ascii="Calibri" w:cs="Calibri" w:eastAsia="Calibri" w:hAnsi="Calibri"/>
                <w:b/>
                <w:bCs/>
                <w:color w:val="1E3A5F"/>
                <w:sz w:val="17"/>
                <w:szCs w:val="17"/>
              </w:rPr>
              <w:t xml:space="preserve">Período</w:t>
            </w:r>
          </w:p>
        </w:tc>
        <w:tc>
          <w:tcPr>
            <w:tcW w:type="dxa" w:w="1883"/>
            <w:tcBorders>
              <w:top w:val="single" w:color="64748B" w:sz="8"/>
              <w:bottom w:val="single" w:color="94A3B8" w:sz="4"/>
            </w:tcBorders>
            <w:shd w:fill="EEF2F7" w:color="auto" w:val="clear"/>
            <w:tcMar>
              <w:top w:type="dxa" w:w="40"/>
              <w:left w:type="dxa" w:w="80"/>
              <w:bottom w:type="dxa" w:w="40"/>
              <w:right w:type="dxa" w:w="80"/>
            </w:tcMar>
          </w:tcPr>
          <w:p>
            <w:pPr>
              <w:jc w:val="left"/>
            </w:pPr>
            <w:r>
              <w:rPr>
                <w:rFonts w:ascii="Calibri" w:cs="Calibri" w:eastAsia="Calibri" w:hAnsi="Calibri"/>
                <w:b/>
                <w:bCs/>
                <w:color w:val="1E3A5F"/>
                <w:sz w:val="17"/>
                <w:szCs w:val="17"/>
              </w:rPr>
              <w:t xml:space="preserve">Observación</w:t>
            </w:r>
          </w:p>
        </w:tc>
      </w:tr>
      <w:tr>
        <w:trPr>
          <w:cantSplit/>
        </w:trPr>
        <w:tc>
          <w:tcPr>
            <w:tcW w:type="dxa" w:w="4485"/>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Agua potable</w:t>
            </w:r>
          </w:p>
        </w:tc>
        <w:tc>
          <w:tcPr>
            <w:tcW w:type="dxa" w:w="775"/>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m³/día</w:t>
            </w:r>
          </w:p>
        </w:tc>
        <w:tc>
          <w:tcPr>
            <w:tcW w:type="dxa" w:w="886"/>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8</w:t>
            </w:r>
          </w:p>
        </w:tc>
        <w:tc>
          <w:tcPr>
            <w:tcW w:type="dxa" w:w="997"/>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Operación</w:t>
            </w:r>
          </w:p>
        </w:tc>
        <w:tc>
          <w:tcPr>
            <w:tcW w:type="dxa" w:w="188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Supuesto ficticio</w:t>
            </w:r>
          </w:p>
        </w:tc>
      </w:tr>
      <w:tr>
        <w:trPr>
          <w:cantSplit/>
        </w:trPr>
        <w:tc>
          <w:tcPr>
            <w:tcW w:type="dxa" w:w="4485"/>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Electricidad</w:t>
            </w:r>
          </w:p>
        </w:tc>
        <w:tc>
          <w:tcPr>
            <w:tcW w:type="dxa" w:w="775"/>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kWh/día</w:t>
            </w:r>
          </w:p>
        </w:tc>
        <w:tc>
          <w:tcPr>
            <w:tcW w:type="dxa" w:w="886"/>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320</w:t>
            </w:r>
          </w:p>
        </w:tc>
        <w:tc>
          <w:tcPr>
            <w:tcW w:type="dxa" w:w="997"/>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Operación</w:t>
            </w:r>
          </w:p>
        </w:tc>
        <w:tc>
          <w:tcPr>
            <w:tcW w:type="dxa" w:w="188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Supuesto ficticio</w:t>
            </w:r>
          </w:p>
        </w:tc>
      </w:tr>
      <w:tr>
        <w:trPr>
          <w:cantSplit/>
        </w:trPr>
        <w:tc>
          <w:tcPr>
            <w:tcW w:type="dxa" w:w="4485"/>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Portador energético (respaldo)</w:t>
            </w:r>
          </w:p>
        </w:tc>
        <w:tc>
          <w:tcPr>
            <w:tcW w:type="dxa" w:w="775"/>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L/mes</w:t>
            </w:r>
          </w:p>
        </w:tc>
        <w:tc>
          <w:tcPr>
            <w:tcW w:type="dxa" w:w="886"/>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120</w:t>
            </w:r>
          </w:p>
        </w:tc>
        <w:tc>
          <w:tcPr>
            <w:tcW w:type="dxa" w:w="997"/>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Operación</w:t>
            </w:r>
          </w:p>
        </w:tc>
        <w:tc>
          <w:tcPr>
            <w:tcW w:type="dxa" w:w="188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Supuesto ficticio</w:t>
            </w:r>
          </w:p>
        </w:tc>
      </w:tr>
      <w:tr>
        <w:trPr>
          <w:cantSplit/>
        </w:trPr>
        <w:tc>
          <w:tcPr>
            <w:tcW w:type="dxa" w:w="4485"/>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Residuos sólidos asimilables</w:t>
            </w:r>
          </w:p>
        </w:tc>
        <w:tc>
          <w:tcPr>
            <w:tcW w:type="dxa" w:w="775"/>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kg/día</w:t>
            </w:r>
          </w:p>
        </w:tc>
        <w:tc>
          <w:tcPr>
            <w:tcW w:type="dxa" w:w="886"/>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45</w:t>
            </w:r>
          </w:p>
        </w:tc>
        <w:tc>
          <w:tcPr>
            <w:tcW w:type="dxa" w:w="997"/>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Operación</w:t>
            </w:r>
          </w:p>
        </w:tc>
        <w:tc>
          <w:tcPr>
            <w:tcW w:type="dxa" w:w="188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Supuesto ficticio</w:t>
            </w:r>
          </w:p>
        </w:tc>
      </w:tr>
      <w:tr>
        <w:trPr>
          <w:cantSplit/>
        </w:trPr>
        <w:tc>
          <w:tcPr>
            <w:tcW w:type="dxa" w:w="4485"/>
            <w:tcBorders>
              <w:bottom w:val="single" w:color="64748B" w:sz="8"/>
            </w:tcBorders>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Residuos biomédicos (DYMED)</w:t>
            </w:r>
          </w:p>
        </w:tc>
        <w:tc>
          <w:tcPr>
            <w:tcW w:type="dxa" w:w="775"/>
            <w:tcBorders>
              <w:bottom w:val="single" w:color="64748B" w:sz="8"/>
            </w:tcBorders>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kg/mes</w:t>
            </w:r>
          </w:p>
        </w:tc>
        <w:tc>
          <w:tcPr>
            <w:tcW w:type="dxa" w:w="886"/>
            <w:tcBorders>
              <w:bottom w:val="single" w:color="64748B" w:sz="8"/>
            </w:tcBorders>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60</w:t>
            </w:r>
          </w:p>
        </w:tc>
        <w:tc>
          <w:tcPr>
            <w:tcW w:type="dxa" w:w="997"/>
            <w:tcBorders>
              <w:bottom w:val="single" w:color="64748B" w:sz="8"/>
            </w:tcBorders>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Operación</w:t>
            </w:r>
          </w:p>
        </w:tc>
        <w:tc>
          <w:tcPr>
            <w:tcW w:type="dxa" w:w="1883"/>
            <w:tcBorders>
              <w:bottom w:val="single" w:color="64748B" w:sz="8"/>
            </w:tcBorders>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Supuesto ficticio</w:t>
            </w:r>
          </w:p>
        </w:tc>
      </w:tr>
    </w:tbl>
    <w:p>
      <w:pPr>
        <w:pStyle w:val="Heading1"/>
        <w:pageBreakBefore/>
      </w:pPr>
      <w:bookmarkStart w:name="_Toc20" w:id="20"/>
      <w:r>
        <w:rPr>
          <w:rFonts w:ascii="Calibri" w:cs="Calibri" w:eastAsia="Calibri" w:hAnsi="Calibri"/>
          <w:b/>
          <w:bCs/>
          <w:color w:val="1E3A5F"/>
          <w:sz w:val="30"/>
          <w:szCs w:val="30"/>
        </w:rPr>
        <w:t xml:space="preserve">4.7  Análisis financiero</w:t>
      </w:r>
      <w:bookmarkEnd w:id="20"/>
    </w:p>
    <w:p>
      <w:pPr>
        <w:pStyle w:val="NotaTabla"/>
        <w:keepNext/>
        <w:keepLines/>
        <w:spacing w:after="80" w:before="200"/>
      </w:pPr>
      <w:r>
        <w:rPr>
          <w:rFonts w:ascii="Calibri" w:cs="Calibri" w:eastAsia="Calibri" w:hAnsi="Calibri"/>
          <w:b/>
          <w:bCs/>
          <w:color w:val="1E3A5F"/>
          <w:sz w:val="18"/>
          <w:szCs w:val="18"/>
        </w:rPr>
        <w:t xml:space="preserve">Tabla 10. Costo total de la inversión inicial (partidas con su moneda de origen y su equivalente en miles de USD)</w:t>
      </w:r>
    </w:p>
    <w:tbl>
      <w:tblPr>
        <w:tblW w:type="dxa" w:w="9026"/>
        <w:tblBorders>
          <w:top w:val="none" w:color="auto" w:sz="0"/>
          <w:left w:val="none" w:color="auto" w:sz="0"/>
          <w:bottom w:val="none" w:color="auto" w:sz="0"/>
          <w:right w:val="none" w:color="auto" w:sz="0"/>
          <w:insideH w:val="none" w:color="auto" w:sz="0"/>
          <w:insideV w:val="none" w:color="auto" w:sz="0"/>
        </w:tblBorders>
      </w:tblPr>
      <w:tblGrid>
        <w:gridCol w:w="5260"/>
        <w:gridCol w:w="1818"/>
        <w:gridCol w:w="1948"/>
      </w:tblGrid>
      <w:tr>
        <w:trPr>
          <w:cantSplit/>
          <w:tblHeader/>
        </w:trPr>
        <w:tc>
          <w:tcPr>
            <w:tcW w:type="dxa" w:w="5260"/>
            <w:tcBorders>
              <w:top w:val="single" w:color="64748B" w:sz="8"/>
              <w:bottom w:val="single" w:color="94A3B8" w:sz="4"/>
            </w:tcBorders>
            <w:shd w:fill="EEF2F7" w:color="auto" w:val="clear"/>
            <w:tcMar>
              <w:top w:type="dxa" w:w="40"/>
              <w:left w:type="dxa" w:w="80"/>
              <w:bottom w:type="dxa" w:w="40"/>
              <w:right w:type="dxa" w:w="80"/>
            </w:tcMar>
          </w:tcPr>
          <w:p>
            <w:pPr>
              <w:jc w:val="left"/>
            </w:pPr>
            <w:r>
              <w:rPr>
                <w:rFonts w:ascii="Calibri" w:cs="Calibri" w:eastAsia="Calibri" w:hAnsi="Calibri"/>
                <w:b/>
                <w:bCs/>
                <w:color w:val="1E3A5F"/>
                <w:sz w:val="17"/>
                <w:szCs w:val="17"/>
              </w:rPr>
              <w:t xml:space="preserve">Componente</w:t>
            </w:r>
          </w:p>
        </w:tc>
        <w:tc>
          <w:tcPr>
            <w:tcW w:type="dxa" w:w="1818"/>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7"/>
                <w:szCs w:val="17"/>
              </w:rPr>
              <w:t xml:space="preserve">Monto original</w:t>
            </w:r>
          </w:p>
        </w:tc>
        <w:tc>
          <w:tcPr>
            <w:tcW w:type="dxa" w:w="1948"/>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7"/>
                <w:szCs w:val="17"/>
              </w:rPr>
              <w:t xml:space="preserve">En miles de USD</w:t>
            </w:r>
          </w:p>
        </w:tc>
      </w:tr>
      <w:tr>
        <w:trPr>
          <w:cantSplit/>
        </w:trPr>
        <w:tc>
          <w:tcPr>
            <w:tcW w:type="dxa" w:w="5260"/>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Gastos previos (facturados en USD)</w:t>
            </w:r>
          </w:p>
        </w:tc>
        <w:tc>
          <w:tcPr>
            <w:tcW w:type="dxa" w:w="1818"/>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45,0 kUSD</w:t>
            </w:r>
          </w:p>
        </w:tc>
        <w:tc>
          <w:tcPr>
            <w:tcW w:type="dxa" w:w="1948"/>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45,0</w:t>
            </w:r>
          </w:p>
        </w:tc>
      </w:tr>
      <w:tr>
        <w:trPr>
          <w:cantSplit/>
        </w:trPr>
        <w:tc>
          <w:tcPr>
            <w:tcW w:type="dxa" w:w="5260"/>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Inversión fija facturada en USD (no es el equivalente en CUP: ver monto original)</w:t>
            </w:r>
          </w:p>
        </w:tc>
        <w:tc>
          <w:tcPr>
            <w:tcW w:type="dxa" w:w="1818"/>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1.200,0 kUSD</w:t>
            </w:r>
          </w:p>
        </w:tc>
        <w:tc>
          <w:tcPr>
            <w:tcW w:type="dxa" w:w="1948"/>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1.200,0</w:t>
            </w:r>
          </w:p>
        </w:tc>
      </w:tr>
      <w:tr>
        <w:trPr>
          <w:cantSplit/>
        </w:trPr>
        <w:tc>
          <w:tcPr>
            <w:tcW w:type="dxa" w:w="5260"/>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Inversión fija facturada en CUP (convertida con el tipo de cambio parametrizado)</w:t>
            </w:r>
          </w:p>
        </w:tc>
        <w:tc>
          <w:tcPr>
            <w:tcW w:type="dxa" w:w="1818"/>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0,0 kCUP</w:t>
            </w:r>
          </w:p>
        </w:tc>
        <w:tc>
          <w:tcPr>
            <w:tcW w:type="dxa" w:w="1948"/>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0,0</w:t>
            </w:r>
          </w:p>
        </w:tc>
      </w:tr>
      <w:tr>
        <w:trPr>
          <w:cantSplit/>
        </w:trPr>
        <w:tc>
          <w:tcPr>
            <w:tcW w:type="dxa" w:w="5260"/>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Capital de trabajo (kUSD)</w:t>
            </w:r>
          </w:p>
        </w:tc>
        <w:tc>
          <w:tcPr>
            <w:tcW w:type="dxa" w:w="1818"/>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235,0 kUSD</w:t>
            </w:r>
          </w:p>
        </w:tc>
        <w:tc>
          <w:tcPr>
            <w:tcW w:type="dxa" w:w="1948"/>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235,0</w:t>
            </w:r>
          </w:p>
        </w:tc>
      </w:tr>
      <w:tr>
        <w:trPr>
          <w:cantSplit/>
        </w:trPr>
        <w:tc>
          <w:tcPr>
            <w:tcW w:type="dxa" w:w="5260"/>
            <w:tcBorders>
              <w:top w:val="single" w:color="94A3B8" w:sz="4"/>
              <w:bottom w:val="single" w:color="64748B" w:sz="8"/>
            </w:tcBorders>
            <w:tcMar>
              <w:top w:type="dxa" w:w="40"/>
              <w:left w:type="dxa" w:w="80"/>
              <w:bottom w:type="dxa" w:w="40"/>
              <w:right w:type="dxa" w:w="80"/>
            </w:tcMar>
          </w:tcPr>
          <w:p>
            <w:pPr>
              <w:jc w:val="left"/>
            </w:pPr>
            <w:r>
              <w:rPr>
                <w:rFonts w:ascii="Calibri" w:cs="Calibri" w:eastAsia="Calibri" w:hAnsi="Calibri"/>
                <w:b/>
                <w:bCs/>
                <w:color w:val="334155"/>
                <w:sz w:val="17"/>
                <w:szCs w:val="17"/>
              </w:rPr>
              <w:t xml:space="preserve">INVERSIÓN TOTAL</w:t>
            </w:r>
          </w:p>
        </w:tc>
        <w:tc>
          <w:tcPr>
            <w:tcW w:type="dxa" w:w="1818"/>
            <w:tcBorders>
              <w:top w:val="single" w:color="94A3B8" w:sz="4"/>
              <w:bottom w:val="single" w:color="64748B" w:sz="8"/>
            </w:tcBorders>
            <w:tcMar>
              <w:top w:type="dxa" w:w="40"/>
              <w:left w:type="dxa" w:w="80"/>
              <w:bottom w:type="dxa" w:w="40"/>
              <w:right w:type="dxa" w:w="80"/>
            </w:tcMar>
          </w:tcPr>
          <w:p>
            <w:pPr>
              <w:jc w:val="right"/>
            </w:pPr>
            <w:r>
              <w:rPr>
                <w:rFonts w:ascii="Calibri" w:cs="Calibri" w:eastAsia="Calibri" w:hAnsi="Calibri"/>
                <w:b/>
                <w:bCs/>
                <w:color w:val="334155"/>
                <w:sz w:val="17"/>
                <w:szCs w:val="17"/>
              </w:rPr>
              <w:t xml:space="preserve">1.480,0 kUSD</w:t>
            </w:r>
          </w:p>
        </w:tc>
        <w:tc>
          <w:tcPr>
            <w:tcW w:type="dxa" w:w="1948"/>
            <w:tcBorders>
              <w:top w:val="single" w:color="94A3B8" w:sz="4"/>
              <w:bottom w:val="single" w:color="64748B" w:sz="8"/>
            </w:tcBorders>
            <w:tcMar>
              <w:top w:type="dxa" w:w="40"/>
              <w:left w:type="dxa" w:w="80"/>
              <w:bottom w:type="dxa" w:w="40"/>
              <w:right w:type="dxa" w:w="80"/>
            </w:tcMar>
          </w:tcPr>
          <w:p>
            <w:pPr>
              <w:jc w:val="right"/>
            </w:pPr>
            <w:r>
              <w:rPr>
                <w:rFonts w:ascii="Calibri" w:cs="Calibri" w:eastAsia="Calibri" w:hAnsi="Calibri"/>
                <w:b/>
                <w:bCs/>
                <w:color w:val="334155"/>
                <w:sz w:val="17"/>
                <w:szCs w:val="17"/>
              </w:rPr>
              <w:t xml:space="preserve">1.480,0</w:t>
            </w:r>
          </w:p>
        </w:tc>
      </w:tr>
    </w:tbl>
    <w:p>
      <w:pPr>
        <w:pStyle w:val="NotaTexto"/>
        <w:spacing w:after="160" w:before="40"/>
      </w:pPr>
      <w:r>
        <w:rPr>
          <w:rFonts w:ascii="Calibri" w:cs="Calibri" w:eastAsia="Calibri" w:hAnsi="Calibri"/>
          <w:i/>
          <w:iCs/>
          <w:color w:val="64748B"/>
          <w:sz w:val="15"/>
          <w:szCs w:val="15"/>
        </w:rPr>
        <w:t xml:space="preserve">Nota. «Monto original»: moneda en que se factura cada partida; la columna equivalente convierte con el tipo de cambio parametrizado. No se suman monedas distintas sin convertir.</w:t>
      </w:r>
    </w:p>
    <w:p>
      <w:pPr>
        <w:pStyle w:val="NotaTexto"/>
        <w:spacing w:after="60" w:before="60" w:line="276"/>
        <w:jc w:val="both"/>
      </w:pPr>
      <w:r>
        <w:rPr>
          <w:rFonts w:ascii="Calibri" w:cs="Calibri" w:eastAsia="Calibri" w:hAnsi="Calibri"/>
          <w:color w:val="334155"/>
          <w:sz w:val="16"/>
          <w:szCs w:val="16"/>
        </w:rPr>
        <w:t xml:space="preserve">La columna «Monto original» muestra las partidas en la moneda en que se facturan (kUSD o kCUP); la columna «En miles de USD» es el EQUIVALENTE convertido con el tipo de cambio parametrizado (743,0 CUP/USD, fuente y fecha en la nota de conversión). Nunca se presentan como USD los importes convertidos.</w:t>
      </w:r>
    </w:p>
    <w:p>
      <w:pPr>
        <w:pStyle w:val="NotaTabla"/>
        <w:keepNext/>
        <w:keepLines/>
        <w:spacing w:after="80" w:before="200"/>
      </w:pPr>
      <w:r>
        <w:rPr>
          <w:rFonts w:ascii="Calibri" w:cs="Calibri" w:eastAsia="Calibri" w:hAnsi="Calibri"/>
          <w:b/>
          <w:bCs/>
          <w:color w:val="1E3A5F"/>
          <w:sz w:val="18"/>
          <w:szCs w:val="18"/>
        </w:rPr>
        <w:t xml:space="preserve">Tabla 11. Fuentes de financiamiento (miles de USD)</w:t>
      </w:r>
    </w:p>
    <w:tbl>
      <w:tblPr>
        <w:tblW w:type="dxa" w:w="9026"/>
        <w:tblBorders>
          <w:top w:val="none" w:color="auto" w:sz="0"/>
          <w:left w:val="none" w:color="auto" w:sz="0"/>
          <w:bottom w:val="none" w:color="auto" w:sz="0"/>
          <w:right w:val="none" w:color="auto" w:sz="0"/>
          <w:insideH w:val="none" w:color="auto" w:sz="0"/>
          <w:insideV w:val="none" w:color="auto" w:sz="0"/>
        </w:tblBorders>
      </w:tblPr>
      <w:tblGrid>
        <w:gridCol w:w="7318"/>
        <w:gridCol w:w="1708"/>
      </w:tblGrid>
      <w:tr>
        <w:trPr>
          <w:cantSplit/>
          <w:tblHeader/>
        </w:trPr>
        <w:tc>
          <w:tcPr>
            <w:tcW w:type="dxa" w:w="7318"/>
            <w:tcBorders>
              <w:top w:val="single" w:color="64748B" w:sz="8"/>
              <w:bottom w:val="single" w:color="94A3B8" w:sz="4"/>
            </w:tcBorders>
            <w:shd w:fill="EEF2F7" w:color="auto" w:val="clear"/>
            <w:tcMar>
              <w:top w:type="dxa" w:w="40"/>
              <w:left w:type="dxa" w:w="80"/>
              <w:bottom w:type="dxa" w:w="40"/>
              <w:right w:type="dxa" w:w="80"/>
            </w:tcMar>
          </w:tcPr>
          <w:p>
            <w:pPr>
              <w:jc w:val="left"/>
            </w:pPr>
            <w:r>
              <w:rPr>
                <w:rFonts w:ascii="Calibri" w:cs="Calibri" w:eastAsia="Calibri" w:hAnsi="Calibri"/>
                <w:b/>
                <w:bCs/>
                <w:color w:val="1E3A5F"/>
                <w:sz w:val="17"/>
                <w:szCs w:val="17"/>
              </w:rPr>
              <w:t xml:space="preserve">Fuente</w:t>
            </w:r>
          </w:p>
        </w:tc>
        <w:tc>
          <w:tcPr>
            <w:tcW w:type="dxa" w:w="1708"/>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7"/>
                <w:szCs w:val="17"/>
              </w:rPr>
              <w:t xml:space="preserve">Monto</w:t>
            </w:r>
          </w:p>
        </w:tc>
      </w:tr>
      <w:tr>
        <w:trPr>
          <w:cantSplit/>
        </w:trPr>
        <w:tc>
          <w:tcPr>
            <w:tcW w:type="dxa" w:w="7318"/>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Aportaciones de los socios</w:t>
            </w:r>
          </w:p>
        </w:tc>
        <w:tc>
          <w:tcPr>
            <w:tcW w:type="dxa" w:w="1708"/>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1.180,0</w:t>
            </w:r>
          </w:p>
        </w:tc>
      </w:tr>
      <w:tr>
        <w:trPr>
          <w:cantSplit/>
        </w:trPr>
        <w:tc>
          <w:tcPr>
            <w:tcW w:type="dxa" w:w="7318"/>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Otras fuentes disponibles</w:t>
            </w:r>
          </w:p>
        </w:tc>
        <w:tc>
          <w:tcPr>
            <w:tcW w:type="dxa" w:w="1708"/>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0,0</w:t>
            </w:r>
          </w:p>
        </w:tc>
      </w:tr>
      <w:tr>
        <w:trPr>
          <w:cantSplit/>
        </w:trPr>
        <w:tc>
          <w:tcPr>
            <w:tcW w:type="dxa" w:w="7318"/>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Crédito externo</w:t>
            </w:r>
          </w:p>
        </w:tc>
        <w:tc>
          <w:tcPr>
            <w:tcW w:type="dxa" w:w="1708"/>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300,0</w:t>
            </w:r>
          </w:p>
        </w:tc>
      </w:tr>
      <w:tr>
        <w:trPr>
          <w:cantSplit/>
        </w:trPr>
        <w:tc>
          <w:tcPr>
            <w:tcW w:type="dxa" w:w="7318"/>
            <w:tcBorders>
              <w:top w:val="single" w:color="94A3B8" w:sz="4"/>
            </w:tcBorders>
            <w:tcMar>
              <w:top w:type="dxa" w:w="40"/>
              <w:left w:type="dxa" w:w="80"/>
              <w:bottom w:type="dxa" w:w="40"/>
              <w:right w:type="dxa" w:w="80"/>
            </w:tcMar>
          </w:tcPr>
          <w:p>
            <w:pPr>
              <w:jc w:val="left"/>
            </w:pPr>
            <w:r>
              <w:rPr>
                <w:rFonts w:ascii="Calibri" w:cs="Calibri" w:eastAsia="Calibri" w:hAnsi="Calibri"/>
                <w:b/>
                <w:bCs/>
                <w:color w:val="334155"/>
                <w:sz w:val="17"/>
                <w:szCs w:val="17"/>
              </w:rPr>
              <w:t xml:space="preserve">Financiación disponible</w:t>
            </w:r>
          </w:p>
        </w:tc>
        <w:tc>
          <w:tcPr>
            <w:tcW w:type="dxa" w:w="1708"/>
            <w:tcBorders>
              <w:top w:val="single" w:color="94A3B8" w:sz="4"/>
            </w:tcBorders>
            <w:tcMar>
              <w:top w:type="dxa" w:w="40"/>
              <w:left w:type="dxa" w:w="80"/>
              <w:bottom w:type="dxa" w:w="40"/>
              <w:right w:type="dxa" w:w="80"/>
            </w:tcMar>
          </w:tcPr>
          <w:p>
            <w:pPr>
              <w:jc w:val="right"/>
            </w:pPr>
            <w:r>
              <w:rPr>
                <w:rFonts w:ascii="Calibri" w:cs="Calibri" w:eastAsia="Calibri" w:hAnsi="Calibri"/>
                <w:b/>
                <w:bCs/>
                <w:color w:val="334155"/>
                <w:sz w:val="17"/>
                <w:szCs w:val="17"/>
              </w:rPr>
              <w:t xml:space="preserve">1.480,0</w:t>
            </w:r>
          </w:p>
        </w:tc>
      </w:tr>
      <w:tr>
        <w:trPr>
          <w:cantSplit/>
        </w:trPr>
        <w:tc>
          <w:tcPr>
            <w:tcW w:type="dxa" w:w="7318"/>
            <w:tcBorders>
              <w:top w:val="single" w:color="94A3B8" w:sz="4"/>
            </w:tcBorders>
            <w:tcMar>
              <w:top w:type="dxa" w:w="40"/>
              <w:left w:type="dxa" w:w="80"/>
              <w:bottom w:type="dxa" w:w="40"/>
              <w:right w:type="dxa" w:w="80"/>
            </w:tcMar>
          </w:tcPr>
          <w:p>
            <w:pPr>
              <w:jc w:val="left"/>
            </w:pPr>
            <w:r>
              <w:rPr>
                <w:rFonts w:ascii="Calibri" w:cs="Calibri" w:eastAsia="Calibri" w:hAnsi="Calibri"/>
                <w:b/>
                <w:bCs/>
                <w:color w:val="334155"/>
                <w:sz w:val="17"/>
                <w:szCs w:val="17"/>
              </w:rPr>
              <w:t xml:space="preserve">Necesidad de financiación</w:t>
            </w:r>
          </w:p>
        </w:tc>
        <w:tc>
          <w:tcPr>
            <w:tcW w:type="dxa" w:w="1708"/>
            <w:tcBorders>
              <w:top w:val="single" w:color="94A3B8" w:sz="4"/>
            </w:tcBorders>
            <w:tcMar>
              <w:top w:type="dxa" w:w="40"/>
              <w:left w:type="dxa" w:w="80"/>
              <w:bottom w:type="dxa" w:w="40"/>
              <w:right w:type="dxa" w:w="80"/>
            </w:tcMar>
          </w:tcPr>
          <w:p>
            <w:pPr>
              <w:jc w:val="right"/>
            </w:pPr>
            <w:r>
              <w:rPr>
                <w:rFonts w:ascii="Calibri" w:cs="Calibri" w:eastAsia="Calibri" w:hAnsi="Calibri"/>
                <w:b/>
                <w:bCs/>
                <w:color w:val="334155"/>
                <w:sz w:val="17"/>
                <w:szCs w:val="17"/>
              </w:rPr>
              <w:t xml:space="preserve">300,0</w:t>
            </w:r>
          </w:p>
        </w:tc>
      </w:tr>
      <w:tr>
        <w:trPr>
          <w:cantSplit/>
        </w:trPr>
        <w:tc>
          <w:tcPr>
            <w:tcW w:type="dxa" w:w="7318"/>
            <w:tcBorders>
              <w:top w:val="single" w:color="94A3B8" w:sz="4"/>
              <w:bottom w:val="single" w:color="64748B" w:sz="8"/>
            </w:tcBorders>
            <w:tcMar>
              <w:top w:type="dxa" w:w="40"/>
              <w:left w:type="dxa" w:w="80"/>
              <w:bottom w:type="dxa" w:w="40"/>
              <w:right w:type="dxa" w:w="80"/>
            </w:tcMar>
          </w:tcPr>
          <w:p>
            <w:pPr>
              <w:jc w:val="left"/>
            </w:pPr>
            <w:r>
              <w:rPr>
                <w:rFonts w:ascii="Calibri" w:cs="Calibri" w:eastAsia="Calibri" w:hAnsi="Calibri"/>
                <w:b/>
                <w:bCs/>
                <w:color w:val="334155"/>
                <w:sz w:val="17"/>
                <w:szCs w:val="17"/>
              </w:rPr>
              <w:t xml:space="preserve">Diferencia (exceso/insuficiencia)</w:t>
            </w:r>
          </w:p>
        </w:tc>
        <w:tc>
          <w:tcPr>
            <w:tcW w:type="dxa" w:w="1708"/>
            <w:tcBorders>
              <w:top w:val="single" w:color="94A3B8" w:sz="4"/>
              <w:bottom w:val="single" w:color="64748B" w:sz="8"/>
            </w:tcBorders>
            <w:tcMar>
              <w:top w:type="dxa" w:w="40"/>
              <w:left w:type="dxa" w:w="80"/>
              <w:bottom w:type="dxa" w:w="40"/>
              <w:right w:type="dxa" w:w="80"/>
            </w:tcMar>
          </w:tcPr>
          <w:p>
            <w:pPr>
              <w:jc w:val="right"/>
            </w:pPr>
            <w:r>
              <w:rPr>
                <w:rFonts w:ascii="Calibri" w:cs="Calibri" w:eastAsia="Calibri" w:hAnsi="Calibri"/>
                <w:b/>
                <w:bCs/>
                <w:color w:val="334155"/>
                <w:sz w:val="17"/>
                <w:szCs w:val="17"/>
              </w:rPr>
              <w:t xml:space="preserve">0,0</w:t>
            </w:r>
          </w:p>
        </w:tc>
      </w:tr>
    </w:tbl>
    <w:p>
      <w:pPr>
        <w:pStyle w:val="NotaTexto"/>
        <w:spacing w:after="160" w:before="40"/>
      </w:pPr>
      <w:r>
        <w:rPr>
          <w:rFonts w:ascii="Calibri" w:cs="Calibri" w:eastAsia="Calibri" w:hAnsi="Calibri"/>
          <w:i/>
          <w:iCs/>
          <w:color w:val="64748B"/>
          <w:sz w:val="15"/>
          <w:szCs w:val="15"/>
        </w:rPr>
        <w:t xml:space="preserve">Nota. Conciliación TOTAL del proyecto (comprometido para todo el horizonte); la dimensión temporal se controla en la tabla siguiente.</w:t>
      </w:r>
    </w:p>
    <w:p>
      <w:pPr>
        <w:pStyle w:val="AnalisisPlanex"/>
        <w:pBdr>
          <w:left w:val="single" w:color="B45309" w:sz="18" w:space="4"/>
        </w:pBdr>
        <w:shd w:fill="FFF7E6" w:color="auto" w:val="clear"/>
        <w:spacing w:after="20" w:before="160"/>
      </w:pPr>
      <w:r>
        <w:rPr>
          <w:rFonts w:ascii="Calibri" w:cs="Calibri" w:eastAsia="Calibri" w:hAnsi="Calibri"/>
          <w:b/>
          <w:bCs/>
          <w:color w:val="B45309"/>
          <w:sz w:val="18"/>
          <w:szCs w:val="18"/>
        </w:rPr>
        <w:t xml:space="preserve">Análisis de inversión y financiación</w:t>
      </w:r>
      <w:r>
        <w:rPr>
          <w:rFonts w:ascii="Calibri" w:cs="Calibri" w:eastAsia="Calibri" w:hAnsi="Calibri"/>
          <w:color w:val="8C6428"/>
          <w:sz w:val="14"/>
          <w:szCs w:val="14"/>
        </w:rPr>
        <w:t xml:space="preserve">  ·  ANÁLISIS GENERADO POR EL MODELO</w:t>
      </w:r>
    </w:p>
    <w:p>
      <w:pPr>
        <w:pStyle w:val="AnalisisCuerpo"/>
        <w:pBdr>
          <w:left w:val="single" w:color="B45309" w:sz="18" w:space="4"/>
          <w:bottom w:val="single" w:color="FFF7E6" w:sz="2" w:space="1"/>
        </w:pBdr>
        <w:shd w:fill="FFF7E6" w:color="auto" w:val="clear"/>
        <w:spacing w:after="160" w:before="0"/>
        <w:jc w:val="both"/>
      </w:pPr>
      <w:r>
        <w:rPr>
          <w:rFonts w:ascii="Calibri" w:cs="Calibri" w:eastAsia="Calibri" w:hAnsi="Calibri"/>
          <w:color w:val="334155"/>
          <w:sz w:val="18"/>
          <w:szCs w:val="18"/>
        </w:rPr>
        <w:t xml:space="preserve">La inversión inicial total calculada es 1.480,0 miles de USD, compuesta por gastos previos de 45,0 (3,0 %), inversión fija de 1.200,0 (81,1 %) y capital de trabajo inicial de 235,0 (15,9 %). Las partidas de mayor peso son «Equipamiento clínico (5 sillones e instrumental)» (520,0 USD), «Equipos de imagenología dental (2)» (180,0 USD), «Adecuación y montaje de instalaciones» (180,0 USD). Las fuentes disponibles suman 1.480,0 miles de USD (aportaciones 1.180,0, otras fuentes 0,0, crédito 300,0). La necesidad de financiación (inversión menos aportaciones y otras fuentes) es 300,0 kUSD, cubierta por el crédito previsto; el servicio de esa deuda (intereses y amortizaciones) se analiza en el calendario correspondiente. La diferencia de financiación es nula bajo las premisas vigentes: el modelo cubre la inversión calculada. No se afirma que la financiación esté concedida ni que los fondos estén disponibles de manera real. Calendario de desembolsos de aportaciones (misma convención de años 0/1/2 que las tablas de financiación y flujos): año 0 (montaje/arranque — financia la inversión total del año 0): 1.180,0 kUSD; año 1 (operación): 0,0 kUSD; año 2 (operación): 0,0 kUSD. Cobertura temporal: las fuentes COMPROMETIDAS para todo el proyecto suman 1.480,0 kUSD, pero las disponibles con desembolso efectivo en el año 0 suman 1.480,0 kUSD (aportaciones con vencimiento en el año 0 1.180,0; principal del crédito desembolsado en el año 0 (300,0)). El control por período exige que cada necesidad esté cubierta el año en que se produce, no en el agregado del horizonte. DÉFICIT TEMPORAL de tesorería en: año 0 (faltan 0,8 kUSD; cubiertas desde el año 1). Además, la financiación total comprometida no cubre la necesidad total: el problema es de cuantía Y de calendario. Reprograme los desembolsos, amplíe el capital de trabajo o declare el supuesto. Conciliación del desembolso inicial: la inversión total (1.480,0 kUSD) más las salidas de caja del año 0 explícitamente identificadas (nómina de montaje 0,8: total 0,8 kUSD; gastos de la fase de montaje del año 0 registrados como gasto del período, no capitalizables y NO incluidos en la inversión total — el capital de trabajo ya está dentro de la inversión total y no se duplica) exigen una necesidad total de arranque de 1.480,8 kUSD; las fuentes con desembolso efectivo en el año 0 suman 1.480,0 kUSD, de modo que queda una BRECHA TEMPORAL de 0,8 kUSD que debe financiarse (mayor capital de trabajo, aporte anticipado o crédito con desembolso en el año 0) o declararse expresamente como supuesto pendiente (la brecha según el total nominal comprometido es 0,8 kUSD: ni siquiera el agregado del horizonte cubre la necesidad). El gasto del año 0 se cuantifica desde partidas de salida de caja explícitas e inventariadas — nómina de montaje, interés pagado según el calendario de deuda e impuesto devengado con su estado de pago declarado —, no desde el resultado contable después de impuestos. Los desembolsos del año 0 y del año 1 conservan el mismo significado en todas las tablas.</w:t>
      </w:r>
    </w:p>
    <w:p>
      <w:pPr>
        <w:pStyle w:val="NotaTabla"/>
        <w:keepNext/>
        <w:keepLines/>
        <w:spacing w:after="80" w:before="200"/>
      </w:pPr>
      <w:r>
        <w:rPr>
          <w:rFonts w:ascii="Calibri" w:cs="Calibri" w:eastAsia="Calibri" w:hAnsi="Calibri"/>
          <w:b/>
          <w:bCs/>
          <w:color w:val="1E3A5F"/>
          <w:sz w:val="18"/>
          <w:szCs w:val="18"/>
        </w:rPr>
        <w:t xml:space="preserve">Tabla 12. Cobertura temporal de la financiación y tesorería proyectada (miles de USD; fuentes comprometidas para todo el proyecto: 1.480,0 kUSD)</w:t>
      </w:r>
    </w:p>
    <w:tbl>
      <w:tblPr>
        <w:tblW w:type="dxa" w:w="9026"/>
        <w:tblBorders>
          <w:top w:val="none" w:color="auto" w:sz="0"/>
          <w:left w:val="none" w:color="auto" w:sz="0"/>
          <w:bottom w:val="none" w:color="auto" w:sz="0"/>
          <w:right w:val="none" w:color="auto" w:sz="0"/>
          <w:insideH w:val="none" w:color="auto" w:sz="0"/>
          <w:insideV w:val="none" w:color="auto" w:sz="0"/>
        </w:tblBorders>
      </w:tblPr>
      <w:tblGrid>
        <w:gridCol w:w="1225"/>
        <w:gridCol w:w="1210"/>
        <w:gridCol w:w="786"/>
        <w:gridCol w:w="1210"/>
        <w:gridCol w:w="1149"/>
        <w:gridCol w:w="1391"/>
        <w:gridCol w:w="1149"/>
        <w:gridCol w:w="907"/>
      </w:tblGrid>
      <w:tr>
        <w:trPr>
          <w:cantSplit/>
          <w:tblHeader/>
        </w:trPr>
        <w:tc>
          <w:tcPr>
            <w:tcW w:type="dxa" w:w="1225"/>
            <w:tcBorders>
              <w:top w:val="single" w:color="64748B" w:sz="8"/>
              <w:bottom w:val="single" w:color="94A3B8" w:sz="4"/>
            </w:tcBorders>
            <w:shd w:fill="EEF2F7" w:color="auto" w:val="clear"/>
            <w:tcMar>
              <w:top w:type="dxa" w:w="40"/>
              <w:left w:type="dxa" w:w="80"/>
              <w:bottom w:type="dxa" w:w="40"/>
              <w:right w:type="dxa" w:w="80"/>
            </w:tcMar>
          </w:tcPr>
          <w:p>
            <w:pPr>
              <w:jc w:val="left"/>
            </w:pPr>
            <w:r>
              <w:rPr>
                <w:rFonts w:ascii="Calibri" w:cs="Calibri" w:eastAsia="Calibri" w:hAnsi="Calibri"/>
                <w:b/>
                <w:bCs/>
                <w:color w:val="1E3A5F"/>
                <w:sz w:val="17"/>
                <w:szCs w:val="17"/>
              </w:rPr>
              <w:t xml:space="preserve">Período</w:t>
            </w:r>
          </w:p>
        </w:tc>
        <w:tc>
          <w:tcPr>
            <w:tcW w:type="dxa" w:w="1210"/>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7"/>
                <w:szCs w:val="17"/>
              </w:rPr>
              <w:t xml:space="preserve">Aportaciones del año</w:t>
            </w:r>
          </w:p>
        </w:tc>
        <w:tc>
          <w:tcPr>
            <w:tcW w:type="dxa" w:w="786"/>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7"/>
                <w:szCs w:val="17"/>
              </w:rPr>
              <w:t xml:space="preserve">Otras fuentes</w:t>
            </w:r>
          </w:p>
        </w:tc>
        <w:tc>
          <w:tcPr>
            <w:tcW w:type="dxa" w:w="1210"/>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7"/>
                <w:szCs w:val="17"/>
              </w:rPr>
              <w:t xml:space="preserve">Crédito (desembolso)</w:t>
            </w:r>
          </w:p>
        </w:tc>
        <w:tc>
          <w:tcPr>
            <w:tcW w:type="dxa" w:w="1149"/>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7"/>
                <w:szCs w:val="17"/>
              </w:rPr>
              <w:t xml:space="preserve">Fuentes del período</w:t>
            </w:r>
          </w:p>
        </w:tc>
        <w:tc>
          <w:tcPr>
            <w:tcW w:type="dxa" w:w="1391"/>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7"/>
                <w:szCs w:val="17"/>
              </w:rPr>
              <w:t xml:space="preserve">Necesidades del período</w:t>
            </w:r>
          </w:p>
        </w:tc>
        <w:tc>
          <w:tcPr>
            <w:tcW w:type="dxa" w:w="1149"/>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7"/>
                <w:szCs w:val="17"/>
              </w:rPr>
              <w:t xml:space="preserve">Cobertura acumulada</w:t>
            </w:r>
          </w:p>
        </w:tc>
        <w:tc>
          <w:tcPr>
            <w:tcW w:type="dxa" w:w="907"/>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7"/>
                <w:szCs w:val="17"/>
              </w:rPr>
              <w:t xml:space="preserve">Caja proyectada</w:t>
            </w:r>
          </w:p>
        </w:tc>
      </w:tr>
      <w:tr>
        <w:trPr>
          <w:cantSplit/>
        </w:trPr>
        <w:tc>
          <w:tcPr>
            <w:tcW w:type="dxa" w:w="1225"/>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Año 0 (montaje)</w:t>
            </w:r>
          </w:p>
        </w:tc>
        <w:tc>
          <w:tcPr>
            <w:tcW w:type="dxa" w:w="1210"/>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1.180,0</w:t>
            </w:r>
          </w:p>
        </w:tc>
        <w:tc>
          <w:tcPr>
            <w:tcW w:type="dxa" w:w="786"/>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0,0</w:t>
            </w:r>
          </w:p>
        </w:tc>
        <w:tc>
          <w:tcPr>
            <w:tcW w:type="dxa" w:w="1210"/>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300,0</w:t>
            </w:r>
          </w:p>
        </w:tc>
        <w:tc>
          <w:tcPr>
            <w:tcW w:type="dxa" w:w="1149"/>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1.480,0</w:t>
            </w:r>
          </w:p>
        </w:tc>
        <w:tc>
          <w:tcPr>
            <w:tcW w:type="dxa" w:w="1391"/>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1.480,8</w:t>
            </w:r>
          </w:p>
        </w:tc>
        <w:tc>
          <w:tcPr>
            <w:tcW w:type="dxa" w:w="1149"/>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-0,8</w:t>
            </w:r>
          </w:p>
        </w:tc>
        <w:tc>
          <w:tcPr>
            <w:tcW w:type="dxa" w:w="907"/>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-0,8</w:t>
            </w:r>
          </w:p>
        </w:tc>
      </w:tr>
      <w:tr>
        <w:trPr>
          <w:cantSplit/>
        </w:trPr>
        <w:tc>
          <w:tcPr>
            <w:tcW w:type="dxa" w:w="1225"/>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Año 1</w:t>
            </w:r>
          </w:p>
        </w:tc>
        <w:tc>
          <w:tcPr>
            <w:tcW w:type="dxa" w:w="1210"/>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0,0</w:t>
            </w:r>
          </w:p>
        </w:tc>
        <w:tc>
          <w:tcPr>
            <w:tcW w:type="dxa" w:w="786"/>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0,0</w:t>
            </w:r>
          </w:p>
        </w:tc>
        <w:tc>
          <w:tcPr>
            <w:tcW w:type="dxa" w:w="1210"/>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0,0</w:t>
            </w:r>
          </w:p>
        </w:tc>
        <w:tc>
          <w:tcPr>
            <w:tcW w:type="dxa" w:w="1149"/>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0,0</w:t>
            </w:r>
          </w:p>
        </w:tc>
        <w:tc>
          <w:tcPr>
            <w:tcW w:type="dxa" w:w="1391"/>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0,0</w:t>
            </w:r>
          </w:p>
        </w:tc>
        <w:tc>
          <w:tcPr>
            <w:tcW w:type="dxa" w:w="1149"/>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-0,8</w:t>
            </w:r>
          </w:p>
        </w:tc>
        <w:tc>
          <w:tcPr>
            <w:tcW w:type="dxa" w:w="907"/>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367,8</w:t>
            </w:r>
          </w:p>
        </w:tc>
      </w:tr>
      <w:tr>
        <w:trPr>
          <w:cantSplit/>
        </w:trPr>
        <w:tc>
          <w:tcPr>
            <w:tcW w:type="dxa" w:w="1225"/>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Año 2</w:t>
            </w:r>
          </w:p>
        </w:tc>
        <w:tc>
          <w:tcPr>
            <w:tcW w:type="dxa" w:w="1210"/>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0,0</w:t>
            </w:r>
          </w:p>
        </w:tc>
        <w:tc>
          <w:tcPr>
            <w:tcW w:type="dxa" w:w="786"/>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0,0</w:t>
            </w:r>
          </w:p>
        </w:tc>
        <w:tc>
          <w:tcPr>
            <w:tcW w:type="dxa" w:w="1210"/>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0,0</w:t>
            </w:r>
          </w:p>
        </w:tc>
        <w:tc>
          <w:tcPr>
            <w:tcW w:type="dxa" w:w="1149"/>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0,0</w:t>
            </w:r>
          </w:p>
        </w:tc>
        <w:tc>
          <w:tcPr>
            <w:tcW w:type="dxa" w:w="1391"/>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0,0</w:t>
            </w:r>
          </w:p>
        </w:tc>
        <w:tc>
          <w:tcPr>
            <w:tcW w:type="dxa" w:w="1149"/>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-0,8</w:t>
            </w:r>
          </w:p>
        </w:tc>
        <w:tc>
          <w:tcPr>
            <w:tcW w:type="dxa" w:w="907"/>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709,2</w:t>
            </w:r>
          </w:p>
        </w:tc>
      </w:tr>
      <w:tr>
        <w:trPr>
          <w:cantSplit/>
        </w:trPr>
        <w:tc>
          <w:tcPr>
            <w:tcW w:type="dxa" w:w="1225"/>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Año 3</w:t>
            </w:r>
          </w:p>
        </w:tc>
        <w:tc>
          <w:tcPr>
            <w:tcW w:type="dxa" w:w="1210"/>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0,0</w:t>
            </w:r>
          </w:p>
        </w:tc>
        <w:tc>
          <w:tcPr>
            <w:tcW w:type="dxa" w:w="786"/>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0,0</w:t>
            </w:r>
          </w:p>
        </w:tc>
        <w:tc>
          <w:tcPr>
            <w:tcW w:type="dxa" w:w="1210"/>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0,0</w:t>
            </w:r>
          </w:p>
        </w:tc>
        <w:tc>
          <w:tcPr>
            <w:tcW w:type="dxa" w:w="1149"/>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0,0</w:t>
            </w:r>
          </w:p>
        </w:tc>
        <w:tc>
          <w:tcPr>
            <w:tcW w:type="dxa" w:w="1391"/>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0,0</w:t>
            </w:r>
          </w:p>
        </w:tc>
        <w:tc>
          <w:tcPr>
            <w:tcW w:type="dxa" w:w="1149"/>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-0,8</w:t>
            </w:r>
          </w:p>
        </w:tc>
        <w:tc>
          <w:tcPr>
            <w:tcW w:type="dxa" w:w="907"/>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1.089,0</w:t>
            </w:r>
          </w:p>
        </w:tc>
      </w:tr>
      <w:tr>
        <w:trPr>
          <w:cantSplit/>
        </w:trPr>
        <w:tc>
          <w:tcPr>
            <w:tcW w:type="dxa" w:w="1225"/>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Año 4</w:t>
            </w:r>
          </w:p>
        </w:tc>
        <w:tc>
          <w:tcPr>
            <w:tcW w:type="dxa" w:w="1210"/>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0,0</w:t>
            </w:r>
          </w:p>
        </w:tc>
        <w:tc>
          <w:tcPr>
            <w:tcW w:type="dxa" w:w="786"/>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0,0</w:t>
            </w:r>
          </w:p>
        </w:tc>
        <w:tc>
          <w:tcPr>
            <w:tcW w:type="dxa" w:w="1210"/>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0,0</w:t>
            </w:r>
          </w:p>
        </w:tc>
        <w:tc>
          <w:tcPr>
            <w:tcW w:type="dxa" w:w="1149"/>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0,0</w:t>
            </w:r>
          </w:p>
        </w:tc>
        <w:tc>
          <w:tcPr>
            <w:tcW w:type="dxa" w:w="1391"/>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0,0</w:t>
            </w:r>
          </w:p>
        </w:tc>
        <w:tc>
          <w:tcPr>
            <w:tcW w:type="dxa" w:w="1149"/>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-0,8</w:t>
            </w:r>
          </w:p>
        </w:tc>
        <w:tc>
          <w:tcPr>
            <w:tcW w:type="dxa" w:w="907"/>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1.180,0</w:t>
            </w:r>
          </w:p>
        </w:tc>
      </w:tr>
      <w:tr>
        <w:trPr>
          <w:cantSplit/>
        </w:trPr>
        <w:tc>
          <w:tcPr>
            <w:tcW w:type="dxa" w:w="1225"/>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Año 5</w:t>
            </w:r>
          </w:p>
        </w:tc>
        <w:tc>
          <w:tcPr>
            <w:tcW w:type="dxa" w:w="1210"/>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0,0</w:t>
            </w:r>
          </w:p>
        </w:tc>
        <w:tc>
          <w:tcPr>
            <w:tcW w:type="dxa" w:w="786"/>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0,0</w:t>
            </w:r>
          </w:p>
        </w:tc>
        <w:tc>
          <w:tcPr>
            <w:tcW w:type="dxa" w:w="1210"/>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0,0</w:t>
            </w:r>
          </w:p>
        </w:tc>
        <w:tc>
          <w:tcPr>
            <w:tcW w:type="dxa" w:w="1149"/>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0,0</w:t>
            </w:r>
          </w:p>
        </w:tc>
        <w:tc>
          <w:tcPr>
            <w:tcW w:type="dxa" w:w="1391"/>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0,0</w:t>
            </w:r>
          </w:p>
        </w:tc>
        <w:tc>
          <w:tcPr>
            <w:tcW w:type="dxa" w:w="1149"/>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-0,8</w:t>
            </w:r>
          </w:p>
        </w:tc>
        <w:tc>
          <w:tcPr>
            <w:tcW w:type="dxa" w:w="907"/>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1.177,8</w:t>
            </w:r>
          </w:p>
        </w:tc>
      </w:tr>
      <w:tr>
        <w:trPr>
          <w:cantSplit/>
        </w:trPr>
        <w:tc>
          <w:tcPr>
            <w:tcW w:type="dxa" w:w="1225"/>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Año 6</w:t>
            </w:r>
          </w:p>
        </w:tc>
        <w:tc>
          <w:tcPr>
            <w:tcW w:type="dxa" w:w="1210"/>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0,0</w:t>
            </w:r>
          </w:p>
        </w:tc>
        <w:tc>
          <w:tcPr>
            <w:tcW w:type="dxa" w:w="786"/>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0,0</w:t>
            </w:r>
          </w:p>
        </w:tc>
        <w:tc>
          <w:tcPr>
            <w:tcW w:type="dxa" w:w="1210"/>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0,0</w:t>
            </w:r>
          </w:p>
        </w:tc>
        <w:tc>
          <w:tcPr>
            <w:tcW w:type="dxa" w:w="1149"/>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0,0</w:t>
            </w:r>
          </w:p>
        </w:tc>
        <w:tc>
          <w:tcPr>
            <w:tcW w:type="dxa" w:w="1391"/>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0,0</w:t>
            </w:r>
          </w:p>
        </w:tc>
        <w:tc>
          <w:tcPr>
            <w:tcW w:type="dxa" w:w="1149"/>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-0,8</w:t>
            </w:r>
          </w:p>
        </w:tc>
        <w:tc>
          <w:tcPr>
            <w:tcW w:type="dxa" w:w="907"/>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1.270,5</w:t>
            </w:r>
          </w:p>
        </w:tc>
      </w:tr>
      <w:tr>
        <w:trPr>
          <w:cantSplit/>
        </w:trPr>
        <w:tc>
          <w:tcPr>
            <w:tcW w:type="dxa" w:w="1225"/>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Año 7</w:t>
            </w:r>
          </w:p>
        </w:tc>
        <w:tc>
          <w:tcPr>
            <w:tcW w:type="dxa" w:w="1210"/>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0,0</w:t>
            </w:r>
          </w:p>
        </w:tc>
        <w:tc>
          <w:tcPr>
            <w:tcW w:type="dxa" w:w="786"/>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0,0</w:t>
            </w:r>
          </w:p>
        </w:tc>
        <w:tc>
          <w:tcPr>
            <w:tcW w:type="dxa" w:w="1210"/>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0,0</w:t>
            </w:r>
          </w:p>
        </w:tc>
        <w:tc>
          <w:tcPr>
            <w:tcW w:type="dxa" w:w="1149"/>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0,0</w:t>
            </w:r>
          </w:p>
        </w:tc>
        <w:tc>
          <w:tcPr>
            <w:tcW w:type="dxa" w:w="1391"/>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150,0</w:t>
            </w:r>
          </w:p>
        </w:tc>
        <w:tc>
          <w:tcPr>
            <w:tcW w:type="dxa" w:w="1149"/>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-150,8</w:t>
            </w:r>
          </w:p>
        </w:tc>
        <w:tc>
          <w:tcPr>
            <w:tcW w:type="dxa" w:w="907"/>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1.333,3</w:t>
            </w:r>
          </w:p>
        </w:tc>
      </w:tr>
      <w:tr>
        <w:trPr>
          <w:cantSplit/>
        </w:trPr>
        <w:tc>
          <w:tcPr>
            <w:tcW w:type="dxa" w:w="1225"/>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Año 8</w:t>
            </w:r>
          </w:p>
        </w:tc>
        <w:tc>
          <w:tcPr>
            <w:tcW w:type="dxa" w:w="1210"/>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0,0</w:t>
            </w:r>
          </w:p>
        </w:tc>
        <w:tc>
          <w:tcPr>
            <w:tcW w:type="dxa" w:w="786"/>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0,0</w:t>
            </w:r>
          </w:p>
        </w:tc>
        <w:tc>
          <w:tcPr>
            <w:tcW w:type="dxa" w:w="1210"/>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0,0</w:t>
            </w:r>
          </w:p>
        </w:tc>
        <w:tc>
          <w:tcPr>
            <w:tcW w:type="dxa" w:w="1149"/>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0,0</w:t>
            </w:r>
          </w:p>
        </w:tc>
        <w:tc>
          <w:tcPr>
            <w:tcW w:type="dxa" w:w="1391"/>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0,0</w:t>
            </w:r>
          </w:p>
        </w:tc>
        <w:tc>
          <w:tcPr>
            <w:tcW w:type="dxa" w:w="1149"/>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-150,8</w:t>
            </w:r>
          </w:p>
        </w:tc>
        <w:tc>
          <w:tcPr>
            <w:tcW w:type="dxa" w:w="907"/>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1.576,1</w:t>
            </w:r>
          </w:p>
        </w:tc>
      </w:tr>
      <w:tr>
        <w:trPr>
          <w:cantSplit/>
        </w:trPr>
        <w:tc>
          <w:tcPr>
            <w:tcW w:type="dxa" w:w="1225"/>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Año 9</w:t>
            </w:r>
          </w:p>
        </w:tc>
        <w:tc>
          <w:tcPr>
            <w:tcW w:type="dxa" w:w="1210"/>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0,0</w:t>
            </w:r>
          </w:p>
        </w:tc>
        <w:tc>
          <w:tcPr>
            <w:tcW w:type="dxa" w:w="786"/>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0,0</w:t>
            </w:r>
          </w:p>
        </w:tc>
        <w:tc>
          <w:tcPr>
            <w:tcW w:type="dxa" w:w="1210"/>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0,0</w:t>
            </w:r>
          </w:p>
        </w:tc>
        <w:tc>
          <w:tcPr>
            <w:tcW w:type="dxa" w:w="1149"/>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0,0</w:t>
            </w:r>
          </w:p>
        </w:tc>
        <w:tc>
          <w:tcPr>
            <w:tcW w:type="dxa" w:w="1391"/>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0,0</w:t>
            </w:r>
          </w:p>
        </w:tc>
        <w:tc>
          <w:tcPr>
            <w:tcW w:type="dxa" w:w="1149"/>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-150,8</w:t>
            </w:r>
          </w:p>
        </w:tc>
        <w:tc>
          <w:tcPr>
            <w:tcW w:type="dxa" w:w="907"/>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1.831,2</w:t>
            </w:r>
          </w:p>
        </w:tc>
      </w:tr>
      <w:tr>
        <w:trPr>
          <w:cantSplit/>
        </w:trPr>
        <w:tc>
          <w:tcPr>
            <w:tcW w:type="dxa" w:w="1225"/>
            <w:tcBorders>
              <w:bottom w:val="single" w:color="64748B" w:sz="8"/>
            </w:tcBorders>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Año 10</w:t>
            </w:r>
          </w:p>
        </w:tc>
        <w:tc>
          <w:tcPr>
            <w:tcW w:type="dxa" w:w="1210"/>
            <w:tcBorders>
              <w:bottom w:val="single" w:color="64748B" w:sz="8"/>
            </w:tcBorders>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0,0</w:t>
            </w:r>
          </w:p>
        </w:tc>
        <w:tc>
          <w:tcPr>
            <w:tcW w:type="dxa" w:w="786"/>
            <w:tcBorders>
              <w:bottom w:val="single" w:color="64748B" w:sz="8"/>
            </w:tcBorders>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0,0</w:t>
            </w:r>
          </w:p>
        </w:tc>
        <w:tc>
          <w:tcPr>
            <w:tcW w:type="dxa" w:w="1210"/>
            <w:tcBorders>
              <w:bottom w:val="single" w:color="64748B" w:sz="8"/>
            </w:tcBorders>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0,0</w:t>
            </w:r>
          </w:p>
        </w:tc>
        <w:tc>
          <w:tcPr>
            <w:tcW w:type="dxa" w:w="1149"/>
            <w:tcBorders>
              <w:bottom w:val="single" w:color="64748B" w:sz="8"/>
            </w:tcBorders>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0,0</w:t>
            </w:r>
          </w:p>
        </w:tc>
        <w:tc>
          <w:tcPr>
            <w:tcW w:type="dxa" w:w="1391"/>
            <w:tcBorders>
              <w:bottom w:val="single" w:color="64748B" w:sz="8"/>
            </w:tcBorders>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0,0</w:t>
            </w:r>
          </w:p>
        </w:tc>
        <w:tc>
          <w:tcPr>
            <w:tcW w:type="dxa" w:w="1149"/>
            <w:tcBorders>
              <w:bottom w:val="single" w:color="64748B" w:sz="8"/>
            </w:tcBorders>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-150,8</w:t>
            </w:r>
          </w:p>
        </w:tc>
        <w:tc>
          <w:tcPr>
            <w:tcW w:type="dxa" w:w="907"/>
            <w:tcBorders>
              <w:bottom w:val="single" w:color="64748B" w:sz="8"/>
            </w:tcBorders>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2.101,9</w:t>
            </w:r>
          </w:p>
        </w:tc>
      </w:tr>
    </w:tbl>
    <w:p>
      <w:pPr>
        <w:pStyle w:val="NotaTexto"/>
        <w:spacing w:after="60" w:before="60" w:line="276"/>
        <w:jc w:val="both"/>
      </w:pPr>
      <w:r>
        <w:rPr>
          <w:rFonts w:ascii="Calibri" w:cs="Calibri" w:eastAsia="Calibri" w:hAnsi="Calibri"/>
          <w:color w:val="334155"/>
          <w:sz w:val="16"/>
          <w:szCs w:val="16"/>
        </w:rPr>
        <w:t xml:space="preserve">Dos vistas complementarias: «Cobertura acumulada» = fuentes acumuladas - necesidades acumuladas de inversión y arranque (detecta desembolsos tardíos); «Caja proyectada» = tesorería con los flujos operativos, el servicio de la deuda y los dividendos (aportaciones fechadas + otras fuentes + desembolsos del crédito + FCFE sin el principal - dividendos; en el año 0 ambas vistas coinciden). Las «otras fuentes» no declaran fecha: se suponen disponibles en el año 0 (supuesto documentado). Necesidades: año 0 = inversión total + salidas de caja no capitalizables del arranque; años posteriores = CAPEX de ampliaciones. Déficits de tesorería: año 0: faltan 0,8 kUSD (cubiertas desde el año 1). El impuesto se toma como devengado pagado en el mismo período (supuesto del modelo simplificado, no un pago verificado).</w:t>
      </w:r>
    </w:p>
    <w:p>
      <w:pPr>
        <w:pStyle w:val="NotaTexto"/>
        <w:spacing w:after="60" w:before="60" w:line="276"/>
        <w:jc w:val="both"/>
      </w:pPr>
      <w:r>
        <w:rPr>
          <w:rFonts w:ascii="Calibri" w:cs="Calibri" w:eastAsia="Calibri" w:hAnsi="Calibri"/>
          <w:color w:val="334155"/>
          <w:sz w:val="16"/>
          <w:szCs w:val="16"/>
        </w:rPr>
        <w:t xml:space="preserve">Crédito: Gracia de principal (se pagan intereses), 1 año(s); método: Capital constante (cuotas de principal iguales) en 5 anualidades; desembolso en el año 0. Tasa: 8,0 % (supuesto editable).</w:t>
      </w:r>
    </w:p>
    <w:p>
      <w:pPr>
        <w:pStyle w:val="NotaTabla"/>
        <w:keepNext/>
        <w:keepLines/>
        <w:spacing w:after="80" w:before="200"/>
      </w:pPr>
      <w:r>
        <w:rPr>
          <w:rFonts w:ascii="Calibri" w:cs="Calibri" w:eastAsia="Calibri" w:hAnsi="Calibri"/>
          <w:b/>
          <w:bCs/>
          <w:color w:val="1E3A5F"/>
          <w:sz w:val="18"/>
          <w:szCs w:val="18"/>
        </w:rPr>
        <w:t xml:space="preserve">Tabla 13. Calendario financiero de la deuda (miles de USD): saldo final = saldo inicial + desembolso + capitalización - amortización</w:t>
      </w:r>
    </w:p>
    <w:tbl>
      <w:tblPr>
        <w:tblW w:type="dxa" w:w="9026"/>
        <w:tblBorders>
          <w:top w:val="none" w:color="auto" w:sz="0"/>
          <w:left w:val="none" w:color="auto" w:sz="0"/>
          <w:bottom w:val="none" w:color="auto" w:sz="0"/>
          <w:right w:val="none" w:color="auto" w:sz="0"/>
          <w:insideH w:val="none" w:color="auto" w:sz="0"/>
          <w:insideV w:val="none" w:color="auto" w:sz="0"/>
        </w:tblBorders>
      </w:tblPr>
      <w:tblGrid>
        <w:gridCol w:w="1177"/>
        <w:gridCol w:w="1620"/>
        <w:gridCol w:w="1246"/>
        <w:gridCol w:w="2118"/>
        <w:gridCol w:w="1495"/>
        <w:gridCol w:w="1370"/>
      </w:tblGrid>
      <w:tr>
        <w:trPr>
          <w:cantSplit/>
          <w:tblHeader/>
        </w:trPr>
        <w:tc>
          <w:tcPr>
            <w:tcW w:type="dxa" w:w="1177"/>
            <w:tcBorders>
              <w:top w:val="single" w:color="64748B" w:sz="8"/>
              <w:bottom w:val="single" w:color="94A3B8" w:sz="4"/>
            </w:tcBorders>
            <w:shd w:fill="EEF2F7" w:color="auto" w:val="clear"/>
            <w:tcMar>
              <w:top w:type="dxa" w:w="40"/>
              <w:left w:type="dxa" w:w="80"/>
              <w:bottom w:type="dxa" w:w="40"/>
              <w:right w:type="dxa" w:w="80"/>
            </w:tcMar>
          </w:tcPr>
          <w:p>
            <w:pPr>
              <w:jc w:val="left"/>
            </w:pPr>
            <w:r>
              <w:rPr>
                <w:rFonts w:ascii="Calibri" w:cs="Calibri" w:eastAsia="Calibri" w:hAnsi="Calibri"/>
                <w:b/>
                <w:bCs/>
                <w:color w:val="1E3A5F"/>
                <w:sz w:val="17"/>
                <w:szCs w:val="17"/>
              </w:rPr>
              <w:t xml:space="preserve">Período</w:t>
            </w:r>
          </w:p>
        </w:tc>
        <w:tc>
          <w:tcPr>
            <w:tcW w:type="dxa" w:w="1620"/>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7"/>
                <w:szCs w:val="17"/>
              </w:rPr>
              <w:t xml:space="preserve">Saldo inicial</w:t>
            </w:r>
          </w:p>
        </w:tc>
        <w:tc>
          <w:tcPr>
            <w:tcW w:type="dxa" w:w="1246"/>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7"/>
                <w:szCs w:val="17"/>
              </w:rPr>
              <w:t xml:space="preserve">Desembolso</w:t>
            </w:r>
          </w:p>
        </w:tc>
        <w:tc>
          <w:tcPr>
            <w:tcW w:type="dxa" w:w="2118"/>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7"/>
                <w:szCs w:val="17"/>
              </w:rPr>
              <w:t xml:space="preserve">Interés devengado</w:t>
            </w:r>
          </w:p>
        </w:tc>
        <w:tc>
          <w:tcPr>
            <w:tcW w:type="dxa" w:w="1495"/>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7"/>
                <w:szCs w:val="17"/>
              </w:rPr>
              <w:t xml:space="preserve">Amortización</w:t>
            </w:r>
          </w:p>
        </w:tc>
        <w:tc>
          <w:tcPr>
            <w:tcW w:type="dxa" w:w="1370"/>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7"/>
                <w:szCs w:val="17"/>
              </w:rPr>
              <w:t xml:space="preserve">Saldo final</w:t>
            </w:r>
          </w:p>
        </w:tc>
      </w:tr>
      <w:tr>
        <w:trPr>
          <w:cantSplit/>
        </w:trPr>
        <w:tc>
          <w:tcPr>
            <w:tcW w:type="dxa" w:w="1177"/>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Año 0</w:t>
            </w:r>
          </w:p>
        </w:tc>
        <w:tc>
          <w:tcPr>
            <w:tcW w:type="dxa" w:w="1620"/>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0,0</w:t>
            </w:r>
          </w:p>
        </w:tc>
        <w:tc>
          <w:tcPr>
            <w:tcW w:type="dxa" w:w="1246"/>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300,0</w:t>
            </w:r>
          </w:p>
        </w:tc>
        <w:tc>
          <w:tcPr>
            <w:tcW w:type="dxa" w:w="2118"/>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0,0</w:t>
            </w:r>
          </w:p>
        </w:tc>
        <w:tc>
          <w:tcPr>
            <w:tcW w:type="dxa" w:w="1495"/>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0,0</w:t>
            </w:r>
          </w:p>
        </w:tc>
        <w:tc>
          <w:tcPr>
            <w:tcW w:type="dxa" w:w="1370"/>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300,0</w:t>
            </w:r>
          </w:p>
        </w:tc>
      </w:tr>
      <w:tr>
        <w:trPr>
          <w:cantSplit/>
        </w:trPr>
        <w:tc>
          <w:tcPr>
            <w:tcW w:type="dxa" w:w="1177"/>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Año 1</w:t>
            </w:r>
          </w:p>
        </w:tc>
        <w:tc>
          <w:tcPr>
            <w:tcW w:type="dxa" w:w="1620"/>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300,0</w:t>
            </w:r>
          </w:p>
        </w:tc>
        <w:tc>
          <w:tcPr>
            <w:tcW w:type="dxa" w:w="1246"/>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0,0</w:t>
            </w:r>
          </w:p>
        </w:tc>
        <w:tc>
          <w:tcPr>
            <w:tcW w:type="dxa" w:w="2118"/>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24,0</w:t>
            </w:r>
          </w:p>
        </w:tc>
        <w:tc>
          <w:tcPr>
            <w:tcW w:type="dxa" w:w="1495"/>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0,0</w:t>
            </w:r>
          </w:p>
        </w:tc>
        <w:tc>
          <w:tcPr>
            <w:tcW w:type="dxa" w:w="1370"/>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300,0</w:t>
            </w:r>
          </w:p>
        </w:tc>
      </w:tr>
      <w:tr>
        <w:trPr>
          <w:cantSplit/>
        </w:trPr>
        <w:tc>
          <w:tcPr>
            <w:tcW w:type="dxa" w:w="1177"/>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Año 2</w:t>
            </w:r>
          </w:p>
        </w:tc>
        <w:tc>
          <w:tcPr>
            <w:tcW w:type="dxa" w:w="1620"/>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300,0</w:t>
            </w:r>
          </w:p>
        </w:tc>
        <w:tc>
          <w:tcPr>
            <w:tcW w:type="dxa" w:w="1246"/>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0,0</w:t>
            </w:r>
          </w:p>
        </w:tc>
        <w:tc>
          <w:tcPr>
            <w:tcW w:type="dxa" w:w="2118"/>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24,0</w:t>
            </w:r>
          </w:p>
        </w:tc>
        <w:tc>
          <w:tcPr>
            <w:tcW w:type="dxa" w:w="1495"/>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60,0</w:t>
            </w:r>
          </w:p>
        </w:tc>
        <w:tc>
          <w:tcPr>
            <w:tcW w:type="dxa" w:w="1370"/>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240,0</w:t>
            </w:r>
          </w:p>
        </w:tc>
      </w:tr>
      <w:tr>
        <w:trPr>
          <w:cantSplit/>
        </w:trPr>
        <w:tc>
          <w:tcPr>
            <w:tcW w:type="dxa" w:w="1177"/>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Año 3</w:t>
            </w:r>
          </w:p>
        </w:tc>
        <w:tc>
          <w:tcPr>
            <w:tcW w:type="dxa" w:w="1620"/>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240,0</w:t>
            </w:r>
          </w:p>
        </w:tc>
        <w:tc>
          <w:tcPr>
            <w:tcW w:type="dxa" w:w="1246"/>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0,0</w:t>
            </w:r>
          </w:p>
        </w:tc>
        <w:tc>
          <w:tcPr>
            <w:tcW w:type="dxa" w:w="2118"/>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19,2</w:t>
            </w:r>
          </w:p>
        </w:tc>
        <w:tc>
          <w:tcPr>
            <w:tcW w:type="dxa" w:w="1495"/>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60,0</w:t>
            </w:r>
          </w:p>
        </w:tc>
        <w:tc>
          <w:tcPr>
            <w:tcW w:type="dxa" w:w="1370"/>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180,0</w:t>
            </w:r>
          </w:p>
        </w:tc>
      </w:tr>
      <w:tr>
        <w:trPr>
          <w:cantSplit/>
        </w:trPr>
        <w:tc>
          <w:tcPr>
            <w:tcW w:type="dxa" w:w="1177"/>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Año 4</w:t>
            </w:r>
          </w:p>
        </w:tc>
        <w:tc>
          <w:tcPr>
            <w:tcW w:type="dxa" w:w="1620"/>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180,0</w:t>
            </w:r>
          </w:p>
        </w:tc>
        <w:tc>
          <w:tcPr>
            <w:tcW w:type="dxa" w:w="1246"/>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0,0</w:t>
            </w:r>
          </w:p>
        </w:tc>
        <w:tc>
          <w:tcPr>
            <w:tcW w:type="dxa" w:w="2118"/>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14,4</w:t>
            </w:r>
          </w:p>
        </w:tc>
        <w:tc>
          <w:tcPr>
            <w:tcW w:type="dxa" w:w="1495"/>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60,0</w:t>
            </w:r>
          </w:p>
        </w:tc>
        <w:tc>
          <w:tcPr>
            <w:tcW w:type="dxa" w:w="1370"/>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120,0</w:t>
            </w:r>
          </w:p>
        </w:tc>
      </w:tr>
      <w:tr>
        <w:trPr>
          <w:cantSplit/>
        </w:trPr>
        <w:tc>
          <w:tcPr>
            <w:tcW w:type="dxa" w:w="1177"/>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Año 5</w:t>
            </w:r>
          </w:p>
        </w:tc>
        <w:tc>
          <w:tcPr>
            <w:tcW w:type="dxa" w:w="1620"/>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120,0</w:t>
            </w:r>
          </w:p>
        </w:tc>
        <w:tc>
          <w:tcPr>
            <w:tcW w:type="dxa" w:w="1246"/>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0,0</w:t>
            </w:r>
          </w:p>
        </w:tc>
        <w:tc>
          <w:tcPr>
            <w:tcW w:type="dxa" w:w="2118"/>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9,6</w:t>
            </w:r>
          </w:p>
        </w:tc>
        <w:tc>
          <w:tcPr>
            <w:tcW w:type="dxa" w:w="1495"/>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60,0</w:t>
            </w:r>
          </w:p>
        </w:tc>
        <w:tc>
          <w:tcPr>
            <w:tcW w:type="dxa" w:w="1370"/>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60,0</w:t>
            </w:r>
          </w:p>
        </w:tc>
      </w:tr>
      <w:tr>
        <w:trPr>
          <w:cantSplit/>
        </w:trPr>
        <w:tc>
          <w:tcPr>
            <w:tcW w:type="dxa" w:w="1177"/>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Año 6</w:t>
            </w:r>
          </w:p>
        </w:tc>
        <w:tc>
          <w:tcPr>
            <w:tcW w:type="dxa" w:w="1620"/>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60,0</w:t>
            </w:r>
          </w:p>
        </w:tc>
        <w:tc>
          <w:tcPr>
            <w:tcW w:type="dxa" w:w="1246"/>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0,0</w:t>
            </w:r>
          </w:p>
        </w:tc>
        <w:tc>
          <w:tcPr>
            <w:tcW w:type="dxa" w:w="2118"/>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4,8</w:t>
            </w:r>
          </w:p>
        </w:tc>
        <w:tc>
          <w:tcPr>
            <w:tcW w:type="dxa" w:w="1495"/>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60,0</w:t>
            </w:r>
          </w:p>
        </w:tc>
        <w:tc>
          <w:tcPr>
            <w:tcW w:type="dxa" w:w="1370"/>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0,0</w:t>
            </w:r>
          </w:p>
        </w:tc>
      </w:tr>
      <w:tr>
        <w:trPr>
          <w:cantSplit/>
        </w:trPr>
        <w:tc>
          <w:tcPr>
            <w:tcW w:type="dxa" w:w="1177"/>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Año 7</w:t>
            </w:r>
          </w:p>
        </w:tc>
        <w:tc>
          <w:tcPr>
            <w:tcW w:type="dxa" w:w="1620"/>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0,0</w:t>
            </w:r>
          </w:p>
        </w:tc>
        <w:tc>
          <w:tcPr>
            <w:tcW w:type="dxa" w:w="1246"/>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0,0</w:t>
            </w:r>
          </w:p>
        </w:tc>
        <w:tc>
          <w:tcPr>
            <w:tcW w:type="dxa" w:w="2118"/>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0,0</w:t>
            </w:r>
          </w:p>
        </w:tc>
        <w:tc>
          <w:tcPr>
            <w:tcW w:type="dxa" w:w="1495"/>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0,0</w:t>
            </w:r>
          </w:p>
        </w:tc>
        <w:tc>
          <w:tcPr>
            <w:tcW w:type="dxa" w:w="1370"/>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0,0</w:t>
            </w:r>
          </w:p>
        </w:tc>
      </w:tr>
      <w:tr>
        <w:trPr>
          <w:cantSplit/>
        </w:trPr>
        <w:tc>
          <w:tcPr>
            <w:tcW w:type="dxa" w:w="1177"/>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Año 8</w:t>
            </w:r>
          </w:p>
        </w:tc>
        <w:tc>
          <w:tcPr>
            <w:tcW w:type="dxa" w:w="1620"/>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0,0</w:t>
            </w:r>
          </w:p>
        </w:tc>
        <w:tc>
          <w:tcPr>
            <w:tcW w:type="dxa" w:w="1246"/>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0,0</w:t>
            </w:r>
          </w:p>
        </w:tc>
        <w:tc>
          <w:tcPr>
            <w:tcW w:type="dxa" w:w="2118"/>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0,0</w:t>
            </w:r>
          </w:p>
        </w:tc>
        <w:tc>
          <w:tcPr>
            <w:tcW w:type="dxa" w:w="1495"/>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0,0</w:t>
            </w:r>
          </w:p>
        </w:tc>
        <w:tc>
          <w:tcPr>
            <w:tcW w:type="dxa" w:w="1370"/>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0,0</w:t>
            </w:r>
          </w:p>
        </w:tc>
      </w:tr>
      <w:tr>
        <w:trPr>
          <w:cantSplit/>
        </w:trPr>
        <w:tc>
          <w:tcPr>
            <w:tcW w:type="dxa" w:w="1177"/>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Año 9</w:t>
            </w:r>
          </w:p>
        </w:tc>
        <w:tc>
          <w:tcPr>
            <w:tcW w:type="dxa" w:w="1620"/>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0,0</w:t>
            </w:r>
          </w:p>
        </w:tc>
        <w:tc>
          <w:tcPr>
            <w:tcW w:type="dxa" w:w="1246"/>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0,0</w:t>
            </w:r>
          </w:p>
        </w:tc>
        <w:tc>
          <w:tcPr>
            <w:tcW w:type="dxa" w:w="2118"/>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0,0</w:t>
            </w:r>
          </w:p>
        </w:tc>
        <w:tc>
          <w:tcPr>
            <w:tcW w:type="dxa" w:w="1495"/>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0,0</w:t>
            </w:r>
          </w:p>
        </w:tc>
        <w:tc>
          <w:tcPr>
            <w:tcW w:type="dxa" w:w="1370"/>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0,0</w:t>
            </w:r>
          </w:p>
        </w:tc>
      </w:tr>
      <w:tr>
        <w:trPr>
          <w:cantSplit/>
        </w:trPr>
        <w:tc>
          <w:tcPr>
            <w:tcW w:type="dxa" w:w="1177"/>
            <w:tcBorders>
              <w:bottom w:val="single" w:color="64748B" w:sz="8"/>
            </w:tcBorders>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Año 10</w:t>
            </w:r>
          </w:p>
        </w:tc>
        <w:tc>
          <w:tcPr>
            <w:tcW w:type="dxa" w:w="1620"/>
            <w:tcBorders>
              <w:bottom w:val="single" w:color="64748B" w:sz="8"/>
            </w:tcBorders>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0,0</w:t>
            </w:r>
          </w:p>
        </w:tc>
        <w:tc>
          <w:tcPr>
            <w:tcW w:type="dxa" w:w="1246"/>
            <w:tcBorders>
              <w:bottom w:val="single" w:color="64748B" w:sz="8"/>
            </w:tcBorders>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0,0</w:t>
            </w:r>
          </w:p>
        </w:tc>
        <w:tc>
          <w:tcPr>
            <w:tcW w:type="dxa" w:w="2118"/>
            <w:tcBorders>
              <w:bottom w:val="single" w:color="64748B" w:sz="8"/>
            </w:tcBorders>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0,0</w:t>
            </w:r>
          </w:p>
        </w:tc>
        <w:tc>
          <w:tcPr>
            <w:tcW w:type="dxa" w:w="1495"/>
            <w:tcBorders>
              <w:bottom w:val="single" w:color="64748B" w:sz="8"/>
            </w:tcBorders>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0,0</w:t>
            </w:r>
          </w:p>
        </w:tc>
        <w:tc>
          <w:tcPr>
            <w:tcW w:type="dxa" w:w="1370"/>
            <w:tcBorders>
              <w:bottom w:val="single" w:color="64748B" w:sz="8"/>
            </w:tcBorders>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0,0</w:t>
            </w:r>
          </w:p>
        </w:tc>
      </w:tr>
    </w:tbl>
    <w:p>
      <w:pPr>
        <w:pStyle w:val="NotaTabla"/>
        <w:keepNext/>
        <w:keepLines/>
        <w:spacing w:after="80" w:before="200"/>
      </w:pPr>
      <w:r>
        <w:rPr>
          <w:rFonts w:ascii="Calibri" w:cs="Calibri" w:eastAsia="Calibri" w:hAnsi="Calibri"/>
          <w:b/>
          <w:bCs/>
          <w:color w:val="1E3A5F"/>
          <w:sz w:val="18"/>
          <w:szCs w:val="18"/>
        </w:rPr>
        <w:t xml:space="preserve">Tabla 14. Depreciación por activo (kUSD; por activo, limitada al importe depreciable; años de muestra y extremos)</w:t>
      </w:r>
    </w:p>
    <w:tbl>
      <w:tblPr>
        <w:tblW w:type="dxa" w:w="9026"/>
        <w:tblBorders>
          <w:top w:val="none" w:color="auto" w:sz="0"/>
          <w:left w:val="none" w:color="auto" w:sz="0"/>
          <w:bottom w:val="none" w:color="auto" w:sz="0"/>
          <w:right w:val="none" w:color="auto" w:sz="0"/>
          <w:insideH w:val="none" w:color="auto" w:sz="0"/>
          <w:insideV w:val="none" w:color="auto" w:sz="0"/>
        </w:tblBorders>
      </w:tblPr>
      <w:tblGrid>
        <w:gridCol w:w="2678"/>
        <w:gridCol w:w="1521"/>
        <w:gridCol w:w="595"/>
        <w:gridCol w:w="727"/>
        <w:gridCol w:w="529"/>
        <w:gridCol w:w="397"/>
        <w:gridCol w:w="397"/>
        <w:gridCol w:w="397"/>
        <w:gridCol w:w="397"/>
        <w:gridCol w:w="397"/>
        <w:gridCol w:w="595"/>
        <w:gridCol w:w="397"/>
      </w:tblGrid>
      <w:tr>
        <w:trPr>
          <w:cantSplit/>
          <w:tblHeader/>
        </w:trPr>
        <w:tc>
          <w:tcPr>
            <w:tcW w:type="dxa" w:w="2678"/>
            <w:tcBorders>
              <w:top w:val="single" w:color="64748B" w:sz="8"/>
              <w:bottom w:val="single" w:color="94A3B8" w:sz="4"/>
            </w:tcBorders>
            <w:shd w:fill="EEF2F7" w:color="auto" w:val="clear"/>
            <w:tcMar>
              <w:top w:type="dxa" w:w="40"/>
              <w:left w:type="dxa" w:w="80"/>
              <w:bottom w:type="dxa" w:w="40"/>
              <w:right w:type="dxa" w:w="80"/>
            </w:tcMar>
          </w:tcPr>
          <w:p>
            <w:pPr>
              <w:jc w:val="left"/>
            </w:pPr>
            <w:r>
              <w:rPr>
                <w:rFonts w:ascii="Calibri" w:cs="Calibri" w:eastAsia="Calibri" w:hAnsi="Calibri"/>
                <w:b/>
                <w:bCs/>
                <w:color w:val="1E3A5F"/>
                <w:sz w:val="17"/>
                <w:szCs w:val="17"/>
              </w:rPr>
              <w:t xml:space="preserve">Activo</w:t>
            </w:r>
          </w:p>
        </w:tc>
        <w:tc>
          <w:tcPr>
            <w:tcW w:type="dxa" w:w="1521"/>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7"/>
                <w:szCs w:val="17"/>
              </w:rPr>
              <w:t xml:space="preserve">Base depreciable (kUSD)</w:t>
            </w:r>
          </w:p>
        </w:tc>
        <w:tc>
          <w:tcPr>
            <w:tcW w:type="dxa" w:w="595"/>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7"/>
                <w:szCs w:val="17"/>
              </w:rPr>
              <w:t xml:space="preserve">Vida útil</w:t>
            </w:r>
          </w:p>
        </w:tc>
        <w:tc>
          <w:tcPr>
            <w:tcW w:type="dxa" w:w="727"/>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7"/>
                <w:szCs w:val="17"/>
              </w:rPr>
              <w:t xml:space="preserve">Disp. desde</w:t>
            </w:r>
          </w:p>
        </w:tc>
        <w:tc>
          <w:tcPr>
            <w:tcW w:type="dxa" w:w="529"/>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7"/>
                <w:szCs w:val="17"/>
              </w:rPr>
              <w:t xml:space="preserve">Residual</w:t>
            </w:r>
          </w:p>
        </w:tc>
        <w:tc>
          <w:tcPr>
            <w:tcW w:type="dxa" w:w="397"/>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7"/>
                <w:szCs w:val="17"/>
              </w:rPr>
              <w:t xml:space="preserve">Año 1</w:t>
            </w:r>
          </w:p>
        </w:tc>
        <w:tc>
          <w:tcPr>
            <w:tcW w:type="dxa" w:w="397"/>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7"/>
                <w:szCs w:val="17"/>
              </w:rPr>
              <w:t xml:space="preserve">Año 2</w:t>
            </w:r>
          </w:p>
        </w:tc>
        <w:tc>
          <w:tcPr>
            <w:tcW w:type="dxa" w:w="397"/>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7"/>
                <w:szCs w:val="17"/>
              </w:rPr>
              <w:t xml:space="preserve">Año 3</w:t>
            </w:r>
          </w:p>
        </w:tc>
        <w:tc>
          <w:tcPr>
            <w:tcW w:type="dxa" w:w="397"/>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7"/>
                <w:szCs w:val="17"/>
              </w:rPr>
              <w:t xml:space="preserve">Año 5</w:t>
            </w:r>
          </w:p>
        </w:tc>
        <w:tc>
          <w:tcPr>
            <w:tcW w:type="dxa" w:w="397"/>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7"/>
                <w:szCs w:val="17"/>
              </w:rPr>
              <w:t xml:space="preserve">Año 10</w:t>
            </w:r>
          </w:p>
        </w:tc>
        <w:tc>
          <w:tcPr>
            <w:tcW w:type="dxa" w:w="595"/>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7"/>
                <w:szCs w:val="17"/>
              </w:rPr>
              <w:t xml:space="preserve">Acumulada</w:t>
            </w:r>
          </w:p>
        </w:tc>
        <w:tc>
          <w:tcPr>
            <w:tcW w:type="dxa" w:w="397"/>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7"/>
                <w:szCs w:val="17"/>
              </w:rPr>
              <w:t xml:space="preserve">VNL</w:t>
            </w:r>
          </w:p>
        </w:tc>
      </w:tr>
      <w:tr>
        <w:trPr>
          <w:cantSplit/>
        </w:trPr>
        <w:tc>
          <w:tcPr>
            <w:tcW w:type="dxa" w:w="2678"/>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Equipamiento clínico (5 sillones e instrumental)</w:t>
            </w:r>
          </w:p>
        </w:tc>
        <w:tc>
          <w:tcPr>
            <w:tcW w:type="dxa" w:w="1521"/>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520,0</w:t>
            </w:r>
          </w:p>
        </w:tc>
        <w:tc>
          <w:tcPr>
            <w:tcW w:type="dxa" w:w="595"/>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10</w:t>
            </w:r>
          </w:p>
        </w:tc>
        <w:tc>
          <w:tcPr>
            <w:tcW w:type="dxa" w:w="727"/>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1</w:t>
            </w:r>
          </w:p>
        </w:tc>
        <w:tc>
          <w:tcPr>
            <w:tcW w:type="dxa" w:w="529"/>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0,0 %</w:t>
            </w:r>
          </w:p>
        </w:tc>
        <w:tc>
          <w:tcPr>
            <w:tcW w:type="dxa" w:w="397"/>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52,0</w:t>
            </w:r>
          </w:p>
        </w:tc>
        <w:tc>
          <w:tcPr>
            <w:tcW w:type="dxa" w:w="397"/>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52,0</w:t>
            </w:r>
          </w:p>
        </w:tc>
        <w:tc>
          <w:tcPr>
            <w:tcW w:type="dxa" w:w="397"/>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52,0</w:t>
            </w:r>
          </w:p>
        </w:tc>
        <w:tc>
          <w:tcPr>
            <w:tcW w:type="dxa" w:w="397"/>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52,0</w:t>
            </w:r>
          </w:p>
        </w:tc>
        <w:tc>
          <w:tcPr>
            <w:tcW w:type="dxa" w:w="397"/>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52,0</w:t>
            </w:r>
          </w:p>
        </w:tc>
        <w:tc>
          <w:tcPr>
            <w:tcW w:type="dxa" w:w="595"/>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520,0</w:t>
            </w:r>
          </w:p>
        </w:tc>
        <w:tc>
          <w:tcPr>
            <w:tcW w:type="dxa" w:w="397"/>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0,0</w:t>
            </w:r>
          </w:p>
        </w:tc>
      </w:tr>
      <w:tr>
        <w:trPr>
          <w:cantSplit/>
        </w:trPr>
        <w:tc>
          <w:tcPr>
            <w:tcW w:type="dxa" w:w="2678"/>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Equipos de imagenología dental (2)</w:t>
            </w:r>
          </w:p>
        </w:tc>
        <w:tc>
          <w:tcPr>
            <w:tcW w:type="dxa" w:w="1521"/>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180,0</w:t>
            </w:r>
          </w:p>
        </w:tc>
        <w:tc>
          <w:tcPr>
            <w:tcW w:type="dxa" w:w="595"/>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10</w:t>
            </w:r>
          </w:p>
        </w:tc>
        <w:tc>
          <w:tcPr>
            <w:tcW w:type="dxa" w:w="727"/>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1</w:t>
            </w:r>
          </w:p>
        </w:tc>
        <w:tc>
          <w:tcPr>
            <w:tcW w:type="dxa" w:w="529"/>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0,0 %</w:t>
            </w:r>
          </w:p>
        </w:tc>
        <w:tc>
          <w:tcPr>
            <w:tcW w:type="dxa" w:w="397"/>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18,0</w:t>
            </w:r>
          </w:p>
        </w:tc>
        <w:tc>
          <w:tcPr>
            <w:tcW w:type="dxa" w:w="397"/>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18,0</w:t>
            </w:r>
          </w:p>
        </w:tc>
        <w:tc>
          <w:tcPr>
            <w:tcW w:type="dxa" w:w="397"/>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18,0</w:t>
            </w:r>
          </w:p>
        </w:tc>
        <w:tc>
          <w:tcPr>
            <w:tcW w:type="dxa" w:w="397"/>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18,0</w:t>
            </w:r>
          </w:p>
        </w:tc>
        <w:tc>
          <w:tcPr>
            <w:tcW w:type="dxa" w:w="397"/>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18,0</w:t>
            </w:r>
          </w:p>
        </w:tc>
        <w:tc>
          <w:tcPr>
            <w:tcW w:type="dxa" w:w="595"/>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180,0</w:t>
            </w:r>
          </w:p>
        </w:tc>
        <w:tc>
          <w:tcPr>
            <w:tcW w:type="dxa" w:w="397"/>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0,0</w:t>
            </w:r>
          </w:p>
        </w:tc>
      </w:tr>
      <w:tr>
        <w:trPr>
          <w:cantSplit/>
        </w:trPr>
        <w:tc>
          <w:tcPr>
            <w:tcW w:type="dxa" w:w="2678"/>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Laboratorio de prótesis</w:t>
            </w:r>
          </w:p>
        </w:tc>
        <w:tc>
          <w:tcPr>
            <w:tcW w:type="dxa" w:w="1521"/>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95,0</w:t>
            </w:r>
          </w:p>
        </w:tc>
        <w:tc>
          <w:tcPr>
            <w:tcW w:type="dxa" w:w="595"/>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10</w:t>
            </w:r>
          </w:p>
        </w:tc>
        <w:tc>
          <w:tcPr>
            <w:tcW w:type="dxa" w:w="727"/>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1</w:t>
            </w:r>
          </w:p>
        </w:tc>
        <w:tc>
          <w:tcPr>
            <w:tcW w:type="dxa" w:w="529"/>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0,0 %</w:t>
            </w:r>
          </w:p>
        </w:tc>
        <w:tc>
          <w:tcPr>
            <w:tcW w:type="dxa" w:w="397"/>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9,5</w:t>
            </w:r>
          </w:p>
        </w:tc>
        <w:tc>
          <w:tcPr>
            <w:tcW w:type="dxa" w:w="397"/>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9,5</w:t>
            </w:r>
          </w:p>
        </w:tc>
        <w:tc>
          <w:tcPr>
            <w:tcW w:type="dxa" w:w="397"/>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9,5</w:t>
            </w:r>
          </w:p>
        </w:tc>
        <w:tc>
          <w:tcPr>
            <w:tcW w:type="dxa" w:w="397"/>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9,5</w:t>
            </w:r>
          </w:p>
        </w:tc>
        <w:tc>
          <w:tcPr>
            <w:tcW w:type="dxa" w:w="397"/>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9,5</w:t>
            </w:r>
          </w:p>
        </w:tc>
        <w:tc>
          <w:tcPr>
            <w:tcW w:type="dxa" w:w="595"/>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95,0</w:t>
            </w:r>
          </w:p>
        </w:tc>
        <w:tc>
          <w:tcPr>
            <w:tcW w:type="dxa" w:w="397"/>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0,0</w:t>
            </w:r>
          </w:p>
        </w:tc>
      </w:tr>
      <w:tr>
        <w:trPr>
          <w:cantSplit/>
        </w:trPr>
        <w:tc>
          <w:tcPr>
            <w:tcW w:type="dxa" w:w="2678"/>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Equipamiento de esterilización y compresores</w:t>
            </w:r>
          </w:p>
        </w:tc>
        <w:tc>
          <w:tcPr>
            <w:tcW w:type="dxa" w:w="1521"/>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85,0</w:t>
            </w:r>
          </w:p>
        </w:tc>
        <w:tc>
          <w:tcPr>
            <w:tcW w:type="dxa" w:w="595"/>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10</w:t>
            </w:r>
          </w:p>
        </w:tc>
        <w:tc>
          <w:tcPr>
            <w:tcW w:type="dxa" w:w="727"/>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1</w:t>
            </w:r>
          </w:p>
        </w:tc>
        <w:tc>
          <w:tcPr>
            <w:tcW w:type="dxa" w:w="529"/>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0,0 %</w:t>
            </w:r>
          </w:p>
        </w:tc>
        <w:tc>
          <w:tcPr>
            <w:tcW w:type="dxa" w:w="397"/>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8,5</w:t>
            </w:r>
          </w:p>
        </w:tc>
        <w:tc>
          <w:tcPr>
            <w:tcW w:type="dxa" w:w="397"/>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8,5</w:t>
            </w:r>
          </w:p>
        </w:tc>
        <w:tc>
          <w:tcPr>
            <w:tcW w:type="dxa" w:w="397"/>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8,5</w:t>
            </w:r>
          </w:p>
        </w:tc>
        <w:tc>
          <w:tcPr>
            <w:tcW w:type="dxa" w:w="397"/>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8,5</w:t>
            </w:r>
          </w:p>
        </w:tc>
        <w:tc>
          <w:tcPr>
            <w:tcW w:type="dxa" w:w="397"/>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8,5</w:t>
            </w:r>
          </w:p>
        </w:tc>
        <w:tc>
          <w:tcPr>
            <w:tcW w:type="dxa" w:w="595"/>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85,0</w:t>
            </w:r>
          </w:p>
        </w:tc>
        <w:tc>
          <w:tcPr>
            <w:tcW w:type="dxa" w:w="397"/>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0,0</w:t>
            </w:r>
          </w:p>
        </w:tc>
      </w:tr>
      <w:tr>
        <w:trPr>
          <w:cantSplit/>
        </w:trPr>
        <w:tc>
          <w:tcPr>
            <w:tcW w:type="dxa" w:w="2678"/>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Mobiliario clínico y de oficina</w:t>
            </w:r>
          </w:p>
        </w:tc>
        <w:tc>
          <w:tcPr>
            <w:tcW w:type="dxa" w:w="1521"/>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60,0</w:t>
            </w:r>
          </w:p>
        </w:tc>
        <w:tc>
          <w:tcPr>
            <w:tcW w:type="dxa" w:w="595"/>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8</w:t>
            </w:r>
          </w:p>
        </w:tc>
        <w:tc>
          <w:tcPr>
            <w:tcW w:type="dxa" w:w="727"/>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1</w:t>
            </w:r>
          </w:p>
        </w:tc>
        <w:tc>
          <w:tcPr>
            <w:tcW w:type="dxa" w:w="529"/>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0,0 %</w:t>
            </w:r>
          </w:p>
        </w:tc>
        <w:tc>
          <w:tcPr>
            <w:tcW w:type="dxa" w:w="397"/>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7,5</w:t>
            </w:r>
          </w:p>
        </w:tc>
        <w:tc>
          <w:tcPr>
            <w:tcW w:type="dxa" w:w="397"/>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7,5</w:t>
            </w:r>
          </w:p>
        </w:tc>
        <w:tc>
          <w:tcPr>
            <w:tcW w:type="dxa" w:w="397"/>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7,5</w:t>
            </w:r>
          </w:p>
        </w:tc>
        <w:tc>
          <w:tcPr>
            <w:tcW w:type="dxa" w:w="397"/>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7,5</w:t>
            </w:r>
          </w:p>
        </w:tc>
        <w:tc>
          <w:tcPr>
            <w:tcW w:type="dxa" w:w="397"/>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0,0</w:t>
            </w:r>
          </w:p>
        </w:tc>
        <w:tc>
          <w:tcPr>
            <w:tcW w:type="dxa" w:w="595"/>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60,0</w:t>
            </w:r>
          </w:p>
        </w:tc>
        <w:tc>
          <w:tcPr>
            <w:tcW w:type="dxa" w:w="397"/>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0,0</w:t>
            </w:r>
          </w:p>
        </w:tc>
      </w:tr>
      <w:tr>
        <w:trPr>
          <w:cantSplit/>
        </w:trPr>
        <w:tc>
          <w:tcPr>
            <w:tcW w:type="dxa" w:w="2678"/>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Informática y software de gestión clínica</w:t>
            </w:r>
          </w:p>
        </w:tc>
        <w:tc>
          <w:tcPr>
            <w:tcW w:type="dxa" w:w="1521"/>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35,0</w:t>
            </w:r>
          </w:p>
        </w:tc>
        <w:tc>
          <w:tcPr>
            <w:tcW w:type="dxa" w:w="595"/>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5</w:t>
            </w:r>
          </w:p>
        </w:tc>
        <w:tc>
          <w:tcPr>
            <w:tcW w:type="dxa" w:w="727"/>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1</w:t>
            </w:r>
          </w:p>
        </w:tc>
        <w:tc>
          <w:tcPr>
            <w:tcW w:type="dxa" w:w="529"/>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0,0 %</w:t>
            </w:r>
          </w:p>
        </w:tc>
        <w:tc>
          <w:tcPr>
            <w:tcW w:type="dxa" w:w="397"/>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7,0</w:t>
            </w:r>
          </w:p>
        </w:tc>
        <w:tc>
          <w:tcPr>
            <w:tcW w:type="dxa" w:w="397"/>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7,0</w:t>
            </w:r>
          </w:p>
        </w:tc>
        <w:tc>
          <w:tcPr>
            <w:tcW w:type="dxa" w:w="397"/>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7,0</w:t>
            </w:r>
          </w:p>
        </w:tc>
        <w:tc>
          <w:tcPr>
            <w:tcW w:type="dxa" w:w="397"/>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7,0</w:t>
            </w:r>
          </w:p>
        </w:tc>
        <w:tc>
          <w:tcPr>
            <w:tcW w:type="dxa" w:w="397"/>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0,0</w:t>
            </w:r>
          </w:p>
        </w:tc>
        <w:tc>
          <w:tcPr>
            <w:tcW w:type="dxa" w:w="595"/>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35,0</w:t>
            </w:r>
          </w:p>
        </w:tc>
        <w:tc>
          <w:tcPr>
            <w:tcW w:type="dxa" w:w="397"/>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0,0</w:t>
            </w:r>
          </w:p>
        </w:tc>
      </w:tr>
      <w:tr>
        <w:trPr>
          <w:cantSplit/>
        </w:trPr>
        <w:tc>
          <w:tcPr>
            <w:tcW w:type="dxa" w:w="2678"/>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Adecuación y montaje de instalaciones</w:t>
            </w:r>
          </w:p>
        </w:tc>
        <w:tc>
          <w:tcPr>
            <w:tcW w:type="dxa" w:w="1521"/>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180,0</w:t>
            </w:r>
          </w:p>
        </w:tc>
        <w:tc>
          <w:tcPr>
            <w:tcW w:type="dxa" w:w="595"/>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20</w:t>
            </w:r>
          </w:p>
        </w:tc>
        <w:tc>
          <w:tcPr>
            <w:tcW w:type="dxa" w:w="727"/>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1</w:t>
            </w:r>
          </w:p>
        </w:tc>
        <w:tc>
          <w:tcPr>
            <w:tcW w:type="dxa" w:w="529"/>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0,0 %</w:t>
            </w:r>
          </w:p>
        </w:tc>
        <w:tc>
          <w:tcPr>
            <w:tcW w:type="dxa" w:w="397"/>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9,0</w:t>
            </w:r>
          </w:p>
        </w:tc>
        <w:tc>
          <w:tcPr>
            <w:tcW w:type="dxa" w:w="397"/>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9,0</w:t>
            </w:r>
          </w:p>
        </w:tc>
        <w:tc>
          <w:tcPr>
            <w:tcW w:type="dxa" w:w="397"/>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9,0</w:t>
            </w:r>
          </w:p>
        </w:tc>
        <w:tc>
          <w:tcPr>
            <w:tcW w:type="dxa" w:w="397"/>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9,0</w:t>
            </w:r>
          </w:p>
        </w:tc>
        <w:tc>
          <w:tcPr>
            <w:tcW w:type="dxa" w:w="397"/>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9,0</w:t>
            </w:r>
          </w:p>
        </w:tc>
        <w:tc>
          <w:tcPr>
            <w:tcW w:type="dxa" w:w="595"/>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90,0</w:t>
            </w:r>
          </w:p>
        </w:tc>
        <w:tc>
          <w:tcPr>
            <w:tcW w:type="dxa" w:w="397"/>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90,0</w:t>
            </w:r>
          </w:p>
        </w:tc>
      </w:tr>
      <w:tr>
        <w:trPr>
          <w:cantSplit/>
        </w:trPr>
        <w:tc>
          <w:tcPr>
            <w:tcW w:type="dxa" w:w="2678"/>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Vehículos (ver desglose)</w:t>
            </w:r>
          </w:p>
        </w:tc>
        <w:tc>
          <w:tcPr>
            <w:tcW w:type="dxa" w:w="1521"/>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45,0</w:t>
            </w:r>
          </w:p>
        </w:tc>
        <w:tc>
          <w:tcPr>
            <w:tcW w:type="dxa" w:w="595"/>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8</w:t>
            </w:r>
          </w:p>
        </w:tc>
        <w:tc>
          <w:tcPr>
            <w:tcW w:type="dxa" w:w="727"/>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1</w:t>
            </w:r>
          </w:p>
        </w:tc>
        <w:tc>
          <w:tcPr>
            <w:tcW w:type="dxa" w:w="529"/>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0,0 %</w:t>
            </w:r>
          </w:p>
        </w:tc>
        <w:tc>
          <w:tcPr>
            <w:tcW w:type="dxa" w:w="397"/>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5,6</w:t>
            </w:r>
          </w:p>
        </w:tc>
        <w:tc>
          <w:tcPr>
            <w:tcW w:type="dxa" w:w="397"/>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5,6</w:t>
            </w:r>
          </w:p>
        </w:tc>
        <w:tc>
          <w:tcPr>
            <w:tcW w:type="dxa" w:w="397"/>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5,6</w:t>
            </w:r>
          </w:p>
        </w:tc>
        <w:tc>
          <w:tcPr>
            <w:tcW w:type="dxa" w:w="397"/>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5,6</w:t>
            </w:r>
          </w:p>
        </w:tc>
        <w:tc>
          <w:tcPr>
            <w:tcW w:type="dxa" w:w="397"/>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0,0</w:t>
            </w:r>
          </w:p>
        </w:tc>
        <w:tc>
          <w:tcPr>
            <w:tcW w:type="dxa" w:w="595"/>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45,0</w:t>
            </w:r>
          </w:p>
        </w:tc>
        <w:tc>
          <w:tcPr>
            <w:tcW w:type="dxa" w:w="397"/>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0,0</w:t>
            </w:r>
          </w:p>
        </w:tc>
      </w:tr>
      <w:tr>
        <w:trPr>
          <w:cantSplit/>
        </w:trPr>
        <w:tc>
          <w:tcPr>
            <w:tcW w:type="dxa" w:w="2678"/>
            <w:tcBorders>
              <w:bottom w:val="single" w:color="64748B" w:sz="8"/>
            </w:tcBorders>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Ampliación de Gabinetes de atención (sillones) (+2 uds., año 7)</w:t>
            </w:r>
          </w:p>
        </w:tc>
        <w:tc>
          <w:tcPr>
            <w:tcW w:type="dxa" w:w="1521"/>
            <w:tcBorders>
              <w:bottom w:val="single" w:color="64748B" w:sz="8"/>
            </w:tcBorders>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150,0</w:t>
            </w:r>
          </w:p>
        </w:tc>
        <w:tc>
          <w:tcPr>
            <w:tcW w:type="dxa" w:w="595"/>
            <w:tcBorders>
              <w:bottom w:val="single" w:color="64748B" w:sz="8"/>
            </w:tcBorders>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10</w:t>
            </w:r>
          </w:p>
        </w:tc>
        <w:tc>
          <w:tcPr>
            <w:tcW w:type="dxa" w:w="727"/>
            <w:tcBorders>
              <w:bottom w:val="single" w:color="64748B" w:sz="8"/>
            </w:tcBorders>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7</w:t>
            </w:r>
          </w:p>
        </w:tc>
        <w:tc>
          <w:tcPr>
            <w:tcW w:type="dxa" w:w="529"/>
            <w:tcBorders>
              <w:bottom w:val="single" w:color="64748B" w:sz="8"/>
            </w:tcBorders>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0,0 %</w:t>
            </w:r>
          </w:p>
        </w:tc>
        <w:tc>
          <w:tcPr>
            <w:tcW w:type="dxa" w:w="397"/>
            <w:tcBorders>
              <w:bottom w:val="single" w:color="64748B" w:sz="8"/>
            </w:tcBorders>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0,0</w:t>
            </w:r>
          </w:p>
        </w:tc>
        <w:tc>
          <w:tcPr>
            <w:tcW w:type="dxa" w:w="397"/>
            <w:tcBorders>
              <w:bottom w:val="single" w:color="64748B" w:sz="8"/>
            </w:tcBorders>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0,0</w:t>
            </w:r>
          </w:p>
        </w:tc>
        <w:tc>
          <w:tcPr>
            <w:tcW w:type="dxa" w:w="397"/>
            <w:tcBorders>
              <w:bottom w:val="single" w:color="64748B" w:sz="8"/>
            </w:tcBorders>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0,0</w:t>
            </w:r>
          </w:p>
        </w:tc>
        <w:tc>
          <w:tcPr>
            <w:tcW w:type="dxa" w:w="397"/>
            <w:tcBorders>
              <w:bottom w:val="single" w:color="64748B" w:sz="8"/>
            </w:tcBorders>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0,0</w:t>
            </w:r>
          </w:p>
        </w:tc>
        <w:tc>
          <w:tcPr>
            <w:tcW w:type="dxa" w:w="397"/>
            <w:tcBorders>
              <w:bottom w:val="single" w:color="64748B" w:sz="8"/>
            </w:tcBorders>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15,0</w:t>
            </w:r>
          </w:p>
        </w:tc>
        <w:tc>
          <w:tcPr>
            <w:tcW w:type="dxa" w:w="595"/>
            <w:tcBorders>
              <w:bottom w:val="single" w:color="64748B" w:sz="8"/>
            </w:tcBorders>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60,0</w:t>
            </w:r>
          </w:p>
        </w:tc>
        <w:tc>
          <w:tcPr>
            <w:tcW w:type="dxa" w:w="397"/>
            <w:tcBorders>
              <w:bottom w:val="single" w:color="64748B" w:sz="8"/>
            </w:tcBorders>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90,0</w:t>
            </w:r>
          </w:p>
        </w:tc>
      </w:tr>
    </w:tbl>
    <w:p>
      <w:pPr>
        <w:pStyle w:val="AnalisisPlanex"/>
        <w:pBdr>
          <w:left w:val="single" w:color="B45309" w:sz="18" w:space="4"/>
        </w:pBdr>
        <w:shd w:fill="FFF7E6" w:color="auto" w:val="clear"/>
        <w:spacing w:after="20" w:before="160"/>
      </w:pPr>
      <w:r>
        <w:rPr>
          <w:rFonts w:ascii="Calibri" w:cs="Calibri" w:eastAsia="Calibri" w:hAnsi="Calibri"/>
          <w:b/>
          <w:bCs/>
          <w:color w:val="B45309"/>
          <w:sz w:val="18"/>
          <w:szCs w:val="18"/>
        </w:rPr>
        <w:t xml:space="preserve">Análisis de deuda y depreciación</w:t>
      </w:r>
      <w:r>
        <w:rPr>
          <w:rFonts w:ascii="Calibri" w:cs="Calibri" w:eastAsia="Calibri" w:hAnsi="Calibri"/>
          <w:color w:val="8C6428"/>
          <w:sz w:val="14"/>
          <w:szCs w:val="14"/>
        </w:rPr>
        <w:t xml:space="preserve">  ·  ANÁLISIS GENERADO POR EL MODELO</w:t>
      </w:r>
    </w:p>
    <w:p>
      <w:pPr>
        <w:pStyle w:val="AnalisisCuerpo"/>
        <w:pBdr>
          <w:left w:val="single" w:color="B45309" w:sz="18" w:space="4"/>
          <w:bottom w:val="single" w:color="FFF7E6" w:sz="2" w:space="1"/>
        </w:pBdr>
        <w:shd w:fill="FFF7E6" w:color="auto" w:val="clear"/>
        <w:spacing w:after="160" w:before="0"/>
        <w:jc w:val="both"/>
        <w:sectPr>
          <w:headerReference w:type="default" r:id="rId8"/>
          <w:footerReference w:type="default" r:id="rId9"/>
          <w:pgSz w:w="11906" w:h="16838" w:orient="portrait"/>
          <w:pgMar w:top="1440" w:right="1440" w:bottom="1440" w:left="1440" w:header="708" w:footer="708" w:gutter="0"/>
          <w:pgNumType/>
          <w:docGrid w:linePitch="360"/>
        </w:sectPr>
      </w:pPr>
      <w:r>
        <w:rPr>
          <w:rFonts w:ascii="Calibri" w:cs="Calibri" w:eastAsia="Calibri" w:hAnsi="Calibri"/>
          <w:color w:val="334155"/>
          <w:sz w:val="18"/>
          <w:szCs w:val="18"/>
        </w:rPr>
        <w:t xml:space="preserve">El crédito de 300,0 miles de USD se desembolsa en el año 0 con tasa del 8,0 %, gracia de 1 año(s) de tipo de principal (los intereses se pagan corriente) y amortización por capital constante en 5 anualidades. A lo largo del horizonte se devengan 96,0 miles de USD de intereses y se amortizan 300,0; el saldo pendiente al cierre del horizonte es 0,0 kUSD. La tabla de deuda verifica saldo final = saldo inicial + desembolso + capitalización - amortización en cada período y ningún período amortiza por encima del saldo. El servicio máximo de la deuda (interés pagado + amortización) es 84,0 kUSD en el año 2: compárelo con el flujo de caja del proyecto del mismo año (417,0 kUSD) para valorar el margen de cobertura. Los flujos del proyecto reincorporan el interés DESPUÉS DE IMPUESTOS: del interés devengado total (96,0 kUSD), el escudo fiscal deducido del impuesto asciende a 33,6 kUSD y solo 62,4 kUSD vuelven al FCFF. El FCFE restituye ese escudo (los socios sí lo disfrutan vía menor impuesto), de modo que FCFF y FCFE reconcilian: FCFF - FCFE = intereses pagados - escudo - desembolsos + amortizaciones. El registro de activos depreciables contiene 9 activo(s). La depreciación anual total es 117,1 miles de USD en el año 1 y alcanza su máximo (125,1) en el año 7; cada activo deprecia desde su año de disponibilidad, respeta su vida útil y nunca supera su importe depreciable. 2 activo(s) quedan con valor neto en libros al final del horizonte (p. ej. «Adecuación y montaje de instalaciones» con 90,0 kUSD): el plan debe declarar el tratamiento de ese valor residual al cierre. La depreciación es un gasto no monetario: reduce la utilidad contable pero el flujo de caja la reincorpora una sola vez; las amortizaciones del principal, en cambio, son salidas de caja del financiador y no gasto del estado de resultados.</w:t>
      </w:r>
    </w:p>
    <w:p>
      <w:pPr>
        <w:pStyle w:val="NotaTabla"/>
        <w:keepNext/>
        <w:keepLines/>
        <w:spacing w:after="80" w:before="200"/>
      </w:pPr>
      <w:r>
        <w:rPr>
          <w:rFonts w:ascii="Calibri" w:cs="Calibri" w:eastAsia="Calibri" w:hAnsi="Calibri"/>
          <w:b/>
          <w:bCs/>
          <w:color w:val="1E3A5F"/>
          <w:sz w:val="18"/>
          <w:szCs w:val="18"/>
        </w:rPr>
        <w:t xml:space="preserve">Tabla 15. Proyección de ingresos, costos y utilidades (miles de USD)</w:t>
      </w:r>
    </w:p>
    <w:tbl>
      <w:tblPr>
        <w:tblW w:type="dxa" w:w="13958"/>
        <w:tblBorders>
          <w:top w:val="none" w:color="auto" w:sz="0"/>
          <w:left w:val="none" w:color="auto" w:sz="0"/>
          <w:bottom w:val="none" w:color="auto" w:sz="0"/>
          <w:right w:val="none" w:color="auto" w:sz="0"/>
          <w:insideH w:val="none" w:color="auto" w:sz="0"/>
          <w:insideV w:val="none" w:color="auto" w:sz="0"/>
        </w:tblBorders>
      </w:tblPr>
      <w:tblGrid>
        <w:gridCol w:w="4365"/>
        <w:gridCol w:w="647"/>
        <w:gridCol w:w="647"/>
        <w:gridCol w:w="647"/>
        <w:gridCol w:w="754"/>
        <w:gridCol w:w="754"/>
        <w:gridCol w:w="754"/>
        <w:gridCol w:w="754"/>
        <w:gridCol w:w="754"/>
        <w:gridCol w:w="754"/>
        <w:gridCol w:w="754"/>
        <w:gridCol w:w="754"/>
        <w:gridCol w:w="754"/>
        <w:gridCol w:w="862"/>
      </w:tblGrid>
      <w:tr>
        <w:trPr>
          <w:cantSplit/>
          <w:tblHeader/>
        </w:trPr>
        <w:tc>
          <w:tcPr>
            <w:tcW w:type="dxa" w:w="4365"/>
            <w:tcBorders>
              <w:top w:val="single" w:color="64748B" w:sz="8"/>
              <w:bottom w:val="single" w:color="94A3B8" w:sz="4"/>
            </w:tcBorders>
            <w:shd w:fill="EEF2F7" w:color="auto" w:val="clear"/>
            <w:tcMar>
              <w:top w:type="dxa" w:w="40"/>
              <w:left w:type="dxa" w:w="80"/>
              <w:bottom w:type="dxa" w:w="40"/>
              <w:right w:type="dxa" w:w="80"/>
            </w:tcMar>
          </w:tcPr>
          <w:p>
            <w:pPr>
              <w:jc w:val="left"/>
            </w:pPr>
            <w:r>
              <w:rPr>
                <w:rFonts w:ascii="Calibri" w:cs="Calibri" w:eastAsia="Calibri" w:hAnsi="Calibri"/>
                <w:b/>
                <w:bCs/>
                <w:color w:val="1E3A5F"/>
                <w:sz w:val="15"/>
                <w:szCs w:val="15"/>
              </w:rPr>
              <w:t xml:space="preserve">Concepto</w:t>
            </w:r>
          </w:p>
        </w:tc>
        <w:tc>
          <w:tcPr>
            <w:tcW w:type="dxa" w:w="647"/>
            <w:tcBorders>
              <w:top w:val="single" w:color="64748B" w:sz="8"/>
              <w:bottom w:val="single" w:color="94A3B8" w:sz="4"/>
            </w:tcBorders>
            <w:shd w:fill="EEF2F7" w:color="auto" w:val="clear"/>
            <w:tcMar>
              <w:top w:type="dxa" w:w="40"/>
              <w:left w:type="dxa" w:w="80"/>
              <w:bottom w:type="dxa" w:w="40"/>
              <w:right w:type="dxa" w:w="80"/>
            </w:tcMar>
          </w:tcPr>
          <w:p>
            <w:pPr>
              <w:jc w:val="left"/>
            </w:pPr>
            <w:r>
              <w:rPr>
                <w:rFonts w:ascii="Calibri" w:cs="Calibri" w:eastAsia="Calibri" w:hAnsi="Calibri"/>
                <w:b/>
                <w:bCs/>
                <w:color w:val="1E3A5F"/>
                <w:sz w:val="15"/>
                <w:szCs w:val="15"/>
              </w:rPr>
              <w:t xml:space="preserve">Unidad</w:t>
            </w:r>
          </w:p>
        </w:tc>
        <w:tc>
          <w:tcPr>
            <w:tcW w:type="dxa" w:w="647"/>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5"/>
                <w:szCs w:val="15"/>
              </w:rPr>
              <w:t xml:space="preserve">Año 0</w:t>
            </w:r>
          </w:p>
        </w:tc>
        <w:tc>
          <w:tcPr>
            <w:tcW w:type="dxa" w:w="647"/>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5"/>
                <w:szCs w:val="15"/>
              </w:rPr>
              <w:t xml:space="preserve">Año 1</w:t>
            </w:r>
          </w:p>
        </w:tc>
        <w:tc>
          <w:tcPr>
            <w:tcW w:type="dxa" w:w="754"/>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5"/>
                <w:szCs w:val="15"/>
              </w:rPr>
              <w:t xml:space="preserve">Año 2</w:t>
            </w:r>
          </w:p>
        </w:tc>
        <w:tc>
          <w:tcPr>
            <w:tcW w:type="dxa" w:w="754"/>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5"/>
                <w:szCs w:val="15"/>
              </w:rPr>
              <w:t xml:space="preserve">Año 3</w:t>
            </w:r>
          </w:p>
        </w:tc>
        <w:tc>
          <w:tcPr>
            <w:tcW w:type="dxa" w:w="754"/>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5"/>
                <w:szCs w:val="15"/>
              </w:rPr>
              <w:t xml:space="preserve">Año 4</w:t>
            </w:r>
          </w:p>
        </w:tc>
        <w:tc>
          <w:tcPr>
            <w:tcW w:type="dxa" w:w="754"/>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5"/>
                <w:szCs w:val="15"/>
              </w:rPr>
              <w:t xml:space="preserve">Año 5</w:t>
            </w:r>
          </w:p>
        </w:tc>
        <w:tc>
          <w:tcPr>
            <w:tcW w:type="dxa" w:w="754"/>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5"/>
                <w:szCs w:val="15"/>
              </w:rPr>
              <w:t xml:space="preserve">Año 6</w:t>
            </w:r>
          </w:p>
        </w:tc>
        <w:tc>
          <w:tcPr>
            <w:tcW w:type="dxa" w:w="754"/>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5"/>
                <w:szCs w:val="15"/>
              </w:rPr>
              <w:t xml:space="preserve">Año 7</w:t>
            </w:r>
          </w:p>
        </w:tc>
        <w:tc>
          <w:tcPr>
            <w:tcW w:type="dxa" w:w="754"/>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5"/>
                <w:szCs w:val="15"/>
              </w:rPr>
              <w:t xml:space="preserve">Año 8</w:t>
            </w:r>
          </w:p>
        </w:tc>
        <w:tc>
          <w:tcPr>
            <w:tcW w:type="dxa" w:w="754"/>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5"/>
                <w:szCs w:val="15"/>
              </w:rPr>
              <w:t xml:space="preserve">Año 9</w:t>
            </w:r>
          </w:p>
        </w:tc>
        <w:tc>
          <w:tcPr>
            <w:tcW w:type="dxa" w:w="754"/>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5"/>
                <w:szCs w:val="15"/>
              </w:rPr>
              <w:t xml:space="preserve">Año 10</w:t>
            </w:r>
          </w:p>
        </w:tc>
        <w:tc>
          <w:tcPr>
            <w:tcW w:type="dxa" w:w="862"/>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5"/>
                <w:szCs w:val="15"/>
              </w:rPr>
              <w:t xml:space="preserve">Total</w:t>
            </w:r>
          </w:p>
        </w:tc>
      </w:tr>
      <w:tr>
        <w:trPr>
          <w:cantSplit/>
        </w:trPr>
        <w:tc>
          <w:tcPr>
            <w:tcW w:type="dxa" w:w="4365"/>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Ingresos por servicios</w:t>
            </w:r>
          </w:p>
        </w:tc>
        <w:tc>
          <w:tcPr>
            <w:tcW w:type="dxa" w:w="647"/>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kUSD</w:t>
            </w:r>
          </w:p>
        </w:tc>
        <w:tc>
          <w:tcPr>
            <w:tcW w:type="dxa" w:w="64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64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967,8</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1.046,7</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1.132,0</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1.224,2</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1.324,0</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1.431,9</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1.548,6</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1.674,8</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1.811,3</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1.959,0</w:t>
            </w:r>
          </w:p>
        </w:tc>
        <w:tc>
          <w:tcPr>
            <w:tcW w:type="dxa" w:w="86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14.120,4</w:t>
            </w:r>
          </w:p>
        </w:tc>
      </w:tr>
      <w:tr>
        <w:trPr>
          <w:cantSplit/>
        </w:trPr>
        <w:tc>
          <w:tcPr>
            <w:tcW w:type="dxa" w:w="4365"/>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Otros ingresos</w:t>
            </w:r>
          </w:p>
        </w:tc>
        <w:tc>
          <w:tcPr>
            <w:tcW w:type="dxa" w:w="647"/>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kUSD</w:t>
            </w:r>
          </w:p>
        </w:tc>
        <w:tc>
          <w:tcPr>
            <w:tcW w:type="dxa" w:w="64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64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86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r>
      <w:tr>
        <w:trPr>
          <w:cantSplit/>
        </w:trPr>
        <w:tc>
          <w:tcPr>
            <w:tcW w:type="dxa" w:w="4365"/>
            <w:tcBorders>
              <w:top w:val="single" w:color="94A3B8" w:sz="4"/>
            </w:tcBorders>
            <w:tcMar>
              <w:top w:type="dxa" w:w="40"/>
              <w:left w:type="dxa" w:w="80"/>
              <w:bottom w:type="dxa" w:w="40"/>
              <w:right w:type="dxa" w:w="80"/>
            </w:tcMar>
          </w:tcPr>
          <w:p>
            <w:pPr>
              <w:jc w:val="left"/>
            </w:pPr>
            <w:r>
              <w:rPr>
                <w:rFonts w:ascii="Calibri" w:cs="Calibri" w:eastAsia="Calibri" w:hAnsi="Calibri"/>
                <w:b/>
                <w:bCs/>
                <w:color w:val="334155"/>
                <w:sz w:val="15"/>
                <w:szCs w:val="15"/>
              </w:rPr>
              <w:t xml:space="preserve">INGRESOS TOTALES</w:t>
            </w:r>
          </w:p>
        </w:tc>
        <w:tc>
          <w:tcPr>
            <w:tcW w:type="dxa" w:w="647"/>
            <w:tcBorders>
              <w:top w:val="single" w:color="94A3B8" w:sz="4"/>
            </w:tcBorders>
            <w:tcMar>
              <w:top w:type="dxa" w:w="40"/>
              <w:left w:type="dxa" w:w="80"/>
              <w:bottom w:type="dxa" w:w="40"/>
              <w:right w:type="dxa" w:w="80"/>
            </w:tcMar>
          </w:tcPr>
          <w:p>
            <w:pPr>
              <w:jc w:val="left"/>
            </w:pPr>
            <w:r>
              <w:rPr>
                <w:rFonts w:ascii="Calibri" w:cs="Calibri" w:eastAsia="Calibri" w:hAnsi="Calibri"/>
                <w:b/>
                <w:bCs/>
                <w:color w:val="334155"/>
                <w:sz w:val="15"/>
                <w:szCs w:val="15"/>
              </w:rPr>
              <w:t xml:space="preserve">kUSD</w:t>
            </w:r>
          </w:p>
        </w:tc>
        <w:tc>
          <w:tcPr>
            <w:tcW w:type="dxa" w:w="647"/>
            <w:tcBorders>
              <w:top w:val="single" w:color="94A3B8" w:sz="4"/>
            </w:tcBorders>
            <w:tcMar>
              <w:top w:type="dxa" w:w="40"/>
              <w:left w:type="dxa" w:w="80"/>
              <w:bottom w:type="dxa" w:w="40"/>
              <w:right w:type="dxa" w:w="80"/>
            </w:tcMar>
          </w:tcPr>
          <w:p>
            <w:pPr>
              <w:jc w:val="right"/>
            </w:pPr>
            <w:r>
              <w:rPr>
                <w:rFonts w:ascii="Calibri" w:cs="Calibri" w:eastAsia="Calibri" w:hAnsi="Calibri"/>
                <w:b/>
                <w:bCs/>
                <w:color w:val="334155"/>
                <w:sz w:val="15"/>
                <w:szCs w:val="15"/>
              </w:rPr>
              <w:t xml:space="preserve">0,0</w:t>
            </w:r>
          </w:p>
        </w:tc>
        <w:tc>
          <w:tcPr>
            <w:tcW w:type="dxa" w:w="647"/>
            <w:tcBorders>
              <w:top w:val="single" w:color="94A3B8" w:sz="4"/>
            </w:tcBorders>
            <w:tcMar>
              <w:top w:type="dxa" w:w="40"/>
              <w:left w:type="dxa" w:w="80"/>
              <w:bottom w:type="dxa" w:w="40"/>
              <w:right w:type="dxa" w:w="80"/>
            </w:tcMar>
          </w:tcPr>
          <w:p>
            <w:pPr>
              <w:jc w:val="right"/>
            </w:pPr>
            <w:r>
              <w:rPr>
                <w:rFonts w:ascii="Calibri" w:cs="Calibri" w:eastAsia="Calibri" w:hAnsi="Calibri"/>
                <w:b/>
                <w:bCs/>
                <w:color w:val="334155"/>
                <w:sz w:val="15"/>
                <w:szCs w:val="15"/>
              </w:rPr>
              <w:t xml:space="preserve">967,8</w:t>
            </w:r>
          </w:p>
        </w:tc>
        <w:tc>
          <w:tcPr>
            <w:tcW w:type="dxa" w:w="754"/>
            <w:tcBorders>
              <w:top w:val="single" w:color="94A3B8" w:sz="4"/>
            </w:tcBorders>
            <w:tcMar>
              <w:top w:type="dxa" w:w="40"/>
              <w:left w:type="dxa" w:w="80"/>
              <w:bottom w:type="dxa" w:w="40"/>
              <w:right w:type="dxa" w:w="80"/>
            </w:tcMar>
          </w:tcPr>
          <w:p>
            <w:pPr>
              <w:jc w:val="right"/>
            </w:pPr>
            <w:r>
              <w:rPr>
                <w:rFonts w:ascii="Calibri" w:cs="Calibri" w:eastAsia="Calibri" w:hAnsi="Calibri"/>
                <w:b/>
                <w:bCs/>
                <w:color w:val="334155"/>
                <w:sz w:val="15"/>
                <w:szCs w:val="15"/>
              </w:rPr>
              <w:t xml:space="preserve">1.046,7</w:t>
            </w:r>
          </w:p>
        </w:tc>
        <w:tc>
          <w:tcPr>
            <w:tcW w:type="dxa" w:w="754"/>
            <w:tcBorders>
              <w:top w:val="single" w:color="94A3B8" w:sz="4"/>
            </w:tcBorders>
            <w:tcMar>
              <w:top w:type="dxa" w:w="40"/>
              <w:left w:type="dxa" w:w="80"/>
              <w:bottom w:type="dxa" w:w="40"/>
              <w:right w:type="dxa" w:w="80"/>
            </w:tcMar>
          </w:tcPr>
          <w:p>
            <w:pPr>
              <w:jc w:val="right"/>
            </w:pPr>
            <w:r>
              <w:rPr>
                <w:rFonts w:ascii="Calibri" w:cs="Calibri" w:eastAsia="Calibri" w:hAnsi="Calibri"/>
                <w:b/>
                <w:bCs/>
                <w:color w:val="334155"/>
                <w:sz w:val="15"/>
                <w:szCs w:val="15"/>
              </w:rPr>
              <w:t xml:space="preserve">1.132,0</w:t>
            </w:r>
          </w:p>
        </w:tc>
        <w:tc>
          <w:tcPr>
            <w:tcW w:type="dxa" w:w="754"/>
            <w:tcBorders>
              <w:top w:val="single" w:color="94A3B8" w:sz="4"/>
            </w:tcBorders>
            <w:tcMar>
              <w:top w:type="dxa" w:w="40"/>
              <w:left w:type="dxa" w:w="80"/>
              <w:bottom w:type="dxa" w:w="40"/>
              <w:right w:type="dxa" w:w="80"/>
            </w:tcMar>
          </w:tcPr>
          <w:p>
            <w:pPr>
              <w:jc w:val="right"/>
            </w:pPr>
            <w:r>
              <w:rPr>
                <w:rFonts w:ascii="Calibri" w:cs="Calibri" w:eastAsia="Calibri" w:hAnsi="Calibri"/>
                <w:b/>
                <w:bCs/>
                <w:color w:val="334155"/>
                <w:sz w:val="15"/>
                <w:szCs w:val="15"/>
              </w:rPr>
              <w:t xml:space="preserve">1.224,2</w:t>
            </w:r>
          </w:p>
        </w:tc>
        <w:tc>
          <w:tcPr>
            <w:tcW w:type="dxa" w:w="754"/>
            <w:tcBorders>
              <w:top w:val="single" w:color="94A3B8" w:sz="4"/>
            </w:tcBorders>
            <w:tcMar>
              <w:top w:type="dxa" w:w="40"/>
              <w:left w:type="dxa" w:w="80"/>
              <w:bottom w:type="dxa" w:w="40"/>
              <w:right w:type="dxa" w:w="80"/>
            </w:tcMar>
          </w:tcPr>
          <w:p>
            <w:pPr>
              <w:jc w:val="right"/>
            </w:pPr>
            <w:r>
              <w:rPr>
                <w:rFonts w:ascii="Calibri" w:cs="Calibri" w:eastAsia="Calibri" w:hAnsi="Calibri"/>
                <w:b/>
                <w:bCs/>
                <w:color w:val="334155"/>
                <w:sz w:val="15"/>
                <w:szCs w:val="15"/>
              </w:rPr>
              <w:t xml:space="preserve">1.324,0</w:t>
            </w:r>
          </w:p>
        </w:tc>
        <w:tc>
          <w:tcPr>
            <w:tcW w:type="dxa" w:w="754"/>
            <w:tcBorders>
              <w:top w:val="single" w:color="94A3B8" w:sz="4"/>
            </w:tcBorders>
            <w:tcMar>
              <w:top w:type="dxa" w:w="40"/>
              <w:left w:type="dxa" w:w="80"/>
              <w:bottom w:type="dxa" w:w="40"/>
              <w:right w:type="dxa" w:w="80"/>
            </w:tcMar>
          </w:tcPr>
          <w:p>
            <w:pPr>
              <w:jc w:val="right"/>
            </w:pPr>
            <w:r>
              <w:rPr>
                <w:rFonts w:ascii="Calibri" w:cs="Calibri" w:eastAsia="Calibri" w:hAnsi="Calibri"/>
                <w:b/>
                <w:bCs/>
                <w:color w:val="334155"/>
                <w:sz w:val="15"/>
                <w:szCs w:val="15"/>
              </w:rPr>
              <w:t xml:space="preserve">1.431,9</w:t>
            </w:r>
          </w:p>
        </w:tc>
        <w:tc>
          <w:tcPr>
            <w:tcW w:type="dxa" w:w="754"/>
            <w:tcBorders>
              <w:top w:val="single" w:color="94A3B8" w:sz="4"/>
            </w:tcBorders>
            <w:tcMar>
              <w:top w:type="dxa" w:w="40"/>
              <w:left w:type="dxa" w:w="80"/>
              <w:bottom w:type="dxa" w:w="40"/>
              <w:right w:type="dxa" w:w="80"/>
            </w:tcMar>
          </w:tcPr>
          <w:p>
            <w:pPr>
              <w:jc w:val="right"/>
            </w:pPr>
            <w:r>
              <w:rPr>
                <w:rFonts w:ascii="Calibri" w:cs="Calibri" w:eastAsia="Calibri" w:hAnsi="Calibri"/>
                <w:b/>
                <w:bCs/>
                <w:color w:val="334155"/>
                <w:sz w:val="15"/>
                <w:szCs w:val="15"/>
              </w:rPr>
              <w:t xml:space="preserve">1.548,6</w:t>
            </w:r>
          </w:p>
        </w:tc>
        <w:tc>
          <w:tcPr>
            <w:tcW w:type="dxa" w:w="754"/>
            <w:tcBorders>
              <w:top w:val="single" w:color="94A3B8" w:sz="4"/>
            </w:tcBorders>
            <w:tcMar>
              <w:top w:type="dxa" w:w="40"/>
              <w:left w:type="dxa" w:w="80"/>
              <w:bottom w:type="dxa" w:w="40"/>
              <w:right w:type="dxa" w:w="80"/>
            </w:tcMar>
          </w:tcPr>
          <w:p>
            <w:pPr>
              <w:jc w:val="right"/>
            </w:pPr>
            <w:r>
              <w:rPr>
                <w:rFonts w:ascii="Calibri" w:cs="Calibri" w:eastAsia="Calibri" w:hAnsi="Calibri"/>
                <w:b/>
                <w:bCs/>
                <w:color w:val="334155"/>
                <w:sz w:val="15"/>
                <w:szCs w:val="15"/>
              </w:rPr>
              <w:t xml:space="preserve">1.674,8</w:t>
            </w:r>
          </w:p>
        </w:tc>
        <w:tc>
          <w:tcPr>
            <w:tcW w:type="dxa" w:w="754"/>
            <w:tcBorders>
              <w:top w:val="single" w:color="94A3B8" w:sz="4"/>
            </w:tcBorders>
            <w:tcMar>
              <w:top w:type="dxa" w:w="40"/>
              <w:left w:type="dxa" w:w="80"/>
              <w:bottom w:type="dxa" w:w="40"/>
              <w:right w:type="dxa" w:w="80"/>
            </w:tcMar>
          </w:tcPr>
          <w:p>
            <w:pPr>
              <w:jc w:val="right"/>
            </w:pPr>
            <w:r>
              <w:rPr>
                <w:rFonts w:ascii="Calibri" w:cs="Calibri" w:eastAsia="Calibri" w:hAnsi="Calibri"/>
                <w:b/>
                <w:bCs/>
                <w:color w:val="334155"/>
                <w:sz w:val="15"/>
                <w:szCs w:val="15"/>
              </w:rPr>
              <w:t xml:space="preserve">1.811,3</w:t>
            </w:r>
          </w:p>
        </w:tc>
        <w:tc>
          <w:tcPr>
            <w:tcW w:type="dxa" w:w="754"/>
            <w:tcBorders>
              <w:top w:val="single" w:color="94A3B8" w:sz="4"/>
            </w:tcBorders>
            <w:tcMar>
              <w:top w:type="dxa" w:w="40"/>
              <w:left w:type="dxa" w:w="80"/>
              <w:bottom w:type="dxa" w:w="40"/>
              <w:right w:type="dxa" w:w="80"/>
            </w:tcMar>
          </w:tcPr>
          <w:p>
            <w:pPr>
              <w:jc w:val="right"/>
            </w:pPr>
            <w:r>
              <w:rPr>
                <w:rFonts w:ascii="Calibri" w:cs="Calibri" w:eastAsia="Calibri" w:hAnsi="Calibri"/>
                <w:b/>
                <w:bCs/>
                <w:color w:val="334155"/>
                <w:sz w:val="15"/>
                <w:szCs w:val="15"/>
              </w:rPr>
              <w:t xml:space="preserve">1.959,0</w:t>
            </w:r>
          </w:p>
        </w:tc>
        <w:tc>
          <w:tcPr>
            <w:tcW w:type="dxa" w:w="862"/>
            <w:tcBorders>
              <w:top w:val="single" w:color="94A3B8" w:sz="4"/>
            </w:tcBorders>
            <w:tcMar>
              <w:top w:type="dxa" w:w="40"/>
              <w:left w:type="dxa" w:w="80"/>
              <w:bottom w:type="dxa" w:w="40"/>
              <w:right w:type="dxa" w:w="80"/>
            </w:tcMar>
          </w:tcPr>
          <w:p>
            <w:pPr>
              <w:jc w:val="right"/>
            </w:pPr>
            <w:r>
              <w:rPr>
                <w:rFonts w:ascii="Calibri" w:cs="Calibri" w:eastAsia="Calibri" w:hAnsi="Calibri"/>
                <w:b/>
                <w:bCs/>
                <w:color w:val="334155"/>
                <w:sz w:val="15"/>
                <w:szCs w:val="15"/>
              </w:rPr>
              <w:t xml:space="preserve">14.120,4</w:t>
            </w:r>
          </w:p>
        </w:tc>
      </w:tr>
      <w:tr>
        <w:trPr>
          <w:cantSplit/>
        </w:trPr>
        <w:tc>
          <w:tcPr>
            <w:tcW w:type="dxa" w:w="4365"/>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Costos variables (materiales y consumibles)</w:t>
            </w:r>
          </w:p>
        </w:tc>
        <w:tc>
          <w:tcPr>
            <w:tcW w:type="dxa" w:w="647"/>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kUSD</w:t>
            </w:r>
          </w:p>
        </w:tc>
        <w:tc>
          <w:tcPr>
            <w:tcW w:type="dxa" w:w="64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64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254,8</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278,3</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303,9</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331,8</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362,3</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395,7</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432,1</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471,8</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515,2</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562,6</w:t>
            </w:r>
          </w:p>
        </w:tc>
        <w:tc>
          <w:tcPr>
            <w:tcW w:type="dxa" w:w="86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3.908,6</w:t>
            </w:r>
          </w:p>
        </w:tc>
      </w:tr>
      <w:tr>
        <w:trPr>
          <w:cantSplit/>
        </w:trPr>
        <w:tc>
          <w:tcPr>
            <w:tcW w:type="dxa" w:w="4365"/>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Costo de la fuerza de trabajo</w:t>
            </w:r>
          </w:p>
        </w:tc>
        <w:tc>
          <w:tcPr>
            <w:tcW w:type="dxa" w:w="647"/>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kUSD</w:t>
            </w:r>
          </w:p>
        </w:tc>
        <w:tc>
          <w:tcPr>
            <w:tcW w:type="dxa" w:w="64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0,8</w:t>
            </w:r>
          </w:p>
        </w:tc>
        <w:tc>
          <w:tcPr>
            <w:tcW w:type="dxa" w:w="64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20,6</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21,6</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22,7</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23,9</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25,0</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26,3</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27,6</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29,0</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30,4</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32,0</w:t>
            </w:r>
          </w:p>
        </w:tc>
        <w:tc>
          <w:tcPr>
            <w:tcW w:type="dxa" w:w="86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260,0</w:t>
            </w:r>
          </w:p>
        </w:tc>
      </w:tr>
      <w:tr>
        <w:trPr>
          <w:cantSplit/>
        </w:trPr>
        <w:tc>
          <w:tcPr>
            <w:tcW w:type="dxa" w:w="4365"/>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Canon (arrendamiento)</w:t>
            </w:r>
          </w:p>
        </w:tc>
        <w:tc>
          <w:tcPr>
            <w:tcW w:type="dxa" w:w="647"/>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kUSD</w:t>
            </w:r>
          </w:p>
        </w:tc>
        <w:tc>
          <w:tcPr>
            <w:tcW w:type="dxa" w:w="64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64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30,0</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30,0</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30,0</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30,0</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30,0</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30,0</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30,0</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30,0</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30,0</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30,0</w:t>
            </w:r>
          </w:p>
        </w:tc>
        <w:tc>
          <w:tcPr>
            <w:tcW w:type="dxa" w:w="86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300,0</w:t>
            </w:r>
          </w:p>
        </w:tc>
      </w:tr>
      <w:tr>
        <w:trPr>
          <w:cantSplit/>
        </w:trPr>
        <w:tc>
          <w:tcPr>
            <w:tcW w:type="dxa" w:w="4365"/>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Mantenimiento</w:t>
            </w:r>
          </w:p>
        </w:tc>
        <w:tc>
          <w:tcPr>
            <w:tcW w:type="dxa" w:w="647"/>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kUSD</w:t>
            </w:r>
          </w:p>
        </w:tc>
        <w:tc>
          <w:tcPr>
            <w:tcW w:type="dxa" w:w="64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64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36,0</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36,0</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36,0</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36,0</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36,0</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36,0</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36,0</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36,0</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36,0</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36,0</w:t>
            </w:r>
          </w:p>
        </w:tc>
        <w:tc>
          <w:tcPr>
            <w:tcW w:type="dxa" w:w="86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360,0</w:t>
            </w:r>
          </w:p>
        </w:tc>
      </w:tr>
      <w:tr>
        <w:trPr>
          <w:cantSplit/>
        </w:trPr>
        <w:tc>
          <w:tcPr>
            <w:tcW w:type="dxa" w:w="4365"/>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Servicios públicos (agua, electricidad, portadores)</w:t>
            </w:r>
          </w:p>
        </w:tc>
        <w:tc>
          <w:tcPr>
            <w:tcW w:type="dxa" w:w="647"/>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kUSD</w:t>
            </w:r>
          </w:p>
        </w:tc>
        <w:tc>
          <w:tcPr>
            <w:tcW w:type="dxa" w:w="64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64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40,0</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40,0</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40,0</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40,0</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40,0</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40,0</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40,0</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40,0</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40,0</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40,0</w:t>
            </w:r>
          </w:p>
        </w:tc>
        <w:tc>
          <w:tcPr>
            <w:tcW w:type="dxa" w:w="86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400,0</w:t>
            </w:r>
          </w:p>
        </w:tc>
      </w:tr>
      <w:tr>
        <w:trPr>
          <w:cantSplit/>
        </w:trPr>
        <w:tc>
          <w:tcPr>
            <w:tcW w:type="dxa" w:w="4365"/>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Gastos administrativos</w:t>
            </w:r>
          </w:p>
        </w:tc>
        <w:tc>
          <w:tcPr>
            <w:tcW w:type="dxa" w:w="647"/>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kUSD</w:t>
            </w:r>
          </w:p>
        </w:tc>
        <w:tc>
          <w:tcPr>
            <w:tcW w:type="dxa" w:w="64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64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48,4</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52,3</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56,6</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61,2</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66,2</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71,6</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77,4</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83,7</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90,6</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97,9</w:t>
            </w:r>
          </w:p>
        </w:tc>
        <w:tc>
          <w:tcPr>
            <w:tcW w:type="dxa" w:w="86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706,0</w:t>
            </w:r>
          </w:p>
        </w:tc>
      </w:tr>
      <w:tr>
        <w:trPr>
          <w:cantSplit/>
        </w:trPr>
        <w:tc>
          <w:tcPr>
            <w:tcW w:type="dxa" w:w="4365"/>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Otros gastos fijos</w:t>
            </w:r>
          </w:p>
        </w:tc>
        <w:tc>
          <w:tcPr>
            <w:tcW w:type="dxa" w:w="647"/>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kUSD</w:t>
            </w:r>
          </w:p>
        </w:tc>
        <w:tc>
          <w:tcPr>
            <w:tcW w:type="dxa" w:w="64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64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10,0</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10,0</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10,0</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10,0</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10,0</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10,0</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10,0</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10,0</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10,0</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10,0</w:t>
            </w:r>
          </w:p>
        </w:tc>
        <w:tc>
          <w:tcPr>
            <w:tcW w:type="dxa" w:w="86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100,0</w:t>
            </w:r>
          </w:p>
        </w:tc>
      </w:tr>
      <w:tr>
        <w:trPr>
          <w:cantSplit/>
        </w:trPr>
        <w:tc>
          <w:tcPr>
            <w:tcW w:type="dxa" w:w="4365"/>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Depreciación</w:t>
            </w:r>
          </w:p>
        </w:tc>
        <w:tc>
          <w:tcPr>
            <w:tcW w:type="dxa" w:w="647"/>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kUSD</w:t>
            </w:r>
          </w:p>
        </w:tc>
        <w:tc>
          <w:tcPr>
            <w:tcW w:type="dxa" w:w="64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64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117,1</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117,1</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117,1</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117,1</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117,1</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110,1</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125,1</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125,1</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112,0</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112,0</w:t>
            </w:r>
          </w:p>
        </w:tc>
        <w:tc>
          <w:tcPr>
            <w:tcW w:type="dxa" w:w="86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1.170,0</w:t>
            </w:r>
          </w:p>
        </w:tc>
      </w:tr>
      <w:tr>
        <w:trPr>
          <w:cantSplit/>
        </w:trPr>
        <w:tc>
          <w:tcPr>
            <w:tcW w:type="dxa" w:w="4365"/>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Intereses del crédito</w:t>
            </w:r>
          </w:p>
        </w:tc>
        <w:tc>
          <w:tcPr>
            <w:tcW w:type="dxa" w:w="647"/>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kUSD</w:t>
            </w:r>
          </w:p>
        </w:tc>
        <w:tc>
          <w:tcPr>
            <w:tcW w:type="dxa" w:w="64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64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24,0</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24,0</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19,2</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14,4</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9,6</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4,8</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86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96,0</w:t>
            </w:r>
          </w:p>
        </w:tc>
      </w:tr>
      <w:tr>
        <w:trPr>
          <w:cantSplit/>
        </w:trPr>
        <w:tc>
          <w:tcPr>
            <w:tcW w:type="dxa" w:w="4365"/>
            <w:tcBorders>
              <w:top w:val="single" w:color="94A3B8" w:sz="4"/>
            </w:tcBorders>
            <w:tcMar>
              <w:top w:type="dxa" w:w="40"/>
              <w:left w:type="dxa" w:w="80"/>
              <w:bottom w:type="dxa" w:w="40"/>
              <w:right w:type="dxa" w:w="80"/>
            </w:tcMar>
          </w:tcPr>
          <w:p>
            <w:pPr>
              <w:jc w:val="left"/>
            </w:pPr>
            <w:r>
              <w:rPr>
                <w:rFonts w:ascii="Calibri" w:cs="Calibri" w:eastAsia="Calibri" w:hAnsi="Calibri"/>
                <w:b/>
                <w:bCs/>
                <w:color w:val="334155"/>
                <w:sz w:val="15"/>
                <w:szCs w:val="15"/>
              </w:rPr>
              <w:t xml:space="preserve">COSTOS Y GASTOS TOTALES</w:t>
            </w:r>
          </w:p>
        </w:tc>
        <w:tc>
          <w:tcPr>
            <w:tcW w:type="dxa" w:w="647"/>
            <w:tcBorders>
              <w:top w:val="single" w:color="94A3B8" w:sz="4"/>
            </w:tcBorders>
            <w:tcMar>
              <w:top w:type="dxa" w:w="40"/>
              <w:left w:type="dxa" w:w="80"/>
              <w:bottom w:type="dxa" w:w="40"/>
              <w:right w:type="dxa" w:w="80"/>
            </w:tcMar>
          </w:tcPr>
          <w:p>
            <w:pPr>
              <w:jc w:val="left"/>
            </w:pPr>
            <w:r>
              <w:rPr>
                <w:rFonts w:ascii="Calibri" w:cs="Calibri" w:eastAsia="Calibri" w:hAnsi="Calibri"/>
                <w:b/>
                <w:bCs/>
                <w:color w:val="334155"/>
                <w:sz w:val="15"/>
                <w:szCs w:val="15"/>
              </w:rPr>
              <w:t xml:space="preserve">kUSD</w:t>
            </w:r>
          </w:p>
        </w:tc>
        <w:tc>
          <w:tcPr>
            <w:tcW w:type="dxa" w:w="647"/>
            <w:tcBorders>
              <w:top w:val="single" w:color="94A3B8" w:sz="4"/>
            </w:tcBorders>
            <w:tcMar>
              <w:top w:type="dxa" w:w="40"/>
              <w:left w:type="dxa" w:w="80"/>
              <w:bottom w:type="dxa" w:w="40"/>
              <w:right w:type="dxa" w:w="80"/>
            </w:tcMar>
          </w:tcPr>
          <w:p>
            <w:pPr>
              <w:jc w:val="right"/>
            </w:pPr>
            <w:r>
              <w:rPr>
                <w:rFonts w:ascii="Calibri" w:cs="Calibri" w:eastAsia="Calibri" w:hAnsi="Calibri"/>
                <w:b/>
                <w:bCs/>
                <w:color w:val="334155"/>
                <w:sz w:val="15"/>
                <w:szCs w:val="15"/>
              </w:rPr>
              <w:t xml:space="preserve">0,8</w:t>
            </w:r>
          </w:p>
        </w:tc>
        <w:tc>
          <w:tcPr>
            <w:tcW w:type="dxa" w:w="647"/>
            <w:tcBorders>
              <w:top w:val="single" w:color="94A3B8" w:sz="4"/>
            </w:tcBorders>
            <w:tcMar>
              <w:top w:type="dxa" w:w="40"/>
              <w:left w:type="dxa" w:w="80"/>
              <w:bottom w:type="dxa" w:w="40"/>
              <w:right w:type="dxa" w:w="80"/>
            </w:tcMar>
          </w:tcPr>
          <w:p>
            <w:pPr>
              <w:jc w:val="right"/>
            </w:pPr>
            <w:r>
              <w:rPr>
                <w:rFonts w:ascii="Calibri" w:cs="Calibri" w:eastAsia="Calibri" w:hAnsi="Calibri"/>
                <w:b/>
                <w:bCs/>
                <w:color w:val="334155"/>
                <w:sz w:val="15"/>
                <w:szCs w:val="15"/>
              </w:rPr>
              <w:t xml:space="preserve">580,9</w:t>
            </w:r>
          </w:p>
        </w:tc>
        <w:tc>
          <w:tcPr>
            <w:tcW w:type="dxa" w:w="754"/>
            <w:tcBorders>
              <w:top w:val="single" w:color="94A3B8" w:sz="4"/>
            </w:tcBorders>
            <w:tcMar>
              <w:top w:type="dxa" w:w="40"/>
              <w:left w:type="dxa" w:w="80"/>
              <w:bottom w:type="dxa" w:w="40"/>
              <w:right w:type="dxa" w:w="80"/>
            </w:tcMar>
          </w:tcPr>
          <w:p>
            <w:pPr>
              <w:jc w:val="right"/>
            </w:pPr>
            <w:r>
              <w:rPr>
                <w:rFonts w:ascii="Calibri" w:cs="Calibri" w:eastAsia="Calibri" w:hAnsi="Calibri"/>
                <w:b/>
                <w:bCs/>
                <w:color w:val="334155"/>
                <w:sz w:val="15"/>
                <w:szCs w:val="15"/>
              </w:rPr>
              <w:t xml:space="preserve">609,4</w:t>
            </w:r>
          </w:p>
        </w:tc>
        <w:tc>
          <w:tcPr>
            <w:tcW w:type="dxa" w:w="754"/>
            <w:tcBorders>
              <w:top w:val="single" w:color="94A3B8" w:sz="4"/>
            </w:tcBorders>
            <w:tcMar>
              <w:top w:type="dxa" w:w="40"/>
              <w:left w:type="dxa" w:w="80"/>
              <w:bottom w:type="dxa" w:w="40"/>
              <w:right w:type="dxa" w:w="80"/>
            </w:tcMar>
          </w:tcPr>
          <w:p>
            <w:pPr>
              <w:jc w:val="right"/>
            </w:pPr>
            <w:r>
              <w:rPr>
                <w:rFonts w:ascii="Calibri" w:cs="Calibri" w:eastAsia="Calibri" w:hAnsi="Calibri"/>
                <w:b/>
                <w:bCs/>
                <w:color w:val="334155"/>
                <w:sz w:val="15"/>
                <w:szCs w:val="15"/>
              </w:rPr>
              <w:t xml:space="preserve">635,5</w:t>
            </w:r>
          </w:p>
        </w:tc>
        <w:tc>
          <w:tcPr>
            <w:tcW w:type="dxa" w:w="754"/>
            <w:tcBorders>
              <w:top w:val="single" w:color="94A3B8" w:sz="4"/>
            </w:tcBorders>
            <w:tcMar>
              <w:top w:type="dxa" w:w="40"/>
              <w:left w:type="dxa" w:w="80"/>
              <w:bottom w:type="dxa" w:w="40"/>
              <w:right w:type="dxa" w:w="80"/>
            </w:tcMar>
          </w:tcPr>
          <w:p>
            <w:pPr>
              <w:jc w:val="right"/>
            </w:pPr>
            <w:r>
              <w:rPr>
                <w:rFonts w:ascii="Calibri" w:cs="Calibri" w:eastAsia="Calibri" w:hAnsi="Calibri"/>
                <w:b/>
                <w:bCs/>
                <w:color w:val="334155"/>
                <w:sz w:val="15"/>
                <w:szCs w:val="15"/>
              </w:rPr>
              <w:t xml:space="preserve">664,4</w:t>
            </w:r>
          </w:p>
        </w:tc>
        <w:tc>
          <w:tcPr>
            <w:tcW w:type="dxa" w:w="754"/>
            <w:tcBorders>
              <w:top w:val="single" w:color="94A3B8" w:sz="4"/>
            </w:tcBorders>
            <w:tcMar>
              <w:top w:type="dxa" w:w="40"/>
              <w:left w:type="dxa" w:w="80"/>
              <w:bottom w:type="dxa" w:w="40"/>
              <w:right w:type="dxa" w:w="80"/>
            </w:tcMar>
          </w:tcPr>
          <w:p>
            <w:pPr>
              <w:jc w:val="right"/>
            </w:pPr>
            <w:r>
              <w:rPr>
                <w:rFonts w:ascii="Calibri" w:cs="Calibri" w:eastAsia="Calibri" w:hAnsi="Calibri"/>
                <w:b/>
                <w:bCs/>
                <w:color w:val="334155"/>
                <w:sz w:val="15"/>
                <w:szCs w:val="15"/>
              </w:rPr>
              <w:t xml:space="preserve">696,3</w:t>
            </w:r>
          </w:p>
        </w:tc>
        <w:tc>
          <w:tcPr>
            <w:tcW w:type="dxa" w:w="754"/>
            <w:tcBorders>
              <w:top w:val="single" w:color="94A3B8" w:sz="4"/>
            </w:tcBorders>
            <w:tcMar>
              <w:top w:type="dxa" w:w="40"/>
              <w:left w:type="dxa" w:w="80"/>
              <w:bottom w:type="dxa" w:w="40"/>
              <w:right w:type="dxa" w:w="80"/>
            </w:tcMar>
          </w:tcPr>
          <w:p>
            <w:pPr>
              <w:jc w:val="right"/>
            </w:pPr>
            <w:r>
              <w:rPr>
                <w:rFonts w:ascii="Calibri" w:cs="Calibri" w:eastAsia="Calibri" w:hAnsi="Calibri"/>
                <w:b/>
                <w:bCs/>
                <w:color w:val="334155"/>
                <w:sz w:val="15"/>
                <w:szCs w:val="15"/>
              </w:rPr>
              <w:t xml:space="preserve">724,5</w:t>
            </w:r>
          </w:p>
        </w:tc>
        <w:tc>
          <w:tcPr>
            <w:tcW w:type="dxa" w:w="754"/>
            <w:tcBorders>
              <w:top w:val="single" w:color="94A3B8" w:sz="4"/>
            </w:tcBorders>
            <w:tcMar>
              <w:top w:type="dxa" w:w="40"/>
              <w:left w:type="dxa" w:w="80"/>
              <w:bottom w:type="dxa" w:w="40"/>
              <w:right w:type="dxa" w:w="80"/>
            </w:tcMar>
          </w:tcPr>
          <w:p>
            <w:pPr>
              <w:jc w:val="right"/>
            </w:pPr>
            <w:r>
              <w:rPr>
                <w:rFonts w:ascii="Calibri" w:cs="Calibri" w:eastAsia="Calibri" w:hAnsi="Calibri"/>
                <w:b/>
                <w:bCs/>
                <w:color w:val="334155"/>
                <w:sz w:val="15"/>
                <w:szCs w:val="15"/>
              </w:rPr>
              <w:t xml:space="preserve">778,3</w:t>
            </w:r>
          </w:p>
        </w:tc>
        <w:tc>
          <w:tcPr>
            <w:tcW w:type="dxa" w:w="754"/>
            <w:tcBorders>
              <w:top w:val="single" w:color="94A3B8" w:sz="4"/>
            </w:tcBorders>
            <w:tcMar>
              <w:top w:type="dxa" w:w="40"/>
              <w:left w:type="dxa" w:w="80"/>
              <w:bottom w:type="dxa" w:w="40"/>
              <w:right w:type="dxa" w:w="80"/>
            </w:tcMar>
          </w:tcPr>
          <w:p>
            <w:pPr>
              <w:jc w:val="right"/>
            </w:pPr>
            <w:r>
              <w:rPr>
                <w:rFonts w:ascii="Calibri" w:cs="Calibri" w:eastAsia="Calibri" w:hAnsi="Calibri"/>
                <w:b/>
                <w:bCs/>
                <w:color w:val="334155"/>
                <w:sz w:val="15"/>
                <w:szCs w:val="15"/>
              </w:rPr>
              <w:t xml:space="preserve">825,7</w:t>
            </w:r>
          </w:p>
        </w:tc>
        <w:tc>
          <w:tcPr>
            <w:tcW w:type="dxa" w:w="754"/>
            <w:tcBorders>
              <w:top w:val="single" w:color="94A3B8" w:sz="4"/>
            </w:tcBorders>
            <w:tcMar>
              <w:top w:type="dxa" w:w="40"/>
              <w:left w:type="dxa" w:w="80"/>
              <w:bottom w:type="dxa" w:w="40"/>
              <w:right w:type="dxa" w:w="80"/>
            </w:tcMar>
          </w:tcPr>
          <w:p>
            <w:pPr>
              <w:jc w:val="right"/>
            </w:pPr>
            <w:r>
              <w:rPr>
                <w:rFonts w:ascii="Calibri" w:cs="Calibri" w:eastAsia="Calibri" w:hAnsi="Calibri"/>
                <w:b/>
                <w:bCs/>
                <w:color w:val="334155"/>
                <w:sz w:val="15"/>
                <w:szCs w:val="15"/>
              </w:rPr>
              <w:t xml:space="preserve">864,3</w:t>
            </w:r>
          </w:p>
        </w:tc>
        <w:tc>
          <w:tcPr>
            <w:tcW w:type="dxa" w:w="754"/>
            <w:tcBorders>
              <w:top w:val="single" w:color="94A3B8" w:sz="4"/>
            </w:tcBorders>
            <w:tcMar>
              <w:top w:type="dxa" w:w="40"/>
              <w:left w:type="dxa" w:w="80"/>
              <w:bottom w:type="dxa" w:w="40"/>
              <w:right w:type="dxa" w:w="80"/>
            </w:tcMar>
          </w:tcPr>
          <w:p>
            <w:pPr>
              <w:jc w:val="right"/>
            </w:pPr>
            <w:r>
              <w:rPr>
                <w:rFonts w:ascii="Calibri" w:cs="Calibri" w:eastAsia="Calibri" w:hAnsi="Calibri"/>
                <w:b/>
                <w:bCs/>
                <w:color w:val="334155"/>
                <w:sz w:val="15"/>
                <w:szCs w:val="15"/>
              </w:rPr>
              <w:t xml:space="preserve">920,6</w:t>
            </w:r>
          </w:p>
        </w:tc>
        <w:tc>
          <w:tcPr>
            <w:tcW w:type="dxa" w:w="862"/>
            <w:tcBorders>
              <w:top w:val="single" w:color="94A3B8" w:sz="4"/>
            </w:tcBorders>
            <w:tcMar>
              <w:top w:type="dxa" w:w="40"/>
              <w:left w:type="dxa" w:w="80"/>
              <w:bottom w:type="dxa" w:w="40"/>
              <w:right w:type="dxa" w:w="80"/>
            </w:tcMar>
          </w:tcPr>
          <w:p>
            <w:pPr>
              <w:jc w:val="right"/>
            </w:pPr>
            <w:r>
              <w:rPr>
                <w:rFonts w:ascii="Calibri" w:cs="Calibri" w:eastAsia="Calibri" w:hAnsi="Calibri"/>
                <w:b/>
                <w:bCs/>
                <w:color w:val="334155"/>
                <w:sz w:val="15"/>
                <w:szCs w:val="15"/>
              </w:rPr>
              <w:t xml:space="preserve">7.300,6</w:t>
            </w:r>
          </w:p>
        </w:tc>
      </w:tr>
      <w:tr>
        <w:trPr>
          <w:cantSplit/>
        </w:trPr>
        <w:tc>
          <w:tcPr>
            <w:tcW w:type="dxa" w:w="4365"/>
            <w:tcBorders>
              <w:top w:val="single" w:color="94A3B8" w:sz="4"/>
            </w:tcBorders>
            <w:tcMar>
              <w:top w:type="dxa" w:w="40"/>
              <w:left w:type="dxa" w:w="80"/>
              <w:bottom w:type="dxa" w:w="40"/>
              <w:right w:type="dxa" w:w="80"/>
            </w:tcMar>
          </w:tcPr>
          <w:p>
            <w:pPr>
              <w:jc w:val="left"/>
            </w:pPr>
            <w:r>
              <w:rPr>
                <w:rFonts w:ascii="Calibri" w:cs="Calibri" w:eastAsia="Calibri" w:hAnsi="Calibri"/>
                <w:b/>
                <w:bCs/>
                <w:color w:val="334155"/>
                <w:sz w:val="15"/>
                <w:szCs w:val="15"/>
              </w:rPr>
              <w:t xml:space="preserve">UTILIDAD ANTES DE IMPUESTOS (1-2)</w:t>
            </w:r>
          </w:p>
        </w:tc>
        <w:tc>
          <w:tcPr>
            <w:tcW w:type="dxa" w:w="647"/>
            <w:tcBorders>
              <w:top w:val="single" w:color="94A3B8" w:sz="4"/>
            </w:tcBorders>
            <w:tcMar>
              <w:top w:type="dxa" w:w="40"/>
              <w:left w:type="dxa" w:w="80"/>
              <w:bottom w:type="dxa" w:w="40"/>
              <w:right w:type="dxa" w:w="80"/>
            </w:tcMar>
          </w:tcPr>
          <w:p>
            <w:pPr>
              <w:jc w:val="left"/>
            </w:pPr>
            <w:r>
              <w:rPr>
                <w:rFonts w:ascii="Calibri" w:cs="Calibri" w:eastAsia="Calibri" w:hAnsi="Calibri"/>
                <w:b/>
                <w:bCs/>
                <w:color w:val="334155"/>
                <w:sz w:val="15"/>
                <w:szCs w:val="15"/>
              </w:rPr>
              <w:t xml:space="preserve">kUSD</w:t>
            </w:r>
          </w:p>
        </w:tc>
        <w:tc>
          <w:tcPr>
            <w:tcW w:type="dxa" w:w="647"/>
            <w:tcBorders>
              <w:top w:val="single" w:color="94A3B8" w:sz="4"/>
            </w:tcBorders>
            <w:tcMar>
              <w:top w:type="dxa" w:w="40"/>
              <w:left w:type="dxa" w:w="80"/>
              <w:bottom w:type="dxa" w:w="40"/>
              <w:right w:type="dxa" w:w="80"/>
            </w:tcMar>
          </w:tcPr>
          <w:p>
            <w:pPr>
              <w:jc w:val="right"/>
            </w:pPr>
            <w:r>
              <w:rPr>
                <w:rFonts w:ascii="Calibri" w:cs="Calibri" w:eastAsia="Calibri" w:hAnsi="Calibri"/>
                <w:b/>
                <w:bCs/>
                <w:color w:val="334155"/>
                <w:sz w:val="15"/>
                <w:szCs w:val="15"/>
              </w:rPr>
              <w:t xml:space="preserve">-0,8</w:t>
            </w:r>
          </w:p>
        </w:tc>
        <w:tc>
          <w:tcPr>
            <w:tcW w:type="dxa" w:w="647"/>
            <w:tcBorders>
              <w:top w:val="single" w:color="94A3B8" w:sz="4"/>
            </w:tcBorders>
            <w:tcMar>
              <w:top w:type="dxa" w:w="40"/>
              <w:left w:type="dxa" w:w="80"/>
              <w:bottom w:type="dxa" w:w="40"/>
              <w:right w:type="dxa" w:w="80"/>
            </w:tcMar>
          </w:tcPr>
          <w:p>
            <w:pPr>
              <w:jc w:val="right"/>
            </w:pPr>
            <w:r>
              <w:rPr>
                <w:rFonts w:ascii="Calibri" w:cs="Calibri" w:eastAsia="Calibri" w:hAnsi="Calibri"/>
                <w:b/>
                <w:bCs/>
                <w:color w:val="334155"/>
                <w:sz w:val="15"/>
                <w:szCs w:val="15"/>
              </w:rPr>
              <w:t xml:space="preserve">386,9</w:t>
            </w:r>
          </w:p>
        </w:tc>
        <w:tc>
          <w:tcPr>
            <w:tcW w:type="dxa" w:w="754"/>
            <w:tcBorders>
              <w:top w:val="single" w:color="94A3B8" w:sz="4"/>
            </w:tcBorders>
            <w:tcMar>
              <w:top w:type="dxa" w:w="40"/>
              <w:left w:type="dxa" w:w="80"/>
              <w:bottom w:type="dxa" w:w="40"/>
              <w:right w:type="dxa" w:w="80"/>
            </w:tcMar>
          </w:tcPr>
          <w:p>
            <w:pPr>
              <w:jc w:val="right"/>
            </w:pPr>
            <w:r>
              <w:rPr>
                <w:rFonts w:ascii="Calibri" w:cs="Calibri" w:eastAsia="Calibri" w:hAnsi="Calibri"/>
                <w:b/>
                <w:bCs/>
                <w:color w:val="334155"/>
                <w:sz w:val="15"/>
                <w:szCs w:val="15"/>
              </w:rPr>
              <w:t xml:space="preserve">437,3</w:t>
            </w:r>
          </w:p>
        </w:tc>
        <w:tc>
          <w:tcPr>
            <w:tcW w:type="dxa" w:w="754"/>
            <w:tcBorders>
              <w:top w:val="single" w:color="94A3B8" w:sz="4"/>
            </w:tcBorders>
            <w:tcMar>
              <w:top w:type="dxa" w:w="40"/>
              <w:left w:type="dxa" w:w="80"/>
              <w:bottom w:type="dxa" w:w="40"/>
              <w:right w:type="dxa" w:w="80"/>
            </w:tcMar>
          </w:tcPr>
          <w:p>
            <w:pPr>
              <w:jc w:val="right"/>
            </w:pPr>
            <w:r>
              <w:rPr>
                <w:rFonts w:ascii="Calibri" w:cs="Calibri" w:eastAsia="Calibri" w:hAnsi="Calibri"/>
                <w:b/>
                <w:bCs/>
                <w:color w:val="334155"/>
                <w:sz w:val="15"/>
                <w:szCs w:val="15"/>
              </w:rPr>
              <w:t xml:space="preserve">496,5</w:t>
            </w:r>
          </w:p>
        </w:tc>
        <w:tc>
          <w:tcPr>
            <w:tcW w:type="dxa" w:w="754"/>
            <w:tcBorders>
              <w:top w:val="single" w:color="94A3B8" w:sz="4"/>
            </w:tcBorders>
            <w:tcMar>
              <w:top w:type="dxa" w:w="40"/>
              <w:left w:type="dxa" w:w="80"/>
              <w:bottom w:type="dxa" w:w="40"/>
              <w:right w:type="dxa" w:w="80"/>
            </w:tcMar>
          </w:tcPr>
          <w:p>
            <w:pPr>
              <w:jc w:val="right"/>
            </w:pPr>
            <w:r>
              <w:rPr>
                <w:rFonts w:ascii="Calibri" w:cs="Calibri" w:eastAsia="Calibri" w:hAnsi="Calibri"/>
                <w:b/>
                <w:bCs/>
                <w:color w:val="334155"/>
                <w:sz w:val="15"/>
                <w:szCs w:val="15"/>
              </w:rPr>
              <w:t xml:space="preserve">559,8</w:t>
            </w:r>
          </w:p>
        </w:tc>
        <w:tc>
          <w:tcPr>
            <w:tcW w:type="dxa" w:w="754"/>
            <w:tcBorders>
              <w:top w:val="single" w:color="94A3B8" w:sz="4"/>
            </w:tcBorders>
            <w:tcMar>
              <w:top w:type="dxa" w:w="40"/>
              <w:left w:type="dxa" w:w="80"/>
              <w:bottom w:type="dxa" w:w="40"/>
              <w:right w:type="dxa" w:w="80"/>
            </w:tcMar>
          </w:tcPr>
          <w:p>
            <w:pPr>
              <w:jc w:val="right"/>
            </w:pPr>
            <w:r>
              <w:rPr>
                <w:rFonts w:ascii="Calibri" w:cs="Calibri" w:eastAsia="Calibri" w:hAnsi="Calibri"/>
                <w:b/>
                <w:bCs/>
                <w:color w:val="334155"/>
                <w:sz w:val="15"/>
                <w:szCs w:val="15"/>
              </w:rPr>
              <w:t xml:space="preserve">627,7</w:t>
            </w:r>
          </w:p>
        </w:tc>
        <w:tc>
          <w:tcPr>
            <w:tcW w:type="dxa" w:w="754"/>
            <w:tcBorders>
              <w:top w:val="single" w:color="94A3B8" w:sz="4"/>
            </w:tcBorders>
            <w:tcMar>
              <w:top w:type="dxa" w:w="40"/>
              <w:left w:type="dxa" w:w="80"/>
              <w:bottom w:type="dxa" w:w="40"/>
              <w:right w:type="dxa" w:w="80"/>
            </w:tcMar>
          </w:tcPr>
          <w:p>
            <w:pPr>
              <w:jc w:val="right"/>
            </w:pPr>
            <w:r>
              <w:rPr>
                <w:rFonts w:ascii="Calibri" w:cs="Calibri" w:eastAsia="Calibri" w:hAnsi="Calibri"/>
                <w:b/>
                <w:bCs/>
                <w:color w:val="334155"/>
                <w:sz w:val="15"/>
                <w:szCs w:val="15"/>
              </w:rPr>
              <w:t xml:space="preserve">707,4</w:t>
            </w:r>
          </w:p>
        </w:tc>
        <w:tc>
          <w:tcPr>
            <w:tcW w:type="dxa" w:w="754"/>
            <w:tcBorders>
              <w:top w:val="single" w:color="94A3B8" w:sz="4"/>
            </w:tcBorders>
            <w:tcMar>
              <w:top w:type="dxa" w:w="40"/>
              <w:left w:type="dxa" w:w="80"/>
              <w:bottom w:type="dxa" w:w="40"/>
              <w:right w:type="dxa" w:w="80"/>
            </w:tcMar>
          </w:tcPr>
          <w:p>
            <w:pPr>
              <w:jc w:val="right"/>
            </w:pPr>
            <w:r>
              <w:rPr>
                <w:rFonts w:ascii="Calibri" w:cs="Calibri" w:eastAsia="Calibri" w:hAnsi="Calibri"/>
                <w:b/>
                <w:bCs/>
                <w:color w:val="334155"/>
                <w:sz w:val="15"/>
                <w:szCs w:val="15"/>
              </w:rPr>
              <w:t xml:space="preserve">770,4</w:t>
            </w:r>
          </w:p>
        </w:tc>
        <w:tc>
          <w:tcPr>
            <w:tcW w:type="dxa" w:w="754"/>
            <w:tcBorders>
              <w:top w:val="single" w:color="94A3B8" w:sz="4"/>
            </w:tcBorders>
            <w:tcMar>
              <w:top w:type="dxa" w:w="40"/>
              <w:left w:type="dxa" w:w="80"/>
              <w:bottom w:type="dxa" w:w="40"/>
              <w:right w:type="dxa" w:w="80"/>
            </w:tcMar>
          </w:tcPr>
          <w:p>
            <w:pPr>
              <w:jc w:val="right"/>
            </w:pPr>
            <w:r>
              <w:rPr>
                <w:rFonts w:ascii="Calibri" w:cs="Calibri" w:eastAsia="Calibri" w:hAnsi="Calibri"/>
                <w:b/>
                <w:bCs/>
                <w:color w:val="334155"/>
                <w:sz w:val="15"/>
                <w:szCs w:val="15"/>
              </w:rPr>
              <w:t xml:space="preserve">849,1</w:t>
            </w:r>
          </w:p>
        </w:tc>
        <w:tc>
          <w:tcPr>
            <w:tcW w:type="dxa" w:w="754"/>
            <w:tcBorders>
              <w:top w:val="single" w:color="94A3B8" w:sz="4"/>
            </w:tcBorders>
            <w:tcMar>
              <w:top w:type="dxa" w:w="40"/>
              <w:left w:type="dxa" w:w="80"/>
              <w:bottom w:type="dxa" w:w="40"/>
              <w:right w:type="dxa" w:w="80"/>
            </w:tcMar>
          </w:tcPr>
          <w:p>
            <w:pPr>
              <w:jc w:val="right"/>
            </w:pPr>
            <w:r>
              <w:rPr>
                <w:rFonts w:ascii="Calibri" w:cs="Calibri" w:eastAsia="Calibri" w:hAnsi="Calibri"/>
                <w:b/>
                <w:bCs/>
                <w:color w:val="334155"/>
                <w:sz w:val="15"/>
                <w:szCs w:val="15"/>
              </w:rPr>
              <w:t xml:space="preserve">947,1</w:t>
            </w:r>
          </w:p>
        </w:tc>
        <w:tc>
          <w:tcPr>
            <w:tcW w:type="dxa" w:w="754"/>
            <w:tcBorders>
              <w:top w:val="single" w:color="94A3B8" w:sz="4"/>
            </w:tcBorders>
            <w:tcMar>
              <w:top w:type="dxa" w:w="40"/>
              <w:left w:type="dxa" w:w="80"/>
              <w:bottom w:type="dxa" w:w="40"/>
              <w:right w:type="dxa" w:w="80"/>
            </w:tcMar>
          </w:tcPr>
          <w:p>
            <w:pPr>
              <w:jc w:val="right"/>
            </w:pPr>
            <w:r>
              <w:rPr>
                <w:rFonts w:ascii="Calibri" w:cs="Calibri" w:eastAsia="Calibri" w:hAnsi="Calibri"/>
                <w:b/>
                <w:bCs/>
                <w:color w:val="334155"/>
                <w:sz w:val="15"/>
                <w:szCs w:val="15"/>
              </w:rPr>
              <w:t xml:space="preserve">1.038,4</w:t>
            </w:r>
          </w:p>
        </w:tc>
        <w:tc>
          <w:tcPr>
            <w:tcW w:type="dxa" w:w="862"/>
            <w:tcBorders>
              <w:top w:val="single" w:color="94A3B8" w:sz="4"/>
            </w:tcBorders>
            <w:tcMar>
              <w:top w:type="dxa" w:w="40"/>
              <w:left w:type="dxa" w:w="80"/>
              <w:bottom w:type="dxa" w:w="40"/>
              <w:right w:type="dxa" w:w="80"/>
            </w:tcMar>
          </w:tcPr>
          <w:p>
            <w:pPr>
              <w:jc w:val="right"/>
            </w:pPr>
            <w:r>
              <w:rPr>
                <w:rFonts w:ascii="Calibri" w:cs="Calibri" w:eastAsia="Calibri" w:hAnsi="Calibri"/>
                <w:b/>
                <w:bCs/>
                <w:color w:val="334155"/>
                <w:sz w:val="15"/>
                <w:szCs w:val="15"/>
              </w:rPr>
              <w:t xml:space="preserve">6.819,7</w:t>
            </w:r>
          </w:p>
        </w:tc>
      </w:tr>
      <w:tr>
        <w:trPr>
          <w:cantSplit/>
        </w:trPr>
        <w:tc>
          <w:tcPr>
            <w:tcW w:type="dxa" w:w="4365"/>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Impuesto sobre utilidades</w:t>
            </w:r>
          </w:p>
        </w:tc>
        <w:tc>
          <w:tcPr>
            <w:tcW w:type="dxa" w:w="647"/>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kUSD</w:t>
            </w:r>
          </w:p>
        </w:tc>
        <w:tc>
          <w:tcPr>
            <w:tcW w:type="dxa" w:w="64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64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135,4</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153,1</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173,8</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195,9</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219,7</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247,6</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269,6</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297,2</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331,5</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363,4</w:t>
            </w:r>
          </w:p>
        </w:tc>
        <w:tc>
          <w:tcPr>
            <w:tcW w:type="dxa" w:w="86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2.387,2</w:t>
            </w:r>
          </w:p>
        </w:tc>
      </w:tr>
      <w:tr>
        <w:trPr>
          <w:cantSplit/>
        </w:trPr>
        <w:tc>
          <w:tcPr>
            <w:tcW w:type="dxa" w:w="4365"/>
            <w:tcBorders>
              <w:top w:val="single" w:color="94A3B8" w:sz="4"/>
            </w:tcBorders>
            <w:tcMar>
              <w:top w:type="dxa" w:w="40"/>
              <w:left w:type="dxa" w:w="80"/>
              <w:bottom w:type="dxa" w:w="40"/>
              <w:right w:type="dxa" w:w="80"/>
            </w:tcMar>
          </w:tcPr>
          <w:p>
            <w:pPr>
              <w:jc w:val="left"/>
            </w:pPr>
            <w:r>
              <w:rPr>
                <w:rFonts w:ascii="Calibri" w:cs="Calibri" w:eastAsia="Calibri" w:hAnsi="Calibri"/>
                <w:b/>
                <w:bCs/>
                <w:color w:val="334155"/>
                <w:sz w:val="15"/>
                <w:szCs w:val="15"/>
              </w:rPr>
              <w:t xml:space="preserve">UTILIDAD DESPUÉS DE IMPUESTOS (3-4)</w:t>
            </w:r>
          </w:p>
        </w:tc>
        <w:tc>
          <w:tcPr>
            <w:tcW w:type="dxa" w:w="647"/>
            <w:tcBorders>
              <w:top w:val="single" w:color="94A3B8" w:sz="4"/>
            </w:tcBorders>
            <w:tcMar>
              <w:top w:type="dxa" w:w="40"/>
              <w:left w:type="dxa" w:w="80"/>
              <w:bottom w:type="dxa" w:w="40"/>
              <w:right w:type="dxa" w:w="80"/>
            </w:tcMar>
          </w:tcPr>
          <w:p>
            <w:pPr>
              <w:jc w:val="left"/>
            </w:pPr>
            <w:r>
              <w:rPr>
                <w:rFonts w:ascii="Calibri" w:cs="Calibri" w:eastAsia="Calibri" w:hAnsi="Calibri"/>
                <w:b/>
                <w:bCs/>
                <w:color w:val="334155"/>
                <w:sz w:val="15"/>
                <w:szCs w:val="15"/>
              </w:rPr>
              <w:t xml:space="preserve">kUSD</w:t>
            </w:r>
          </w:p>
        </w:tc>
        <w:tc>
          <w:tcPr>
            <w:tcW w:type="dxa" w:w="647"/>
            <w:tcBorders>
              <w:top w:val="single" w:color="94A3B8" w:sz="4"/>
            </w:tcBorders>
            <w:tcMar>
              <w:top w:type="dxa" w:w="40"/>
              <w:left w:type="dxa" w:w="80"/>
              <w:bottom w:type="dxa" w:w="40"/>
              <w:right w:type="dxa" w:w="80"/>
            </w:tcMar>
          </w:tcPr>
          <w:p>
            <w:pPr>
              <w:jc w:val="right"/>
            </w:pPr>
            <w:r>
              <w:rPr>
                <w:rFonts w:ascii="Calibri" w:cs="Calibri" w:eastAsia="Calibri" w:hAnsi="Calibri"/>
                <w:b/>
                <w:bCs/>
                <w:color w:val="334155"/>
                <w:sz w:val="15"/>
                <w:szCs w:val="15"/>
              </w:rPr>
              <w:t xml:space="preserve">-0,8</w:t>
            </w:r>
          </w:p>
        </w:tc>
        <w:tc>
          <w:tcPr>
            <w:tcW w:type="dxa" w:w="647"/>
            <w:tcBorders>
              <w:top w:val="single" w:color="94A3B8" w:sz="4"/>
            </w:tcBorders>
            <w:tcMar>
              <w:top w:type="dxa" w:w="40"/>
              <w:left w:type="dxa" w:w="80"/>
              <w:bottom w:type="dxa" w:w="40"/>
              <w:right w:type="dxa" w:w="80"/>
            </w:tcMar>
          </w:tcPr>
          <w:p>
            <w:pPr>
              <w:jc w:val="right"/>
            </w:pPr>
            <w:r>
              <w:rPr>
                <w:rFonts w:ascii="Calibri" w:cs="Calibri" w:eastAsia="Calibri" w:hAnsi="Calibri"/>
                <w:b/>
                <w:bCs/>
                <w:color w:val="334155"/>
                <w:sz w:val="15"/>
                <w:szCs w:val="15"/>
              </w:rPr>
              <w:t xml:space="preserve">251,5</w:t>
            </w:r>
          </w:p>
        </w:tc>
        <w:tc>
          <w:tcPr>
            <w:tcW w:type="dxa" w:w="754"/>
            <w:tcBorders>
              <w:top w:val="single" w:color="94A3B8" w:sz="4"/>
            </w:tcBorders>
            <w:tcMar>
              <w:top w:type="dxa" w:w="40"/>
              <w:left w:type="dxa" w:w="80"/>
              <w:bottom w:type="dxa" w:w="40"/>
              <w:right w:type="dxa" w:w="80"/>
            </w:tcMar>
          </w:tcPr>
          <w:p>
            <w:pPr>
              <w:jc w:val="right"/>
            </w:pPr>
            <w:r>
              <w:rPr>
                <w:rFonts w:ascii="Calibri" w:cs="Calibri" w:eastAsia="Calibri" w:hAnsi="Calibri"/>
                <w:b/>
                <w:bCs/>
                <w:color w:val="334155"/>
                <w:sz w:val="15"/>
                <w:szCs w:val="15"/>
              </w:rPr>
              <w:t xml:space="preserve">284,3</w:t>
            </w:r>
          </w:p>
        </w:tc>
        <w:tc>
          <w:tcPr>
            <w:tcW w:type="dxa" w:w="754"/>
            <w:tcBorders>
              <w:top w:val="single" w:color="94A3B8" w:sz="4"/>
            </w:tcBorders>
            <w:tcMar>
              <w:top w:type="dxa" w:w="40"/>
              <w:left w:type="dxa" w:w="80"/>
              <w:bottom w:type="dxa" w:w="40"/>
              <w:right w:type="dxa" w:w="80"/>
            </w:tcMar>
          </w:tcPr>
          <w:p>
            <w:pPr>
              <w:jc w:val="right"/>
            </w:pPr>
            <w:r>
              <w:rPr>
                <w:rFonts w:ascii="Calibri" w:cs="Calibri" w:eastAsia="Calibri" w:hAnsi="Calibri"/>
                <w:b/>
                <w:bCs/>
                <w:color w:val="334155"/>
                <w:sz w:val="15"/>
                <w:szCs w:val="15"/>
              </w:rPr>
              <w:t xml:space="preserve">322,7</w:t>
            </w:r>
          </w:p>
        </w:tc>
        <w:tc>
          <w:tcPr>
            <w:tcW w:type="dxa" w:w="754"/>
            <w:tcBorders>
              <w:top w:val="single" w:color="94A3B8" w:sz="4"/>
            </w:tcBorders>
            <w:tcMar>
              <w:top w:type="dxa" w:w="40"/>
              <w:left w:type="dxa" w:w="80"/>
              <w:bottom w:type="dxa" w:w="40"/>
              <w:right w:type="dxa" w:w="80"/>
            </w:tcMar>
          </w:tcPr>
          <w:p>
            <w:pPr>
              <w:jc w:val="right"/>
            </w:pPr>
            <w:r>
              <w:rPr>
                <w:rFonts w:ascii="Calibri" w:cs="Calibri" w:eastAsia="Calibri" w:hAnsi="Calibri"/>
                <w:b/>
                <w:bCs/>
                <w:color w:val="334155"/>
                <w:sz w:val="15"/>
                <w:szCs w:val="15"/>
              </w:rPr>
              <w:t xml:space="preserve">363,9</w:t>
            </w:r>
          </w:p>
        </w:tc>
        <w:tc>
          <w:tcPr>
            <w:tcW w:type="dxa" w:w="754"/>
            <w:tcBorders>
              <w:top w:val="single" w:color="94A3B8" w:sz="4"/>
            </w:tcBorders>
            <w:tcMar>
              <w:top w:type="dxa" w:w="40"/>
              <w:left w:type="dxa" w:w="80"/>
              <w:bottom w:type="dxa" w:w="40"/>
              <w:right w:type="dxa" w:w="80"/>
            </w:tcMar>
          </w:tcPr>
          <w:p>
            <w:pPr>
              <w:jc w:val="right"/>
            </w:pPr>
            <w:r>
              <w:rPr>
                <w:rFonts w:ascii="Calibri" w:cs="Calibri" w:eastAsia="Calibri" w:hAnsi="Calibri"/>
                <w:b/>
                <w:bCs/>
                <w:color w:val="334155"/>
                <w:sz w:val="15"/>
                <w:szCs w:val="15"/>
              </w:rPr>
              <w:t xml:space="preserve">408,0</w:t>
            </w:r>
          </w:p>
        </w:tc>
        <w:tc>
          <w:tcPr>
            <w:tcW w:type="dxa" w:w="754"/>
            <w:tcBorders>
              <w:top w:val="single" w:color="94A3B8" w:sz="4"/>
            </w:tcBorders>
            <w:tcMar>
              <w:top w:type="dxa" w:w="40"/>
              <w:left w:type="dxa" w:w="80"/>
              <w:bottom w:type="dxa" w:w="40"/>
              <w:right w:type="dxa" w:w="80"/>
            </w:tcMar>
          </w:tcPr>
          <w:p>
            <w:pPr>
              <w:jc w:val="right"/>
            </w:pPr>
            <w:r>
              <w:rPr>
                <w:rFonts w:ascii="Calibri" w:cs="Calibri" w:eastAsia="Calibri" w:hAnsi="Calibri"/>
                <w:b/>
                <w:bCs/>
                <w:color w:val="334155"/>
                <w:sz w:val="15"/>
                <w:szCs w:val="15"/>
              </w:rPr>
              <w:t xml:space="preserve">459,8</w:t>
            </w:r>
          </w:p>
        </w:tc>
        <w:tc>
          <w:tcPr>
            <w:tcW w:type="dxa" w:w="754"/>
            <w:tcBorders>
              <w:top w:val="single" w:color="94A3B8" w:sz="4"/>
            </w:tcBorders>
            <w:tcMar>
              <w:top w:type="dxa" w:w="40"/>
              <w:left w:type="dxa" w:w="80"/>
              <w:bottom w:type="dxa" w:w="40"/>
              <w:right w:type="dxa" w:w="80"/>
            </w:tcMar>
          </w:tcPr>
          <w:p>
            <w:pPr>
              <w:jc w:val="right"/>
            </w:pPr>
            <w:r>
              <w:rPr>
                <w:rFonts w:ascii="Calibri" w:cs="Calibri" w:eastAsia="Calibri" w:hAnsi="Calibri"/>
                <w:b/>
                <w:bCs/>
                <w:color w:val="334155"/>
                <w:sz w:val="15"/>
                <w:szCs w:val="15"/>
              </w:rPr>
              <w:t xml:space="preserve">500,7</w:t>
            </w:r>
          </w:p>
        </w:tc>
        <w:tc>
          <w:tcPr>
            <w:tcW w:type="dxa" w:w="754"/>
            <w:tcBorders>
              <w:top w:val="single" w:color="94A3B8" w:sz="4"/>
            </w:tcBorders>
            <w:tcMar>
              <w:top w:type="dxa" w:w="40"/>
              <w:left w:type="dxa" w:w="80"/>
              <w:bottom w:type="dxa" w:w="40"/>
              <w:right w:type="dxa" w:w="80"/>
            </w:tcMar>
          </w:tcPr>
          <w:p>
            <w:pPr>
              <w:jc w:val="right"/>
            </w:pPr>
            <w:r>
              <w:rPr>
                <w:rFonts w:ascii="Calibri" w:cs="Calibri" w:eastAsia="Calibri" w:hAnsi="Calibri"/>
                <w:b/>
                <w:bCs/>
                <w:color w:val="334155"/>
                <w:sz w:val="15"/>
                <w:szCs w:val="15"/>
              </w:rPr>
              <w:t xml:space="preserve">551,9</w:t>
            </w:r>
          </w:p>
        </w:tc>
        <w:tc>
          <w:tcPr>
            <w:tcW w:type="dxa" w:w="754"/>
            <w:tcBorders>
              <w:top w:val="single" w:color="94A3B8" w:sz="4"/>
            </w:tcBorders>
            <w:tcMar>
              <w:top w:type="dxa" w:w="40"/>
              <w:left w:type="dxa" w:w="80"/>
              <w:bottom w:type="dxa" w:w="40"/>
              <w:right w:type="dxa" w:w="80"/>
            </w:tcMar>
          </w:tcPr>
          <w:p>
            <w:pPr>
              <w:jc w:val="right"/>
            </w:pPr>
            <w:r>
              <w:rPr>
                <w:rFonts w:ascii="Calibri" w:cs="Calibri" w:eastAsia="Calibri" w:hAnsi="Calibri"/>
                <w:b/>
                <w:bCs/>
                <w:color w:val="334155"/>
                <w:sz w:val="15"/>
                <w:szCs w:val="15"/>
              </w:rPr>
              <w:t xml:space="preserve">615,6</w:t>
            </w:r>
          </w:p>
        </w:tc>
        <w:tc>
          <w:tcPr>
            <w:tcW w:type="dxa" w:w="754"/>
            <w:tcBorders>
              <w:top w:val="single" w:color="94A3B8" w:sz="4"/>
            </w:tcBorders>
            <w:tcMar>
              <w:top w:type="dxa" w:w="40"/>
              <w:left w:type="dxa" w:w="80"/>
              <w:bottom w:type="dxa" w:w="40"/>
              <w:right w:type="dxa" w:w="80"/>
            </w:tcMar>
          </w:tcPr>
          <w:p>
            <w:pPr>
              <w:jc w:val="right"/>
            </w:pPr>
            <w:r>
              <w:rPr>
                <w:rFonts w:ascii="Calibri" w:cs="Calibri" w:eastAsia="Calibri" w:hAnsi="Calibri"/>
                <w:b/>
                <w:bCs/>
                <w:color w:val="334155"/>
                <w:sz w:val="15"/>
                <w:szCs w:val="15"/>
              </w:rPr>
              <w:t xml:space="preserve">675,0</w:t>
            </w:r>
          </w:p>
        </w:tc>
        <w:tc>
          <w:tcPr>
            <w:tcW w:type="dxa" w:w="862"/>
            <w:tcBorders>
              <w:top w:val="single" w:color="94A3B8" w:sz="4"/>
            </w:tcBorders>
            <w:tcMar>
              <w:top w:type="dxa" w:w="40"/>
              <w:left w:type="dxa" w:w="80"/>
              <w:bottom w:type="dxa" w:w="40"/>
              <w:right w:type="dxa" w:w="80"/>
            </w:tcMar>
          </w:tcPr>
          <w:p>
            <w:pPr>
              <w:jc w:val="right"/>
            </w:pPr>
            <w:r>
              <w:rPr>
                <w:rFonts w:ascii="Calibri" w:cs="Calibri" w:eastAsia="Calibri" w:hAnsi="Calibri"/>
                <w:b/>
                <w:bCs/>
                <w:color w:val="334155"/>
                <w:sz w:val="15"/>
                <w:szCs w:val="15"/>
              </w:rPr>
              <w:t xml:space="preserve">4.432,6</w:t>
            </w:r>
          </w:p>
        </w:tc>
      </w:tr>
      <w:tr>
        <w:trPr>
          <w:cantSplit/>
        </w:trPr>
        <w:tc>
          <w:tcPr>
            <w:tcW w:type="dxa" w:w="4365"/>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Amortización del principal del crédito (memoria; flujo de financiación, no gasto)</w:t>
            </w:r>
          </w:p>
        </w:tc>
        <w:tc>
          <w:tcPr>
            <w:tcW w:type="dxa" w:w="647"/>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kUSD</w:t>
            </w:r>
          </w:p>
        </w:tc>
        <w:tc>
          <w:tcPr>
            <w:tcW w:type="dxa" w:w="64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64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60,0</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60,0</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60,0</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60,0</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60,0</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86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
            </w:r>
          </w:p>
        </w:tc>
      </w:tr>
      <w:tr>
        <w:trPr>
          <w:cantSplit/>
        </w:trPr>
        <w:tc>
          <w:tcPr>
            <w:tcW w:type="dxa" w:w="4365"/>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Saldo de la deuda al cierre (memoria; flujo de financiación, no gasto)</w:t>
            </w:r>
          </w:p>
        </w:tc>
        <w:tc>
          <w:tcPr>
            <w:tcW w:type="dxa" w:w="647"/>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kUSD</w:t>
            </w:r>
          </w:p>
        </w:tc>
        <w:tc>
          <w:tcPr>
            <w:tcW w:type="dxa" w:w="64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300,0</w:t>
            </w:r>
          </w:p>
        </w:tc>
        <w:tc>
          <w:tcPr>
            <w:tcW w:type="dxa" w:w="64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300,0</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240,0</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180,0</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120,0</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60,0</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86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
            </w:r>
          </w:p>
        </w:tc>
      </w:tr>
      <w:tr>
        <w:trPr>
          <w:cantSplit/>
        </w:trPr>
        <w:tc>
          <w:tcPr>
            <w:tcW w:type="dxa" w:w="4365"/>
            <w:tcBorders>
              <w:bottom w:val="single" w:color="64748B" w:sz="8"/>
            </w:tcBorders>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Dividendos pagables (memoria; no es gasto)</w:t>
            </w:r>
          </w:p>
        </w:tc>
        <w:tc>
          <w:tcPr>
            <w:tcW w:type="dxa" w:w="647"/>
            <w:tcBorders>
              <w:bottom w:val="single" w:color="64748B" w:sz="8"/>
            </w:tcBorders>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kUSD</w:t>
            </w:r>
          </w:p>
        </w:tc>
        <w:tc>
          <w:tcPr>
            <w:tcW w:type="dxa" w:w="647"/>
            <w:tcBorders>
              <w:bottom w:val="single" w:color="64748B" w:sz="8"/>
            </w:tcBorders>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647"/>
            <w:tcBorders>
              <w:bottom w:val="single" w:color="64748B" w:sz="8"/>
            </w:tcBorders>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754"/>
            <w:tcBorders>
              <w:bottom w:val="single" w:color="64748B" w:sz="8"/>
            </w:tcBorders>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754"/>
            <w:tcBorders>
              <w:bottom w:val="single" w:color="64748B" w:sz="8"/>
            </w:tcBorders>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754"/>
            <w:tcBorders>
              <w:bottom w:val="single" w:color="64748B" w:sz="8"/>
            </w:tcBorders>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330,0</w:t>
            </w:r>
          </w:p>
        </w:tc>
        <w:tc>
          <w:tcPr>
            <w:tcW w:type="dxa" w:w="754"/>
            <w:tcBorders>
              <w:bottom w:val="single" w:color="64748B" w:sz="8"/>
            </w:tcBorders>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467,3</w:t>
            </w:r>
          </w:p>
        </w:tc>
        <w:tc>
          <w:tcPr>
            <w:tcW w:type="dxa" w:w="754"/>
            <w:tcBorders>
              <w:bottom w:val="single" w:color="64748B" w:sz="8"/>
            </w:tcBorders>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417,2</w:t>
            </w:r>
          </w:p>
        </w:tc>
        <w:tc>
          <w:tcPr>
            <w:tcW w:type="dxa" w:w="754"/>
            <w:tcBorders>
              <w:bottom w:val="single" w:color="64748B" w:sz="8"/>
            </w:tcBorders>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413,1</w:t>
            </w:r>
          </w:p>
        </w:tc>
        <w:tc>
          <w:tcPr>
            <w:tcW w:type="dxa" w:w="754"/>
            <w:tcBorders>
              <w:bottom w:val="single" w:color="64748B" w:sz="8"/>
            </w:tcBorders>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434,3</w:t>
            </w:r>
          </w:p>
        </w:tc>
        <w:tc>
          <w:tcPr>
            <w:tcW w:type="dxa" w:w="754"/>
            <w:tcBorders>
              <w:bottom w:val="single" w:color="64748B" w:sz="8"/>
            </w:tcBorders>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472,4</w:t>
            </w:r>
          </w:p>
        </w:tc>
        <w:tc>
          <w:tcPr>
            <w:tcW w:type="dxa" w:w="754"/>
            <w:tcBorders>
              <w:bottom w:val="single" w:color="64748B" w:sz="8"/>
            </w:tcBorders>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516,3</w:t>
            </w:r>
          </w:p>
        </w:tc>
        <w:tc>
          <w:tcPr>
            <w:tcW w:type="dxa" w:w="862"/>
            <w:tcBorders>
              <w:bottom w:val="single" w:color="64748B" w:sz="8"/>
            </w:tcBorders>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
            </w:r>
          </w:p>
        </w:tc>
      </w:tr>
    </w:tbl>
    <w:p>
      <w:pPr>
        <w:sectPr>
          <w:headerReference w:type="default" r:id="rId10"/>
          <w:footerReference w:type="default" r:id="rId11"/>
          <w:pgSz w:w="11906" w:h="16838" w:orient="landscape"/>
          <w:pgMar w:top="1440" w:right="1440" w:bottom="1440" w:left="1440" w:header="708" w:footer="708" w:gutter="0"/>
          <w:pgNumType/>
          <w:docGrid w:linePitch="360"/>
        </w:sectPr>
      </w:pPr>
    </w:p>
    <w:p>
      <w:pPr>
        <w:pStyle w:val="AnalisisPlanex"/>
        <w:pBdr>
          <w:left w:val="single" w:color="B45309" w:sz="18" w:space="4"/>
        </w:pBdr>
        <w:shd w:fill="FFF7E6" w:color="auto" w:val="clear"/>
        <w:spacing w:after="20" w:before="160"/>
      </w:pPr>
      <w:r>
        <w:rPr>
          <w:rFonts w:ascii="Calibri" w:cs="Calibri" w:eastAsia="Calibri" w:hAnsi="Calibri"/>
          <w:b/>
          <w:bCs/>
          <w:color w:val="B45309"/>
          <w:sz w:val="18"/>
          <w:szCs w:val="18"/>
        </w:rPr>
        <w:t xml:space="preserve">Análisis de ingresos, costos y utilidades</w:t>
      </w:r>
      <w:r>
        <w:rPr>
          <w:rFonts w:ascii="Calibri" w:cs="Calibri" w:eastAsia="Calibri" w:hAnsi="Calibri"/>
          <w:color w:val="8C6428"/>
          <w:sz w:val="14"/>
          <w:szCs w:val="14"/>
        </w:rPr>
        <w:t xml:space="preserve">  ·  ANÁLISIS GENERADO POR EL MODELO</w:t>
      </w:r>
    </w:p>
    <w:p>
      <w:pPr>
        <w:pStyle w:val="AnalisisCuerpo"/>
        <w:pBdr>
          <w:left w:val="single" w:color="B45309" w:sz="18" w:space="4"/>
          <w:bottom w:val="single" w:color="FFF7E6" w:sz="2" w:space="1"/>
        </w:pBdr>
        <w:shd w:fill="FFF7E6" w:color="auto" w:val="clear"/>
        <w:spacing w:after="160" w:before="0"/>
        <w:jc w:val="both"/>
      </w:pPr>
      <w:r>
        <w:rPr>
          <w:rFonts w:ascii="Calibri" w:cs="Calibri" w:eastAsia="Calibri" w:hAnsi="Calibri"/>
          <w:color w:val="334155"/>
          <w:sz w:val="18"/>
          <w:szCs w:val="18"/>
        </w:rPr>
        <w:t xml:space="preserve">Los ingresos totales pasan de 967,8 miles de USD en el año 1 a 1.959,0 en el año 10 (crecimiento medio implícito 8,1 % anual). Esa trayectoria resulta de la demanda prevista, los precios con su crecimiento parametrizado y la limitación por capacidad del escenario activo; no incluye facturación por encima de lo atendible. En el año 1 los costos variables absorben 26,3 % de los ingresos, la fuerza de trabajo 2,1 % y los costos fijos de operación (canon, mantenimiento, servicios públicos, gastos administrativos y otros) 16,0 %. La depreciación del período es 117,1 miles de USD: es un gasto contable que no representa salida de caja. Con la regla tributaria activa (tasa parametrizada de 35,0 %, supuesto de demostración), el impuesto del año 1 es 135,4 miles de USD y la utilidad después de impuestos 251,5 (26,0 % de margen neto). La utilidad antes de impuestos mejora de 386,9 (año 1) a 1.038,4 (año 10): el modelo atribuye la variación al crecimiento de demanda y precios activado por las reglas vigentes, sin cambios de capacidad adicionales a los programados. Los costos fijos (canon, servicios públicos, otros gastos fijos, aranceles, otros impuestos y royalties) permanecen a valores nominales constantes durante el horizonte por la HIPÓTESIS del parámetro «inflacion_costos_fijos» = 0 %: es una hipótesis de GASTOS NOMINALES CONSTANTES sujeta a PRUEBA CONTRACTUAL — solo es válida si los contratos reales fijan importes nominales por todo el período — y no se califica automáticamente de conservadora: si los contratos efectivamente se indexan, mantener 0 % SUBESTIMA los costos y SOBREESTIMA el resultado. Al cambiar el parámetro a un valor positivo, el informe presentará la sensibilidad de resultados frente a la indexación.</w:t>
      </w:r>
    </w:p>
    <w:p>
      <w:pPr>
        <w:pStyle w:val="NotaTabla"/>
        <w:keepNext/>
        <w:keepLines/>
        <w:spacing w:after="80" w:before="240"/>
      </w:pPr>
      <w:r>
        <w:rPr>
          <w:rFonts w:ascii="Calibri" w:cs="Calibri" w:eastAsia="Calibri" w:hAnsi="Calibri"/>
          <w:b/>
          <w:bCs/>
          <w:color w:val="1E3A5F"/>
          <w:sz w:val="18"/>
          <w:szCs w:val="18"/>
        </w:rPr>
        <w:t xml:space="preserve">Figura 2. Evolución de ingresos, costos y utilidad durante el horizonte</w:t>
      </w:r>
    </w:p>
    <w:p>
      <w:pPr>
        <w:keepLines/>
        <w:spacing w:after="80"/>
        <w:jc w:val="center"/>
      </w:pPr>
      <w:r>
        <w:drawing>
          <wp:inline distT="0" distB="0" distL="0" distR="0">
            <wp:extent cx="5524500" cy="2762250"/>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524500" cy="2762250"/>
                    </a:xfrm>
                    <a:prstGeom prst="rect">
                      <a:avLst/>
                    </a:prstGeom>
                  </pic:spPr>
                </pic:pic>
              </a:graphicData>
            </a:graphic>
          </wp:inline>
        </w:drawing>
      </w:r>
    </w:p>
    <w:p>
      <w:pPr>
        <w:spacing w:after="40" w:before="40"/>
      </w:pPr>
      <w:r>
        <w:rPr>
          <w:rFonts w:ascii="Calibri" w:cs="Calibri" w:eastAsia="Calibri" w:hAnsi="Calibri"/>
          <w:color w:val="2563EB"/>
          <w:sz w:val="16"/>
          <w:szCs w:val="16"/>
        </w:rPr>
        <w:t xml:space="preserve">—— </w:t>
      </w:r>
      <w:r>
        <w:rPr>
          <w:rFonts w:ascii="Calibri" w:cs="Calibri" w:eastAsia="Calibri" w:hAnsi="Calibri"/>
          <w:color w:val="64748B"/>
          <w:sz w:val="16"/>
          <w:szCs w:val="16"/>
        </w:rPr>
        <w:t xml:space="preserve">Ingresos totales</w:t>
      </w:r>
      <w:r>
        <w:rPr>
          <w:rFonts w:ascii="Calibri" w:cs="Calibri" w:eastAsia="Calibri" w:hAnsi="Calibri"/>
          <w:color w:val="64748B"/>
          <w:sz w:val="14"/>
          <w:szCs w:val="14"/>
        </w:rPr>
        <w:t xml:space="preserve">   ·   </w:t>
      </w:r>
      <w:r>
        <w:rPr>
          <w:rFonts w:ascii="Calibri" w:cs="Calibri" w:eastAsia="Calibri" w:hAnsi="Calibri"/>
          <w:color w:val="B91C1C"/>
          <w:sz w:val="16"/>
          <w:szCs w:val="16"/>
        </w:rPr>
        <w:t xml:space="preserve">—— </w:t>
      </w:r>
      <w:r>
        <w:rPr>
          <w:rFonts w:ascii="Calibri" w:cs="Calibri" w:eastAsia="Calibri" w:hAnsi="Calibri"/>
          <w:color w:val="64748B"/>
          <w:sz w:val="16"/>
          <w:szCs w:val="16"/>
        </w:rPr>
        <w:t xml:space="preserve">Costos y gastos totales</w:t>
      </w:r>
      <w:r>
        <w:rPr>
          <w:rFonts w:ascii="Calibri" w:cs="Calibri" w:eastAsia="Calibri" w:hAnsi="Calibri"/>
          <w:color w:val="64748B"/>
          <w:sz w:val="14"/>
          <w:szCs w:val="14"/>
        </w:rPr>
        <w:t xml:space="preserve">   ·   </w:t>
      </w:r>
      <w:r>
        <w:rPr>
          <w:rFonts w:ascii="Calibri" w:cs="Calibri" w:eastAsia="Calibri" w:hAnsi="Calibri"/>
          <w:color w:val="15803D"/>
          <w:sz w:val="16"/>
          <w:szCs w:val="16"/>
        </w:rPr>
        <w:t xml:space="preserve">—— </w:t>
      </w:r>
      <w:r>
        <w:rPr>
          <w:rFonts w:ascii="Calibri" w:cs="Calibri" w:eastAsia="Calibri" w:hAnsi="Calibri"/>
          <w:color w:val="64748B"/>
          <w:sz w:val="16"/>
          <w:szCs w:val="16"/>
        </w:rPr>
        <w:t xml:space="preserve">Utilidad después de impuestos</w:t>
      </w:r>
    </w:p>
    <w:p>
      <w:pPr>
        <w:pStyle w:val="NotaTexto"/>
        <w:spacing w:after="60" w:before="20"/>
      </w:pPr>
      <w:r>
        <w:rPr>
          <w:rFonts w:ascii="Calibri" w:cs="Calibri" w:eastAsia="Calibri" w:hAnsi="Calibri"/>
          <w:color w:val="64748B"/>
          <w:sz w:val="16"/>
          <w:szCs w:val="16"/>
        </w:rPr>
        <w:t xml:space="preserve">Unidades del eje vertical: Miles de USD (kUSD). Eje horizontal: Años de operación (1–10). </w:t>
      </w:r>
      <w:r>
        <w:rPr>
          <w:rFonts w:ascii="Calibri" w:cs="Calibri" w:eastAsia="Calibri" w:hAnsi="Calibri"/>
          <w:i/>
          <w:iCs/>
          <w:color w:val="64748B"/>
          <w:sz w:val="16"/>
          <w:szCs w:val="16"/>
        </w:rPr>
        <w:t xml:space="preserve">Nota. Fuente: modelo de cálculo activo (estado de resultados, años 1–10). Importes en miles de usd (kusd); cantidades limitadas por la capacidad del escenario activo. Los valores de cada año corresponden a las mismas cifras de la tabla «Proyección de ingresos, costos y utilidades» del apartado 4.7.</w:t>
      </w:r>
    </w:p>
    <w:p>
      <w:pPr>
        <w:pStyle w:val="NotaTexto"/>
        <w:spacing w:after="60" w:before="60" w:line="276"/>
        <w:jc w:val="both"/>
      </w:pPr>
      <w:r>
        <w:rPr>
          <w:rFonts w:ascii="Calibri" w:cs="Calibri" w:eastAsia="Calibri" w:hAnsi="Calibri"/>
          <w:color w:val="334155"/>
          <w:sz w:val="16"/>
          <w:szCs w:val="16"/>
        </w:rPr>
        <w:t xml:space="preserve">La figura muestra la evolución de ingresos, costos y utilidad del horizonte con los MISMOS valores de la tabla anterior (misma fuente: el modelo de cálculo activo); no representa escenarios no modelados.</w:t>
      </w:r>
    </w:p>
    <w:p>
      <w:pPr>
        <w:pStyle w:val="Heading1"/>
        <w:pageBreakBefore/>
      </w:pPr>
      <w:bookmarkStart w:name="_Toc21" w:id="21"/>
      <w:r>
        <w:rPr>
          <w:rFonts w:ascii="Calibri" w:cs="Calibri" w:eastAsia="Calibri" w:hAnsi="Calibri"/>
          <w:b/>
          <w:bCs/>
          <w:color w:val="1E3A5F"/>
          <w:sz w:val="30"/>
          <w:szCs w:val="30"/>
        </w:rPr>
        <w:t xml:space="preserve">4.7.1  Flujos de caja y recuperación de la inversión</w:t>
      </w:r>
      <w:bookmarkEnd w:id="21"/>
    </w:p>
    <w:p>
      <w:pPr>
        <w:pStyle w:val="NotaTexto"/>
        <w:spacing w:after="60" w:before="60" w:line="276"/>
        <w:jc w:val="both"/>
      </w:pPr>
      <w:r>
        <w:rPr>
          <w:rFonts w:ascii="Calibri" w:cs="Calibri" w:eastAsia="Calibri" w:hAnsi="Calibri"/>
          <w:color w:val="334155"/>
          <w:sz w:val="16"/>
          <w:szCs w:val="16"/>
        </w:rPr>
        <w:t xml:space="preserve">El modelo calcula DOS indicadores separados: la recuperación de la INVERSIÓN TOTAL con el flujo de caja del proyecto (FCFF) y la recuperación del CAPITAL APORTADO con el flujo de los socios (FCFE). Ninguno mezcla la utilidad contable con la amortización del crédito. El FCFF reincorpora el interés DESPUÉS DE IMPUESTOS (interés devengado menos su escudo fiscal); el FCFE restituye el escudo y descuenta el interés pagado, de modo que ambos reconcilian algebraicamente: FCFF - FCFE = intereses pagados - escudo fiscal - desembolsos + amortizaciones.</w:t>
      </w:r>
    </w:p>
    <w:p>
      <w:pPr>
        <w:pStyle w:val="NotaTabla"/>
        <w:keepNext/>
        <w:keepLines/>
        <w:spacing w:after="80" w:before="200"/>
      </w:pPr>
      <w:r>
        <w:rPr>
          <w:rFonts w:ascii="Calibri" w:cs="Calibri" w:eastAsia="Calibri" w:hAnsi="Calibri"/>
          <w:b/>
          <w:bCs/>
          <w:color w:val="1E3A5F"/>
          <w:sz w:val="18"/>
          <w:szCs w:val="18"/>
        </w:rPr>
        <w:t xml:space="preserve">Tabla 16. Flujos de caja del proyecto y de los socios (miles de USD; con el escudo fiscal del interés después de impuestos)</w:t>
      </w:r>
    </w:p>
    <w:tbl>
      <w:tblPr>
        <w:tblW w:type="dxa" w:w="9026"/>
        <w:tblBorders>
          <w:top w:val="none" w:color="auto" w:sz="0"/>
          <w:left w:val="none" w:color="auto" w:sz="0"/>
          <w:bottom w:val="none" w:color="auto" w:sz="0"/>
          <w:right w:val="none" w:color="auto" w:sz="0"/>
          <w:insideH w:val="none" w:color="auto" w:sz="0"/>
          <w:insideV w:val="none" w:color="auto" w:sz="0"/>
        </w:tblBorders>
      </w:tblPr>
      <w:tblGrid>
        <w:gridCol w:w="3165"/>
        <w:gridCol w:w="625"/>
        <w:gridCol w:w="625"/>
        <w:gridCol w:w="469"/>
        <w:gridCol w:w="469"/>
        <w:gridCol w:w="469"/>
        <w:gridCol w:w="469"/>
        <w:gridCol w:w="547"/>
        <w:gridCol w:w="547"/>
        <w:gridCol w:w="547"/>
        <w:gridCol w:w="547"/>
        <w:gridCol w:w="547"/>
      </w:tblGrid>
      <w:tr>
        <w:trPr>
          <w:cantSplit/>
          <w:tblHeader/>
        </w:trPr>
        <w:tc>
          <w:tcPr>
            <w:tcW w:type="dxa" w:w="3165"/>
            <w:tcBorders>
              <w:top w:val="single" w:color="64748B" w:sz="8"/>
              <w:bottom w:val="single" w:color="94A3B8" w:sz="4"/>
            </w:tcBorders>
            <w:shd w:fill="EEF2F7" w:color="auto" w:val="clear"/>
            <w:tcMar>
              <w:top w:type="dxa" w:w="40"/>
              <w:left w:type="dxa" w:w="80"/>
              <w:bottom w:type="dxa" w:w="40"/>
              <w:right w:type="dxa" w:w="80"/>
            </w:tcMar>
          </w:tcPr>
          <w:p>
            <w:pPr>
              <w:jc w:val="left"/>
            </w:pPr>
            <w:r>
              <w:rPr>
                <w:rFonts w:ascii="Calibri" w:cs="Calibri" w:eastAsia="Calibri" w:hAnsi="Calibri"/>
                <w:b/>
                <w:bCs/>
                <w:color w:val="1E3A5F"/>
                <w:sz w:val="17"/>
                <w:szCs w:val="17"/>
              </w:rPr>
              <w:t xml:space="preserve">Concepto (kUSD)</w:t>
            </w:r>
          </w:p>
        </w:tc>
        <w:tc>
          <w:tcPr>
            <w:tcW w:type="dxa" w:w="625"/>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7"/>
                <w:szCs w:val="17"/>
              </w:rPr>
              <w:t xml:space="preserve">Año 0</w:t>
            </w:r>
          </w:p>
        </w:tc>
        <w:tc>
          <w:tcPr>
            <w:tcW w:type="dxa" w:w="625"/>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7"/>
                <w:szCs w:val="17"/>
              </w:rPr>
              <w:t xml:space="preserve">Año 1</w:t>
            </w:r>
          </w:p>
        </w:tc>
        <w:tc>
          <w:tcPr>
            <w:tcW w:type="dxa" w:w="469"/>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7"/>
                <w:szCs w:val="17"/>
              </w:rPr>
              <w:t xml:space="preserve">Año 2</w:t>
            </w:r>
          </w:p>
        </w:tc>
        <w:tc>
          <w:tcPr>
            <w:tcW w:type="dxa" w:w="469"/>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7"/>
                <w:szCs w:val="17"/>
              </w:rPr>
              <w:t xml:space="preserve">Año 3</w:t>
            </w:r>
          </w:p>
        </w:tc>
        <w:tc>
          <w:tcPr>
            <w:tcW w:type="dxa" w:w="469"/>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7"/>
                <w:szCs w:val="17"/>
              </w:rPr>
              <w:t xml:space="preserve">Año 4</w:t>
            </w:r>
          </w:p>
        </w:tc>
        <w:tc>
          <w:tcPr>
            <w:tcW w:type="dxa" w:w="469"/>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7"/>
                <w:szCs w:val="17"/>
              </w:rPr>
              <w:t xml:space="preserve">Año 5</w:t>
            </w:r>
          </w:p>
        </w:tc>
        <w:tc>
          <w:tcPr>
            <w:tcW w:type="dxa" w:w="547"/>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7"/>
                <w:szCs w:val="17"/>
              </w:rPr>
              <w:t xml:space="preserve">Año 6</w:t>
            </w:r>
          </w:p>
        </w:tc>
        <w:tc>
          <w:tcPr>
            <w:tcW w:type="dxa" w:w="547"/>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7"/>
                <w:szCs w:val="17"/>
              </w:rPr>
              <w:t xml:space="preserve">Año 7</w:t>
            </w:r>
          </w:p>
        </w:tc>
        <w:tc>
          <w:tcPr>
            <w:tcW w:type="dxa" w:w="547"/>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7"/>
                <w:szCs w:val="17"/>
              </w:rPr>
              <w:t xml:space="preserve">Año 8</w:t>
            </w:r>
          </w:p>
        </w:tc>
        <w:tc>
          <w:tcPr>
            <w:tcW w:type="dxa" w:w="547"/>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7"/>
                <w:szCs w:val="17"/>
              </w:rPr>
              <w:t xml:space="preserve">Año 9</w:t>
            </w:r>
          </w:p>
        </w:tc>
        <w:tc>
          <w:tcPr>
            <w:tcW w:type="dxa" w:w="547"/>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7"/>
                <w:szCs w:val="17"/>
              </w:rPr>
              <w:t xml:space="preserve">Año 10</w:t>
            </w:r>
          </w:p>
        </w:tc>
      </w:tr>
      <w:tr>
        <w:trPr>
          <w:cantSplit/>
        </w:trPr>
        <w:tc>
          <w:tcPr>
            <w:tcW w:type="dxa" w:w="3165"/>
            <w:tcBorders>
              <w:top w:val="single" w:color="94A3B8" w:sz="4"/>
            </w:tcBorders>
            <w:tcMar>
              <w:top w:type="dxa" w:w="40"/>
              <w:left w:type="dxa" w:w="80"/>
              <w:bottom w:type="dxa" w:w="40"/>
              <w:right w:type="dxa" w:w="80"/>
            </w:tcMar>
          </w:tcPr>
          <w:p>
            <w:pPr>
              <w:jc w:val="left"/>
            </w:pPr>
            <w:r>
              <w:rPr>
                <w:rFonts w:ascii="Calibri" w:cs="Calibri" w:eastAsia="Calibri" w:hAnsi="Calibri"/>
                <w:b/>
                <w:bCs/>
                <w:color w:val="334155"/>
                <w:sz w:val="17"/>
                <w:szCs w:val="17"/>
              </w:rPr>
              <w:t xml:space="preserve">Flujo del PROYECTO (FCFF)</w:t>
            </w:r>
          </w:p>
        </w:tc>
        <w:tc>
          <w:tcPr>
            <w:tcW w:type="dxa" w:w="625"/>
            <w:tcBorders>
              <w:top w:val="single" w:color="94A3B8" w:sz="4"/>
            </w:tcBorders>
            <w:tcMar>
              <w:top w:type="dxa" w:w="40"/>
              <w:left w:type="dxa" w:w="80"/>
              <w:bottom w:type="dxa" w:w="40"/>
              <w:right w:type="dxa" w:w="80"/>
            </w:tcMar>
          </w:tcPr>
          <w:p>
            <w:pPr>
              <w:jc w:val="right"/>
            </w:pPr>
            <w:r>
              <w:rPr>
                <w:rFonts w:ascii="Calibri" w:cs="Calibri" w:eastAsia="Calibri" w:hAnsi="Calibri"/>
                <w:b/>
                <w:bCs/>
                <w:color w:val="334155"/>
                <w:sz w:val="17"/>
                <w:szCs w:val="17"/>
              </w:rPr>
              <w:t xml:space="preserve">-1.480,8</w:t>
            </w:r>
          </w:p>
        </w:tc>
        <w:tc>
          <w:tcPr>
            <w:tcW w:type="dxa" w:w="625"/>
            <w:tcBorders>
              <w:top w:val="single" w:color="94A3B8" w:sz="4"/>
            </w:tcBorders>
            <w:tcMar>
              <w:top w:type="dxa" w:w="40"/>
              <w:left w:type="dxa" w:w="80"/>
              <w:bottom w:type="dxa" w:w="40"/>
              <w:right w:type="dxa" w:w="80"/>
            </w:tcMar>
          </w:tcPr>
          <w:p>
            <w:pPr>
              <w:jc w:val="right"/>
            </w:pPr>
            <w:r>
              <w:rPr>
                <w:rFonts w:ascii="Calibri" w:cs="Calibri" w:eastAsia="Calibri" w:hAnsi="Calibri"/>
                <w:b/>
                <w:bCs/>
                <w:color w:val="334155"/>
                <w:sz w:val="17"/>
                <w:szCs w:val="17"/>
              </w:rPr>
              <w:t xml:space="preserve">384,2</w:t>
            </w:r>
          </w:p>
        </w:tc>
        <w:tc>
          <w:tcPr>
            <w:tcW w:type="dxa" w:w="469"/>
            <w:tcBorders>
              <w:top w:val="single" w:color="94A3B8" w:sz="4"/>
            </w:tcBorders>
            <w:tcMar>
              <w:top w:type="dxa" w:w="40"/>
              <w:left w:type="dxa" w:w="80"/>
              <w:bottom w:type="dxa" w:w="40"/>
              <w:right w:type="dxa" w:w="80"/>
            </w:tcMar>
          </w:tcPr>
          <w:p>
            <w:pPr>
              <w:jc w:val="right"/>
            </w:pPr>
            <w:r>
              <w:rPr>
                <w:rFonts w:ascii="Calibri" w:cs="Calibri" w:eastAsia="Calibri" w:hAnsi="Calibri"/>
                <w:b/>
                <w:bCs/>
                <w:color w:val="334155"/>
                <w:sz w:val="17"/>
                <w:szCs w:val="17"/>
              </w:rPr>
              <w:t xml:space="preserve">417,0</w:t>
            </w:r>
          </w:p>
        </w:tc>
        <w:tc>
          <w:tcPr>
            <w:tcW w:type="dxa" w:w="469"/>
            <w:tcBorders>
              <w:top w:val="single" w:color="94A3B8" w:sz="4"/>
            </w:tcBorders>
            <w:tcMar>
              <w:top w:type="dxa" w:w="40"/>
              <w:left w:type="dxa" w:w="80"/>
              <w:bottom w:type="dxa" w:w="40"/>
              <w:right w:type="dxa" w:w="80"/>
            </w:tcMar>
          </w:tcPr>
          <w:p>
            <w:pPr>
              <w:jc w:val="right"/>
            </w:pPr>
            <w:r>
              <w:rPr>
                <w:rFonts w:ascii="Calibri" w:cs="Calibri" w:eastAsia="Calibri" w:hAnsi="Calibri"/>
                <w:b/>
                <w:bCs/>
                <w:color w:val="334155"/>
                <w:sz w:val="17"/>
                <w:szCs w:val="17"/>
              </w:rPr>
              <w:t xml:space="preserve">452,3</w:t>
            </w:r>
          </w:p>
        </w:tc>
        <w:tc>
          <w:tcPr>
            <w:tcW w:type="dxa" w:w="469"/>
            <w:tcBorders>
              <w:top w:val="single" w:color="94A3B8" w:sz="4"/>
            </w:tcBorders>
            <w:tcMar>
              <w:top w:type="dxa" w:w="40"/>
              <w:left w:type="dxa" w:w="80"/>
              <w:bottom w:type="dxa" w:w="40"/>
              <w:right w:type="dxa" w:w="80"/>
            </w:tcMar>
          </w:tcPr>
          <w:p>
            <w:pPr>
              <w:jc w:val="right"/>
            </w:pPr>
            <w:r>
              <w:rPr>
                <w:rFonts w:ascii="Calibri" w:cs="Calibri" w:eastAsia="Calibri" w:hAnsi="Calibri"/>
                <w:b/>
                <w:bCs/>
                <w:color w:val="334155"/>
                <w:sz w:val="17"/>
                <w:szCs w:val="17"/>
              </w:rPr>
              <w:t xml:space="preserve">490,4</w:t>
            </w:r>
          </w:p>
        </w:tc>
        <w:tc>
          <w:tcPr>
            <w:tcW w:type="dxa" w:w="469"/>
            <w:tcBorders>
              <w:top w:val="single" w:color="94A3B8" w:sz="4"/>
            </w:tcBorders>
            <w:tcMar>
              <w:top w:type="dxa" w:w="40"/>
              <w:left w:type="dxa" w:w="80"/>
              <w:bottom w:type="dxa" w:w="40"/>
              <w:right w:type="dxa" w:w="80"/>
            </w:tcMar>
          </w:tcPr>
          <w:p>
            <w:pPr>
              <w:jc w:val="right"/>
            </w:pPr>
            <w:r>
              <w:rPr>
                <w:rFonts w:ascii="Calibri" w:cs="Calibri" w:eastAsia="Calibri" w:hAnsi="Calibri"/>
                <w:b/>
                <w:bCs/>
                <w:color w:val="334155"/>
                <w:sz w:val="17"/>
                <w:szCs w:val="17"/>
              </w:rPr>
              <w:t xml:space="preserve">531,4</w:t>
            </w:r>
          </w:p>
        </w:tc>
        <w:tc>
          <w:tcPr>
            <w:tcW w:type="dxa" w:w="547"/>
            <w:tcBorders>
              <w:top w:val="single" w:color="94A3B8" w:sz="4"/>
            </w:tcBorders>
            <w:tcMar>
              <w:top w:type="dxa" w:w="40"/>
              <w:left w:type="dxa" w:w="80"/>
              <w:bottom w:type="dxa" w:w="40"/>
              <w:right w:type="dxa" w:w="80"/>
            </w:tcMar>
          </w:tcPr>
          <w:p>
            <w:pPr>
              <w:jc w:val="right"/>
            </w:pPr>
            <w:r>
              <w:rPr>
                <w:rFonts w:ascii="Calibri" w:cs="Calibri" w:eastAsia="Calibri" w:hAnsi="Calibri"/>
                <w:b/>
                <w:bCs/>
                <w:color w:val="334155"/>
                <w:sz w:val="17"/>
                <w:szCs w:val="17"/>
              </w:rPr>
              <w:t xml:space="preserve">573,1</w:t>
            </w:r>
          </w:p>
        </w:tc>
        <w:tc>
          <w:tcPr>
            <w:tcW w:type="dxa" w:w="547"/>
            <w:tcBorders>
              <w:top w:val="single" w:color="94A3B8" w:sz="4"/>
            </w:tcBorders>
            <w:tcMar>
              <w:top w:type="dxa" w:w="40"/>
              <w:left w:type="dxa" w:w="80"/>
              <w:bottom w:type="dxa" w:w="40"/>
              <w:right w:type="dxa" w:w="80"/>
            </w:tcMar>
          </w:tcPr>
          <w:p>
            <w:pPr>
              <w:jc w:val="right"/>
            </w:pPr>
            <w:r>
              <w:rPr>
                <w:rFonts w:ascii="Calibri" w:cs="Calibri" w:eastAsia="Calibri" w:hAnsi="Calibri"/>
                <w:b/>
                <w:bCs/>
                <w:color w:val="334155"/>
                <w:sz w:val="17"/>
                <w:szCs w:val="17"/>
              </w:rPr>
              <w:t xml:space="preserve">475,9</w:t>
            </w:r>
          </w:p>
        </w:tc>
        <w:tc>
          <w:tcPr>
            <w:tcW w:type="dxa" w:w="547"/>
            <w:tcBorders>
              <w:top w:val="single" w:color="94A3B8" w:sz="4"/>
            </w:tcBorders>
            <w:tcMar>
              <w:top w:type="dxa" w:w="40"/>
              <w:left w:type="dxa" w:w="80"/>
              <w:bottom w:type="dxa" w:w="40"/>
              <w:right w:type="dxa" w:w="80"/>
            </w:tcMar>
          </w:tcPr>
          <w:p>
            <w:pPr>
              <w:jc w:val="right"/>
            </w:pPr>
            <w:r>
              <w:rPr>
                <w:rFonts w:ascii="Calibri" w:cs="Calibri" w:eastAsia="Calibri" w:hAnsi="Calibri"/>
                <w:b/>
                <w:bCs/>
                <w:color w:val="334155"/>
                <w:sz w:val="17"/>
                <w:szCs w:val="17"/>
              </w:rPr>
              <w:t xml:space="preserve">677,1</w:t>
            </w:r>
          </w:p>
        </w:tc>
        <w:tc>
          <w:tcPr>
            <w:tcW w:type="dxa" w:w="547"/>
            <w:tcBorders>
              <w:top w:val="single" w:color="94A3B8" w:sz="4"/>
            </w:tcBorders>
            <w:tcMar>
              <w:top w:type="dxa" w:w="40"/>
              <w:left w:type="dxa" w:w="80"/>
              <w:bottom w:type="dxa" w:w="40"/>
              <w:right w:type="dxa" w:w="80"/>
            </w:tcMar>
          </w:tcPr>
          <w:p>
            <w:pPr>
              <w:jc w:val="right"/>
            </w:pPr>
            <w:r>
              <w:rPr>
                <w:rFonts w:ascii="Calibri" w:cs="Calibri" w:eastAsia="Calibri" w:hAnsi="Calibri"/>
                <w:b/>
                <w:bCs/>
                <w:color w:val="334155"/>
                <w:sz w:val="17"/>
                <w:szCs w:val="17"/>
              </w:rPr>
              <w:t xml:space="preserve">727,6</w:t>
            </w:r>
          </w:p>
        </w:tc>
        <w:tc>
          <w:tcPr>
            <w:tcW w:type="dxa" w:w="547"/>
            <w:tcBorders>
              <w:top w:val="single" w:color="94A3B8" w:sz="4"/>
            </w:tcBorders>
            <w:tcMar>
              <w:top w:type="dxa" w:w="40"/>
              <w:left w:type="dxa" w:w="80"/>
              <w:bottom w:type="dxa" w:w="40"/>
              <w:right w:type="dxa" w:w="80"/>
            </w:tcMar>
          </w:tcPr>
          <w:p>
            <w:pPr>
              <w:jc w:val="right"/>
            </w:pPr>
            <w:r>
              <w:rPr>
                <w:rFonts w:ascii="Calibri" w:cs="Calibri" w:eastAsia="Calibri" w:hAnsi="Calibri"/>
                <w:b/>
                <w:bCs/>
                <w:color w:val="334155"/>
                <w:sz w:val="17"/>
                <w:szCs w:val="17"/>
              </w:rPr>
              <w:t xml:space="preserve">787,0</w:t>
            </w:r>
          </w:p>
        </w:tc>
      </w:tr>
      <w:tr>
        <w:trPr>
          <w:cantSplit/>
        </w:trPr>
        <w:tc>
          <w:tcPr>
            <w:tcW w:type="dxa" w:w="3165"/>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Flujo acumulado del proyecto</w:t>
            </w:r>
          </w:p>
        </w:tc>
        <w:tc>
          <w:tcPr>
            <w:tcW w:type="dxa" w:w="625"/>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-1.480,8</w:t>
            </w:r>
          </w:p>
        </w:tc>
        <w:tc>
          <w:tcPr>
            <w:tcW w:type="dxa" w:w="625"/>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-1.096,6</w:t>
            </w:r>
          </w:p>
        </w:tc>
        <w:tc>
          <w:tcPr>
            <w:tcW w:type="dxa" w:w="469"/>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-679,6</w:t>
            </w:r>
          </w:p>
        </w:tc>
        <w:tc>
          <w:tcPr>
            <w:tcW w:type="dxa" w:w="469"/>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-227,3</w:t>
            </w:r>
          </w:p>
        </w:tc>
        <w:tc>
          <w:tcPr>
            <w:tcW w:type="dxa" w:w="469"/>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263,1</w:t>
            </w:r>
          </w:p>
        </w:tc>
        <w:tc>
          <w:tcPr>
            <w:tcW w:type="dxa" w:w="469"/>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794,4</w:t>
            </w:r>
          </w:p>
        </w:tc>
        <w:tc>
          <w:tcPr>
            <w:tcW w:type="dxa" w:w="547"/>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1.367,5</w:t>
            </w:r>
          </w:p>
        </w:tc>
        <w:tc>
          <w:tcPr>
            <w:tcW w:type="dxa" w:w="547"/>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1.843,4</w:t>
            </w:r>
          </w:p>
        </w:tc>
        <w:tc>
          <w:tcPr>
            <w:tcW w:type="dxa" w:w="547"/>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2.520,4</w:t>
            </w:r>
          </w:p>
        </w:tc>
        <w:tc>
          <w:tcPr>
            <w:tcW w:type="dxa" w:w="547"/>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3.248,0</w:t>
            </w:r>
          </w:p>
        </w:tc>
        <w:tc>
          <w:tcPr>
            <w:tcW w:type="dxa" w:w="547"/>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4.035,0</w:t>
            </w:r>
          </w:p>
        </w:tc>
      </w:tr>
      <w:tr>
        <w:trPr>
          <w:cantSplit/>
        </w:trPr>
        <w:tc>
          <w:tcPr>
            <w:tcW w:type="dxa" w:w="3165"/>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Saldo pendiente de recuperar (inversión total)</w:t>
            </w:r>
          </w:p>
        </w:tc>
        <w:tc>
          <w:tcPr>
            <w:tcW w:type="dxa" w:w="625"/>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1.480,8</w:t>
            </w:r>
          </w:p>
        </w:tc>
        <w:tc>
          <w:tcPr>
            <w:tcW w:type="dxa" w:w="625"/>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1.096,6</w:t>
            </w:r>
          </w:p>
        </w:tc>
        <w:tc>
          <w:tcPr>
            <w:tcW w:type="dxa" w:w="469"/>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679,6</w:t>
            </w:r>
          </w:p>
        </w:tc>
        <w:tc>
          <w:tcPr>
            <w:tcW w:type="dxa" w:w="469"/>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227,3</w:t>
            </w:r>
          </w:p>
        </w:tc>
        <w:tc>
          <w:tcPr>
            <w:tcW w:type="dxa" w:w="469"/>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0,0</w:t>
            </w:r>
          </w:p>
        </w:tc>
        <w:tc>
          <w:tcPr>
            <w:tcW w:type="dxa" w:w="469"/>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0,0</w:t>
            </w:r>
          </w:p>
        </w:tc>
        <w:tc>
          <w:tcPr>
            <w:tcW w:type="dxa" w:w="547"/>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0,0</w:t>
            </w:r>
          </w:p>
        </w:tc>
        <w:tc>
          <w:tcPr>
            <w:tcW w:type="dxa" w:w="547"/>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0,0</w:t>
            </w:r>
          </w:p>
        </w:tc>
        <w:tc>
          <w:tcPr>
            <w:tcW w:type="dxa" w:w="547"/>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0,0</w:t>
            </w:r>
          </w:p>
        </w:tc>
        <w:tc>
          <w:tcPr>
            <w:tcW w:type="dxa" w:w="547"/>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0,0</w:t>
            </w:r>
          </w:p>
        </w:tc>
        <w:tc>
          <w:tcPr>
            <w:tcW w:type="dxa" w:w="547"/>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0,0</w:t>
            </w:r>
          </w:p>
        </w:tc>
      </w:tr>
      <w:tr>
        <w:trPr>
          <w:cantSplit/>
        </w:trPr>
        <w:tc>
          <w:tcPr>
            <w:tcW w:type="dxa" w:w="3165"/>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Escudo fiscal del interés devengado</w:t>
            </w:r>
          </w:p>
        </w:tc>
        <w:tc>
          <w:tcPr>
            <w:tcW w:type="dxa" w:w="625"/>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0,0</w:t>
            </w:r>
          </w:p>
        </w:tc>
        <w:tc>
          <w:tcPr>
            <w:tcW w:type="dxa" w:w="625"/>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8,4</w:t>
            </w:r>
          </w:p>
        </w:tc>
        <w:tc>
          <w:tcPr>
            <w:tcW w:type="dxa" w:w="469"/>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8,4</w:t>
            </w:r>
          </w:p>
        </w:tc>
        <w:tc>
          <w:tcPr>
            <w:tcW w:type="dxa" w:w="469"/>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6,7</w:t>
            </w:r>
          </w:p>
        </w:tc>
        <w:tc>
          <w:tcPr>
            <w:tcW w:type="dxa" w:w="469"/>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5,0</w:t>
            </w:r>
          </w:p>
        </w:tc>
        <w:tc>
          <w:tcPr>
            <w:tcW w:type="dxa" w:w="469"/>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3,4</w:t>
            </w:r>
          </w:p>
        </w:tc>
        <w:tc>
          <w:tcPr>
            <w:tcW w:type="dxa" w:w="547"/>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1,7</w:t>
            </w:r>
          </w:p>
        </w:tc>
        <w:tc>
          <w:tcPr>
            <w:tcW w:type="dxa" w:w="547"/>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0,0</w:t>
            </w:r>
          </w:p>
        </w:tc>
        <w:tc>
          <w:tcPr>
            <w:tcW w:type="dxa" w:w="547"/>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0,0</w:t>
            </w:r>
          </w:p>
        </w:tc>
        <w:tc>
          <w:tcPr>
            <w:tcW w:type="dxa" w:w="547"/>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0,0</w:t>
            </w:r>
          </w:p>
        </w:tc>
        <w:tc>
          <w:tcPr>
            <w:tcW w:type="dxa" w:w="547"/>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0,0</w:t>
            </w:r>
          </w:p>
        </w:tc>
      </w:tr>
      <w:tr>
        <w:trPr>
          <w:cantSplit/>
        </w:trPr>
        <w:tc>
          <w:tcPr>
            <w:tcW w:type="dxa" w:w="3165"/>
            <w:tcBorders>
              <w:top w:val="single" w:color="94A3B8" w:sz="4"/>
            </w:tcBorders>
            <w:tcMar>
              <w:top w:type="dxa" w:w="40"/>
              <w:left w:type="dxa" w:w="80"/>
              <w:bottom w:type="dxa" w:w="40"/>
              <w:right w:type="dxa" w:w="80"/>
            </w:tcMar>
          </w:tcPr>
          <w:p>
            <w:pPr>
              <w:jc w:val="left"/>
            </w:pPr>
            <w:r>
              <w:rPr>
                <w:rFonts w:ascii="Calibri" w:cs="Calibri" w:eastAsia="Calibri" w:hAnsi="Calibri"/>
                <w:b/>
                <w:bCs/>
                <w:color w:val="334155"/>
                <w:sz w:val="17"/>
                <w:szCs w:val="17"/>
              </w:rPr>
              <w:t xml:space="preserve">Flujo de los SOCIOS (FCFE)</w:t>
            </w:r>
          </w:p>
        </w:tc>
        <w:tc>
          <w:tcPr>
            <w:tcW w:type="dxa" w:w="625"/>
            <w:tcBorders>
              <w:top w:val="single" w:color="94A3B8" w:sz="4"/>
            </w:tcBorders>
            <w:tcMar>
              <w:top w:type="dxa" w:w="40"/>
              <w:left w:type="dxa" w:w="80"/>
              <w:bottom w:type="dxa" w:w="40"/>
              <w:right w:type="dxa" w:w="80"/>
            </w:tcMar>
          </w:tcPr>
          <w:p>
            <w:pPr>
              <w:jc w:val="right"/>
            </w:pPr>
            <w:r>
              <w:rPr>
                <w:rFonts w:ascii="Calibri" w:cs="Calibri" w:eastAsia="Calibri" w:hAnsi="Calibri"/>
                <w:b/>
                <w:bCs/>
                <w:color w:val="334155"/>
                <w:sz w:val="17"/>
                <w:szCs w:val="17"/>
              </w:rPr>
              <w:t xml:space="preserve">-1.180,8</w:t>
            </w:r>
          </w:p>
        </w:tc>
        <w:tc>
          <w:tcPr>
            <w:tcW w:type="dxa" w:w="625"/>
            <w:tcBorders>
              <w:top w:val="single" w:color="94A3B8" w:sz="4"/>
            </w:tcBorders>
            <w:tcMar>
              <w:top w:type="dxa" w:w="40"/>
              <w:left w:type="dxa" w:w="80"/>
              <w:bottom w:type="dxa" w:w="40"/>
              <w:right w:type="dxa" w:w="80"/>
            </w:tcMar>
          </w:tcPr>
          <w:p>
            <w:pPr>
              <w:jc w:val="right"/>
            </w:pPr>
            <w:r>
              <w:rPr>
                <w:rFonts w:ascii="Calibri" w:cs="Calibri" w:eastAsia="Calibri" w:hAnsi="Calibri"/>
                <w:b/>
                <w:bCs/>
                <w:color w:val="334155"/>
                <w:sz w:val="17"/>
                <w:szCs w:val="17"/>
              </w:rPr>
              <w:t xml:space="preserve">368,6</w:t>
            </w:r>
          </w:p>
        </w:tc>
        <w:tc>
          <w:tcPr>
            <w:tcW w:type="dxa" w:w="469"/>
            <w:tcBorders>
              <w:top w:val="single" w:color="94A3B8" w:sz="4"/>
            </w:tcBorders>
            <w:tcMar>
              <w:top w:type="dxa" w:w="40"/>
              <w:left w:type="dxa" w:w="80"/>
              <w:bottom w:type="dxa" w:w="40"/>
              <w:right w:type="dxa" w:w="80"/>
            </w:tcMar>
          </w:tcPr>
          <w:p>
            <w:pPr>
              <w:jc w:val="right"/>
            </w:pPr>
            <w:r>
              <w:rPr>
                <w:rFonts w:ascii="Calibri" w:cs="Calibri" w:eastAsia="Calibri" w:hAnsi="Calibri"/>
                <w:b/>
                <w:bCs/>
                <w:color w:val="334155"/>
                <w:sz w:val="17"/>
                <w:szCs w:val="17"/>
              </w:rPr>
              <w:t xml:space="preserve">341,4</w:t>
            </w:r>
          </w:p>
        </w:tc>
        <w:tc>
          <w:tcPr>
            <w:tcW w:type="dxa" w:w="469"/>
            <w:tcBorders>
              <w:top w:val="single" w:color="94A3B8" w:sz="4"/>
            </w:tcBorders>
            <w:tcMar>
              <w:top w:type="dxa" w:w="40"/>
              <w:left w:type="dxa" w:w="80"/>
              <w:bottom w:type="dxa" w:w="40"/>
              <w:right w:type="dxa" w:w="80"/>
            </w:tcMar>
          </w:tcPr>
          <w:p>
            <w:pPr>
              <w:jc w:val="right"/>
            </w:pPr>
            <w:r>
              <w:rPr>
                <w:rFonts w:ascii="Calibri" w:cs="Calibri" w:eastAsia="Calibri" w:hAnsi="Calibri"/>
                <w:b/>
                <w:bCs/>
                <w:color w:val="334155"/>
                <w:sz w:val="17"/>
                <w:szCs w:val="17"/>
              </w:rPr>
              <w:t xml:space="preserve">379,8</w:t>
            </w:r>
          </w:p>
        </w:tc>
        <w:tc>
          <w:tcPr>
            <w:tcW w:type="dxa" w:w="469"/>
            <w:tcBorders>
              <w:top w:val="single" w:color="94A3B8" w:sz="4"/>
            </w:tcBorders>
            <w:tcMar>
              <w:top w:type="dxa" w:w="40"/>
              <w:left w:type="dxa" w:w="80"/>
              <w:bottom w:type="dxa" w:w="40"/>
              <w:right w:type="dxa" w:w="80"/>
            </w:tcMar>
          </w:tcPr>
          <w:p>
            <w:pPr>
              <w:jc w:val="right"/>
            </w:pPr>
            <w:r>
              <w:rPr>
                <w:rFonts w:ascii="Calibri" w:cs="Calibri" w:eastAsia="Calibri" w:hAnsi="Calibri"/>
                <w:b/>
                <w:bCs/>
                <w:color w:val="334155"/>
                <w:sz w:val="17"/>
                <w:szCs w:val="17"/>
              </w:rPr>
              <w:t xml:space="preserve">421,0</w:t>
            </w:r>
          </w:p>
        </w:tc>
        <w:tc>
          <w:tcPr>
            <w:tcW w:type="dxa" w:w="469"/>
            <w:tcBorders>
              <w:top w:val="single" w:color="94A3B8" w:sz="4"/>
            </w:tcBorders>
            <w:tcMar>
              <w:top w:type="dxa" w:w="40"/>
              <w:left w:type="dxa" w:w="80"/>
              <w:bottom w:type="dxa" w:w="40"/>
              <w:right w:type="dxa" w:w="80"/>
            </w:tcMar>
          </w:tcPr>
          <w:p>
            <w:pPr>
              <w:jc w:val="right"/>
            </w:pPr>
            <w:r>
              <w:rPr>
                <w:rFonts w:ascii="Calibri" w:cs="Calibri" w:eastAsia="Calibri" w:hAnsi="Calibri"/>
                <w:b/>
                <w:bCs/>
                <w:color w:val="334155"/>
                <w:sz w:val="17"/>
                <w:szCs w:val="17"/>
              </w:rPr>
              <w:t xml:space="preserve">465,1</w:t>
            </w:r>
          </w:p>
        </w:tc>
        <w:tc>
          <w:tcPr>
            <w:tcW w:type="dxa" w:w="547"/>
            <w:tcBorders>
              <w:top w:val="single" w:color="94A3B8" w:sz="4"/>
            </w:tcBorders>
            <w:tcMar>
              <w:top w:type="dxa" w:w="40"/>
              <w:left w:type="dxa" w:w="80"/>
              <w:bottom w:type="dxa" w:w="40"/>
              <w:right w:type="dxa" w:w="80"/>
            </w:tcMar>
          </w:tcPr>
          <w:p>
            <w:pPr>
              <w:jc w:val="right"/>
            </w:pPr>
            <w:r>
              <w:rPr>
                <w:rFonts w:ascii="Calibri" w:cs="Calibri" w:eastAsia="Calibri" w:hAnsi="Calibri"/>
                <w:b/>
                <w:bCs/>
                <w:color w:val="334155"/>
                <w:sz w:val="17"/>
                <w:szCs w:val="17"/>
              </w:rPr>
              <w:t xml:space="preserve">509,9</w:t>
            </w:r>
          </w:p>
        </w:tc>
        <w:tc>
          <w:tcPr>
            <w:tcW w:type="dxa" w:w="547"/>
            <w:tcBorders>
              <w:top w:val="single" w:color="94A3B8" w:sz="4"/>
            </w:tcBorders>
            <w:tcMar>
              <w:top w:type="dxa" w:w="40"/>
              <w:left w:type="dxa" w:w="80"/>
              <w:bottom w:type="dxa" w:w="40"/>
              <w:right w:type="dxa" w:w="80"/>
            </w:tcMar>
          </w:tcPr>
          <w:p>
            <w:pPr>
              <w:jc w:val="right"/>
            </w:pPr>
            <w:r>
              <w:rPr>
                <w:rFonts w:ascii="Calibri" w:cs="Calibri" w:eastAsia="Calibri" w:hAnsi="Calibri"/>
                <w:b/>
                <w:bCs/>
                <w:color w:val="334155"/>
                <w:sz w:val="17"/>
                <w:szCs w:val="17"/>
              </w:rPr>
              <w:t xml:space="preserve">475,9</w:t>
            </w:r>
          </w:p>
        </w:tc>
        <w:tc>
          <w:tcPr>
            <w:tcW w:type="dxa" w:w="547"/>
            <w:tcBorders>
              <w:top w:val="single" w:color="94A3B8" w:sz="4"/>
            </w:tcBorders>
            <w:tcMar>
              <w:top w:type="dxa" w:w="40"/>
              <w:left w:type="dxa" w:w="80"/>
              <w:bottom w:type="dxa" w:w="40"/>
              <w:right w:type="dxa" w:w="80"/>
            </w:tcMar>
          </w:tcPr>
          <w:p>
            <w:pPr>
              <w:jc w:val="right"/>
            </w:pPr>
            <w:r>
              <w:rPr>
                <w:rFonts w:ascii="Calibri" w:cs="Calibri" w:eastAsia="Calibri" w:hAnsi="Calibri"/>
                <w:b/>
                <w:bCs/>
                <w:color w:val="334155"/>
                <w:sz w:val="17"/>
                <w:szCs w:val="17"/>
              </w:rPr>
              <w:t xml:space="preserve">677,1</w:t>
            </w:r>
          </w:p>
        </w:tc>
        <w:tc>
          <w:tcPr>
            <w:tcW w:type="dxa" w:w="547"/>
            <w:tcBorders>
              <w:top w:val="single" w:color="94A3B8" w:sz="4"/>
            </w:tcBorders>
            <w:tcMar>
              <w:top w:type="dxa" w:w="40"/>
              <w:left w:type="dxa" w:w="80"/>
              <w:bottom w:type="dxa" w:w="40"/>
              <w:right w:type="dxa" w:w="80"/>
            </w:tcMar>
          </w:tcPr>
          <w:p>
            <w:pPr>
              <w:jc w:val="right"/>
            </w:pPr>
            <w:r>
              <w:rPr>
                <w:rFonts w:ascii="Calibri" w:cs="Calibri" w:eastAsia="Calibri" w:hAnsi="Calibri"/>
                <w:b/>
                <w:bCs/>
                <w:color w:val="334155"/>
                <w:sz w:val="17"/>
                <w:szCs w:val="17"/>
              </w:rPr>
              <w:t xml:space="preserve">727,6</w:t>
            </w:r>
          </w:p>
        </w:tc>
        <w:tc>
          <w:tcPr>
            <w:tcW w:type="dxa" w:w="547"/>
            <w:tcBorders>
              <w:top w:val="single" w:color="94A3B8" w:sz="4"/>
            </w:tcBorders>
            <w:tcMar>
              <w:top w:type="dxa" w:w="40"/>
              <w:left w:type="dxa" w:w="80"/>
              <w:bottom w:type="dxa" w:w="40"/>
              <w:right w:type="dxa" w:w="80"/>
            </w:tcMar>
          </w:tcPr>
          <w:p>
            <w:pPr>
              <w:jc w:val="right"/>
            </w:pPr>
            <w:r>
              <w:rPr>
                <w:rFonts w:ascii="Calibri" w:cs="Calibri" w:eastAsia="Calibri" w:hAnsi="Calibri"/>
                <w:b/>
                <w:bCs/>
                <w:color w:val="334155"/>
                <w:sz w:val="17"/>
                <w:szCs w:val="17"/>
              </w:rPr>
              <w:t xml:space="preserve">787,0</w:t>
            </w:r>
          </w:p>
        </w:tc>
      </w:tr>
      <w:tr>
        <w:trPr>
          <w:cantSplit/>
        </w:trPr>
        <w:tc>
          <w:tcPr>
            <w:tcW w:type="dxa" w:w="3165"/>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Flujo acumulado de los socios</w:t>
            </w:r>
          </w:p>
        </w:tc>
        <w:tc>
          <w:tcPr>
            <w:tcW w:type="dxa" w:w="625"/>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-1.180,8</w:t>
            </w:r>
          </w:p>
        </w:tc>
        <w:tc>
          <w:tcPr>
            <w:tcW w:type="dxa" w:w="625"/>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-812,2</w:t>
            </w:r>
          </w:p>
        </w:tc>
        <w:tc>
          <w:tcPr>
            <w:tcW w:type="dxa" w:w="469"/>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-470,8</w:t>
            </w:r>
          </w:p>
        </w:tc>
        <w:tc>
          <w:tcPr>
            <w:tcW w:type="dxa" w:w="469"/>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-91,0</w:t>
            </w:r>
          </w:p>
        </w:tc>
        <w:tc>
          <w:tcPr>
            <w:tcW w:type="dxa" w:w="469"/>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330,0</w:t>
            </w:r>
          </w:p>
        </w:tc>
        <w:tc>
          <w:tcPr>
            <w:tcW w:type="dxa" w:w="469"/>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795,2</w:t>
            </w:r>
          </w:p>
        </w:tc>
        <w:tc>
          <w:tcPr>
            <w:tcW w:type="dxa" w:w="547"/>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1.305,1</w:t>
            </w:r>
          </w:p>
        </w:tc>
        <w:tc>
          <w:tcPr>
            <w:tcW w:type="dxa" w:w="547"/>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1.781,0</w:t>
            </w:r>
          </w:p>
        </w:tc>
        <w:tc>
          <w:tcPr>
            <w:tcW w:type="dxa" w:w="547"/>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2.458,0</w:t>
            </w:r>
          </w:p>
        </w:tc>
        <w:tc>
          <w:tcPr>
            <w:tcW w:type="dxa" w:w="547"/>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3.185,6</w:t>
            </w:r>
          </w:p>
        </w:tc>
        <w:tc>
          <w:tcPr>
            <w:tcW w:type="dxa" w:w="547"/>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3.972,6</w:t>
            </w:r>
          </w:p>
        </w:tc>
      </w:tr>
      <w:tr>
        <w:trPr>
          <w:cantSplit/>
        </w:trPr>
        <w:tc>
          <w:tcPr>
            <w:tcW w:type="dxa" w:w="3165"/>
            <w:tcBorders>
              <w:bottom w:val="single" w:color="64748B" w:sz="8"/>
            </w:tcBorders>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Saldo pendiente de recuperar (capital aportado)</w:t>
            </w:r>
          </w:p>
        </w:tc>
        <w:tc>
          <w:tcPr>
            <w:tcW w:type="dxa" w:w="625"/>
            <w:tcBorders>
              <w:bottom w:val="single" w:color="64748B" w:sz="8"/>
            </w:tcBorders>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1.180,8</w:t>
            </w:r>
          </w:p>
        </w:tc>
        <w:tc>
          <w:tcPr>
            <w:tcW w:type="dxa" w:w="625"/>
            <w:tcBorders>
              <w:bottom w:val="single" w:color="64748B" w:sz="8"/>
            </w:tcBorders>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812,2</w:t>
            </w:r>
          </w:p>
        </w:tc>
        <w:tc>
          <w:tcPr>
            <w:tcW w:type="dxa" w:w="469"/>
            <w:tcBorders>
              <w:bottom w:val="single" w:color="64748B" w:sz="8"/>
            </w:tcBorders>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470,8</w:t>
            </w:r>
          </w:p>
        </w:tc>
        <w:tc>
          <w:tcPr>
            <w:tcW w:type="dxa" w:w="469"/>
            <w:tcBorders>
              <w:bottom w:val="single" w:color="64748B" w:sz="8"/>
            </w:tcBorders>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91,0</w:t>
            </w:r>
          </w:p>
        </w:tc>
        <w:tc>
          <w:tcPr>
            <w:tcW w:type="dxa" w:w="469"/>
            <w:tcBorders>
              <w:bottom w:val="single" w:color="64748B" w:sz="8"/>
            </w:tcBorders>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0,0</w:t>
            </w:r>
          </w:p>
        </w:tc>
        <w:tc>
          <w:tcPr>
            <w:tcW w:type="dxa" w:w="469"/>
            <w:tcBorders>
              <w:bottom w:val="single" w:color="64748B" w:sz="8"/>
            </w:tcBorders>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0,0</w:t>
            </w:r>
          </w:p>
        </w:tc>
        <w:tc>
          <w:tcPr>
            <w:tcW w:type="dxa" w:w="547"/>
            <w:tcBorders>
              <w:bottom w:val="single" w:color="64748B" w:sz="8"/>
            </w:tcBorders>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0,0</w:t>
            </w:r>
          </w:p>
        </w:tc>
        <w:tc>
          <w:tcPr>
            <w:tcW w:type="dxa" w:w="547"/>
            <w:tcBorders>
              <w:bottom w:val="single" w:color="64748B" w:sz="8"/>
            </w:tcBorders>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0,0</w:t>
            </w:r>
          </w:p>
        </w:tc>
        <w:tc>
          <w:tcPr>
            <w:tcW w:type="dxa" w:w="547"/>
            <w:tcBorders>
              <w:bottom w:val="single" w:color="64748B" w:sz="8"/>
            </w:tcBorders>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0,0</w:t>
            </w:r>
          </w:p>
        </w:tc>
        <w:tc>
          <w:tcPr>
            <w:tcW w:type="dxa" w:w="547"/>
            <w:tcBorders>
              <w:bottom w:val="single" w:color="64748B" w:sz="8"/>
            </w:tcBorders>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0,0</w:t>
            </w:r>
          </w:p>
        </w:tc>
        <w:tc>
          <w:tcPr>
            <w:tcW w:type="dxa" w:w="547"/>
            <w:tcBorders>
              <w:bottom w:val="single" w:color="64748B" w:sz="8"/>
            </w:tcBorders>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0,0</w:t>
            </w:r>
          </w:p>
        </w:tc>
      </w:tr>
    </w:tbl>
    <w:p>
      <w:pPr>
        <w:pStyle w:val="NotaTexto"/>
        <w:spacing w:after="160" w:before="40"/>
      </w:pPr>
      <w:r>
        <w:rPr>
          <w:rFonts w:ascii="Calibri" w:cs="Calibri" w:eastAsia="Calibri" w:hAnsi="Calibri"/>
          <w:i/>
          <w:iCs/>
          <w:color w:val="64748B"/>
          <w:sz w:val="15"/>
          <w:szCs w:val="15"/>
        </w:rPr>
        <w:t xml:space="preserve">Nota. FCFF y FCFE en negrita: flujos de referencia de los dos indicadores de recuperación. El saldo pendiente no es un flujo: es la inversión pendiente de recuperar.</w:t>
      </w:r>
    </w:p>
    <w:p>
      <w:pPr>
        <w:pStyle w:val="NotaTexto"/>
        <w:spacing w:after="60" w:before="60" w:line="276"/>
        <w:jc w:val="both"/>
      </w:pPr>
      <w:r>
        <w:rPr>
          <w:rFonts w:ascii="Calibri" w:cs="Calibri" w:eastAsia="Calibri" w:hAnsi="Calibri"/>
          <w:color w:val="334155"/>
          <w:sz w:val="16"/>
          <w:szCs w:val="16"/>
        </w:rPr>
        <w:t xml:space="preserve">Lectura de la tabla (mismos valores, sin recálculo): el flujo del proyecto solo es negativo en el año 0 (-1.480,8); el acumulado del proyecto cruza de negativo a positivo durante el año 4 y el saldo pendiente de la inversión total llega a 0,0 en el año 4; el saldo del capital aportado se agota en el año 4. El escudo fiscal del interés devengado acompaña la vida del crédito y su máximo anual es 8,4.</w:t>
      </w:r>
    </w:p>
    <w:p>
      <w:pPr>
        <w:pStyle w:val="NotaTabla"/>
        <w:keepNext/>
        <w:keepLines/>
        <w:spacing w:after="80" w:before="240"/>
      </w:pPr>
      <w:r>
        <w:rPr>
          <w:rFonts w:ascii="Calibri" w:cs="Calibri" w:eastAsia="Calibri" w:hAnsi="Calibri"/>
          <w:b/>
          <w:bCs/>
          <w:color w:val="1E3A5F"/>
          <w:sz w:val="18"/>
          <w:szCs w:val="18"/>
        </w:rPr>
        <w:t xml:space="preserve">Figura 3. Flujo acumulado del proyecto (FCFF) y del capital de los socios (FCFE), con cruce de cero</w:t>
      </w:r>
    </w:p>
    <w:p>
      <w:pPr>
        <w:keepLines/>
        <w:spacing w:after="80"/>
        <w:jc w:val="center"/>
      </w:pPr>
      <w:r>
        <w:drawing>
          <wp:inline distT="0" distB="0" distL="0" distR="0">
            <wp:extent cx="5524500" cy="2762250"/>
            <wp:effectExtent t="0" r="0" b="0" l="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524500" cy="2762250"/>
                    </a:xfrm>
                    <a:prstGeom prst="rect">
                      <a:avLst/>
                    </a:prstGeom>
                  </pic:spPr>
                </pic:pic>
              </a:graphicData>
            </a:graphic>
          </wp:inline>
        </w:drawing>
      </w:r>
    </w:p>
    <w:p>
      <w:pPr>
        <w:spacing w:after="40" w:before="40"/>
      </w:pPr>
      <w:r>
        <w:rPr>
          <w:rFonts w:ascii="Calibri" w:cs="Calibri" w:eastAsia="Calibri" w:hAnsi="Calibri"/>
          <w:color w:val="1D4ED8"/>
          <w:sz w:val="16"/>
          <w:szCs w:val="16"/>
        </w:rPr>
        <w:t xml:space="preserve">—— </w:t>
      </w:r>
      <w:r>
        <w:rPr>
          <w:rFonts w:ascii="Calibri" w:cs="Calibri" w:eastAsia="Calibri" w:hAnsi="Calibri"/>
          <w:color w:val="64748B"/>
          <w:sz w:val="16"/>
          <w:szCs w:val="16"/>
        </w:rPr>
        <w:t xml:space="preserve">Flujo acumulado del proyecto (FCFF) — cruce en 3,5 años</w:t>
      </w:r>
      <w:r>
        <w:rPr>
          <w:rFonts w:ascii="Calibri" w:cs="Calibri" w:eastAsia="Calibri" w:hAnsi="Calibri"/>
          <w:color w:val="64748B"/>
          <w:sz w:val="14"/>
          <w:szCs w:val="14"/>
        </w:rPr>
        <w:t xml:space="preserve">   ·   </w:t>
      </w:r>
      <w:r>
        <w:rPr>
          <w:rFonts w:ascii="Calibri" w:cs="Calibri" w:eastAsia="Calibri" w:hAnsi="Calibri"/>
          <w:color w:val="B45309"/>
          <w:sz w:val="16"/>
          <w:szCs w:val="16"/>
        </w:rPr>
        <w:t xml:space="preserve">—— </w:t>
      </w:r>
      <w:r>
        <w:rPr>
          <w:rFonts w:ascii="Calibri" w:cs="Calibri" w:eastAsia="Calibri" w:hAnsi="Calibri"/>
          <w:color w:val="64748B"/>
          <w:sz w:val="16"/>
          <w:szCs w:val="16"/>
        </w:rPr>
        <w:t xml:space="preserve">Flujo acumulado de los socios (FCFE) — cruce en 3,2 años</w:t>
      </w:r>
      <w:r>
        <w:rPr>
          <w:rFonts w:ascii="Calibri" w:cs="Calibri" w:eastAsia="Calibri" w:hAnsi="Calibri"/>
          <w:color w:val="64748B"/>
          <w:sz w:val="14"/>
          <w:szCs w:val="14"/>
        </w:rPr>
        <w:t xml:space="preserve">   ·   </w:t>
      </w:r>
      <w:r>
        <w:rPr>
          <w:rFonts w:ascii="Calibri" w:cs="Calibri" w:eastAsia="Calibri" w:hAnsi="Calibri"/>
          <w:color w:val="64748B"/>
          <w:sz w:val="16"/>
          <w:szCs w:val="16"/>
        </w:rPr>
        <w:t xml:space="preserve">—— </w:t>
      </w:r>
      <w:r>
        <w:rPr>
          <w:rFonts w:ascii="Calibri" w:cs="Calibri" w:eastAsia="Calibri" w:hAnsi="Calibri"/>
          <w:color w:val="64748B"/>
          <w:sz w:val="16"/>
          <w:szCs w:val="16"/>
        </w:rPr>
        <w:t xml:space="preserve">Cero (recuperación simple, sin descontar)</w:t>
      </w:r>
    </w:p>
    <w:p>
      <w:pPr>
        <w:pStyle w:val="NotaTexto"/>
        <w:spacing w:after="60" w:before="20"/>
      </w:pPr>
      <w:r>
        <w:rPr>
          <w:rFonts w:ascii="Calibri" w:cs="Calibri" w:eastAsia="Calibri" w:hAnsi="Calibri"/>
          <w:color w:val="64748B"/>
          <w:sz w:val="16"/>
          <w:szCs w:val="16"/>
        </w:rPr>
        <w:t xml:space="preserve">Unidades del eje vertical: Miles de USD (kUSD). Eje horizontal: Años del análisis (0–10); el cruce del eje horizontal marca la recuperación simple. </w:t>
      </w:r>
      <w:r>
        <w:rPr>
          <w:rFonts w:ascii="Calibri" w:cs="Calibri" w:eastAsia="Calibri" w:hAnsi="Calibri"/>
          <w:i/>
          <w:iCs/>
          <w:color w:val="64748B"/>
          <w:sz w:val="16"/>
          <w:szCs w:val="16"/>
        </w:rPr>
        <w:t xml:space="preserve">Nota. Fuente: modelo de cálculo activo (flujos de caja, años 0–10). Importes en miles de usd (kusd). Las verticales punteadas señalan los cruces de cero del acumulado (recuperación simple, sin descontar, por interpolación lineal intranual); el FCFF reincorpora el interés después de impuestos y el FCFE restituye su escudo fiscal.</w:t>
      </w:r>
    </w:p>
    <w:p>
      <w:pPr>
        <w:pStyle w:val="NotaTexto"/>
        <w:spacing w:after="60" w:before="60" w:line="276"/>
        <w:jc w:val="both"/>
      </w:pPr>
      <w:r>
        <w:rPr>
          <w:rFonts w:ascii="Calibri" w:cs="Calibri" w:eastAsia="Calibri" w:hAnsi="Calibri"/>
          <w:color w:val="334155"/>
          <w:sz w:val="16"/>
          <w:szCs w:val="16"/>
        </w:rPr>
        <w:t xml:space="preserve">Recuperación de la inversión total: 3,5 años (cruce en el año 4). Método: interpolación lineal del acumulado, (t-1) + |acumulado anterior| / (acumulado actual - acumulado anterior); recuperación SIMPLE, SIN DESCONTAR (los flujos no se actualizan con tasa de descuento). Recuperación del capital aportado: 3,2 años (cruce en el año 4). Horizonte &gt;= recuperación + 1 conforme a la metodología. El capital de trabajo solo se recupera si el parámetro correspondiente lo indica (regla explícita; 0 % = hipótesis conservadora que debe declararse).</w:t>
      </w:r>
    </w:p>
    <w:p>
      <w:pPr>
        <w:pStyle w:val="AnalisisPlanex"/>
        <w:pBdr>
          <w:left w:val="single" w:color="B45309" w:sz="18" w:space="4"/>
        </w:pBdr>
        <w:shd w:fill="FFF7E6" w:color="auto" w:val="clear"/>
        <w:spacing w:after="20" w:before="160"/>
      </w:pPr>
      <w:r>
        <w:rPr>
          <w:rFonts w:ascii="Calibri" w:cs="Calibri" w:eastAsia="Calibri" w:hAnsi="Calibri"/>
          <w:b/>
          <w:bCs/>
          <w:color w:val="B45309"/>
          <w:sz w:val="18"/>
          <w:szCs w:val="18"/>
        </w:rPr>
        <w:t xml:space="preserve">Análisis del flujo de caja y la recuperación</w:t>
      </w:r>
      <w:r>
        <w:rPr>
          <w:rFonts w:ascii="Calibri" w:cs="Calibri" w:eastAsia="Calibri" w:hAnsi="Calibri"/>
          <w:color w:val="8C6428"/>
          <w:sz w:val="14"/>
          <w:szCs w:val="14"/>
        </w:rPr>
        <w:t xml:space="preserve">  ·  ANÁLISIS GENERADO POR EL MODELO</w:t>
      </w:r>
    </w:p>
    <w:p>
      <w:pPr>
        <w:pStyle w:val="AnalisisCuerpo"/>
        <w:pBdr>
          <w:left w:val="single" w:color="B45309" w:sz="18" w:space="4"/>
          <w:bottom w:val="single" w:color="FFF7E6" w:sz="2" w:space="1"/>
        </w:pBdr>
        <w:shd w:fill="FFF7E6" w:color="auto" w:val="clear"/>
        <w:spacing w:after="160" w:before="0"/>
        <w:jc w:val="both"/>
      </w:pPr>
      <w:r>
        <w:rPr>
          <w:rFonts w:ascii="Calibri" w:cs="Calibri" w:eastAsia="Calibri" w:hAnsi="Calibri"/>
          <w:color w:val="334155"/>
          <w:sz w:val="18"/>
          <w:szCs w:val="18"/>
        </w:rPr>
        <w:t xml:space="preserve">El modelo calcula DOS indicadores separados. La recuperación de la INVERSIÓN TOTAL se mide con el flujo de caja del proyecto (FCFF = utilidad neta + intereses DESPUÉS DE IMPUESTOS + depreciación - CAPEX de ampliaciones; el interés devengado se reincorpora neto de su escudo fiscal — la porción de interés que el impuesto ya absorbe —, con la inversión total como desembolso del año 0). La recuperación del CAPITAL APORTADO se mide con el flujo de los socios (FCFE = FCFF - intereses pagados + escudo fiscal + desembolsos del crédito - amortizaciones, con las aportaciones como desembolso inicial). Ambas recuperaciones son SIMPLES y SIN DESCONTAR: no se aplica tasa de descuento alguna a los flujos. Con los flujos vigentes, la inversión total de 1.480,0 kUSD se recupera en 3,5 años (cruce del acumulado en el año 4; interpolación lineal: (t-1) + |acumulado anterior| / (acumulado actual - acumulado anterior)). El saldo pendiente de recuperar al final del año 3 era 227,3 kUSD. El capital aportado por los socios (1.180,0 kUSD) se recupera en 3,2 años (cruce en el año 4), más temprana que la recuperación de la inversión total: la diferencia procede del crédito (desembolsos) y de su servicio (intereses y amortizaciones). Las ampliaciones de capacidad del escenario B añaden 150,0 miles de USD de CAPEX en sus años de ejecución, retrasando el acumulado del proyecto en esos años; el modelo los incluye íntegramente (no presenta una recuperación optimista que ignore las inversiones adicionales). El capital de trabajo inicial no se recupera dentro del modelo (tratamiento conservador, parámetro de recuperación en 0 %).</w:t>
      </w:r>
    </w:p>
    <w:p>
      <w:pPr>
        <w:pStyle w:val="NotaTabla"/>
        <w:keepNext/>
        <w:keepLines/>
        <w:spacing w:after="80" w:before="200"/>
      </w:pPr>
      <w:r>
        <w:rPr>
          <w:rFonts w:ascii="Calibri" w:cs="Calibri" w:eastAsia="Calibri" w:hAnsi="Calibri"/>
          <w:b/>
          <w:bCs/>
          <w:color w:val="1E3A5F"/>
          <w:sz w:val="18"/>
          <w:szCs w:val="18"/>
        </w:rPr>
        <w:t xml:space="preserve">Tabla 17. Módulo de dividendos (kUSD): base distribuible, reserva, propuestos y PAGABLES limitados por caja (participación de CADA socio)</w:t>
      </w:r>
    </w:p>
    <w:tbl>
      <w:tblPr>
        <w:tblW w:type="dxa" w:w="9026"/>
        <w:tblBorders>
          <w:top w:val="none" w:color="auto" w:sz="0"/>
          <w:left w:val="none" w:color="auto" w:sz="0"/>
          <w:bottom w:val="none" w:color="auto" w:sz="0"/>
          <w:right w:val="none" w:color="auto" w:sz="0"/>
          <w:insideH w:val="none" w:color="auto" w:sz="0"/>
          <w:insideV w:val="none" w:color="auto" w:sz="0"/>
        </w:tblBorders>
      </w:tblPr>
      <w:tblGrid>
        <w:gridCol w:w="794"/>
        <w:gridCol w:w="504"/>
        <w:gridCol w:w="588"/>
        <w:gridCol w:w="588"/>
        <w:gridCol w:w="840"/>
        <w:gridCol w:w="1176"/>
        <w:gridCol w:w="672"/>
        <w:gridCol w:w="1176"/>
        <w:gridCol w:w="1344"/>
        <w:gridCol w:w="1344"/>
      </w:tblGrid>
      <w:tr>
        <w:trPr>
          <w:cantSplit/>
          <w:tblHeader/>
        </w:trPr>
        <w:tc>
          <w:tcPr>
            <w:tcW w:type="dxa" w:w="794"/>
            <w:tcBorders>
              <w:top w:val="single" w:color="64748B" w:sz="8"/>
              <w:bottom w:val="single" w:color="94A3B8" w:sz="4"/>
            </w:tcBorders>
            <w:shd w:fill="EEF2F7" w:color="auto" w:val="clear"/>
            <w:tcMar>
              <w:top w:type="dxa" w:w="40"/>
              <w:left w:type="dxa" w:w="80"/>
              <w:bottom w:type="dxa" w:w="40"/>
              <w:right w:type="dxa" w:w="80"/>
            </w:tcMar>
          </w:tcPr>
          <w:p>
            <w:pPr>
              <w:jc w:val="left"/>
            </w:pPr>
            <w:r>
              <w:rPr>
                <w:rFonts w:ascii="Calibri" w:cs="Calibri" w:eastAsia="Calibri" w:hAnsi="Calibri"/>
                <w:b/>
                <w:bCs/>
                <w:color w:val="1E3A5F"/>
                <w:sz w:val="17"/>
                <w:szCs w:val="17"/>
              </w:rPr>
              <w:t xml:space="preserve">Período</w:t>
            </w:r>
          </w:p>
        </w:tc>
        <w:tc>
          <w:tcPr>
            <w:tcW w:type="dxa" w:w="504"/>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7"/>
                <w:szCs w:val="17"/>
              </w:rPr>
              <w:t xml:space="preserve">UDI</w:t>
            </w:r>
          </w:p>
        </w:tc>
        <w:tc>
          <w:tcPr>
            <w:tcW w:type="dxa" w:w="588"/>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7"/>
                <w:szCs w:val="17"/>
              </w:rPr>
              <w:t xml:space="preserve">Base</w:t>
            </w:r>
          </w:p>
        </w:tc>
        <w:tc>
          <w:tcPr>
            <w:tcW w:type="dxa" w:w="588"/>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7"/>
                <w:szCs w:val="17"/>
              </w:rPr>
              <w:t xml:space="preserve">Reserva</w:t>
            </w:r>
          </w:p>
        </w:tc>
        <w:tc>
          <w:tcPr>
            <w:tcW w:type="dxa" w:w="840"/>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7"/>
                <w:szCs w:val="17"/>
              </w:rPr>
              <w:t xml:space="preserve">Propuestos</w:t>
            </w:r>
          </w:p>
        </w:tc>
        <w:tc>
          <w:tcPr>
            <w:tcW w:type="dxa" w:w="1176"/>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7"/>
                <w:szCs w:val="17"/>
              </w:rPr>
              <w:t xml:space="preserve">Caja acumulada</w:t>
            </w:r>
          </w:p>
        </w:tc>
        <w:tc>
          <w:tcPr>
            <w:tcW w:type="dxa" w:w="672"/>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7"/>
                <w:szCs w:val="17"/>
              </w:rPr>
              <w:t xml:space="preserve">Pagables</w:t>
            </w:r>
          </w:p>
        </w:tc>
        <w:tc>
          <w:tcPr>
            <w:tcW w:type="dxa" w:w="1176"/>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7"/>
                <w:szCs w:val="17"/>
              </w:rPr>
              <w:t xml:space="preserve">Socio nacional</w:t>
            </w:r>
          </w:p>
        </w:tc>
        <w:tc>
          <w:tcPr>
            <w:tcW w:type="dxa" w:w="1344"/>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7"/>
                <w:szCs w:val="17"/>
              </w:rPr>
              <w:t xml:space="preserve">Socio extranjero</w:t>
            </w:r>
          </w:p>
        </w:tc>
        <w:tc>
          <w:tcPr>
            <w:tcW w:type="dxa" w:w="1344"/>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7"/>
                <w:szCs w:val="17"/>
              </w:rPr>
              <w:t xml:space="preserve">Saldo acumulable</w:t>
            </w:r>
          </w:p>
        </w:tc>
      </w:tr>
      <w:tr>
        <w:trPr>
          <w:cantSplit/>
        </w:trPr>
        <w:tc>
          <w:tcPr>
            <w:tcW w:type="dxa" w:w="794"/>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Año 0</w:t>
            </w:r>
          </w:p>
        </w:tc>
        <w:tc>
          <w:tcPr>
            <w:tcW w:type="dxa" w:w="504"/>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-0,8</w:t>
            </w:r>
          </w:p>
        </w:tc>
        <w:tc>
          <w:tcPr>
            <w:tcW w:type="dxa" w:w="588"/>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0,0</w:t>
            </w:r>
          </w:p>
        </w:tc>
        <w:tc>
          <w:tcPr>
            <w:tcW w:type="dxa" w:w="588"/>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0,0</w:t>
            </w:r>
          </w:p>
        </w:tc>
        <w:tc>
          <w:tcPr>
            <w:tcW w:type="dxa" w:w="840"/>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0,0</w:t>
            </w:r>
          </w:p>
        </w:tc>
        <w:tc>
          <w:tcPr>
            <w:tcW w:type="dxa" w:w="1176"/>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-1.180,8</w:t>
            </w:r>
          </w:p>
        </w:tc>
        <w:tc>
          <w:tcPr>
            <w:tcW w:type="dxa" w:w="672"/>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0,0</w:t>
            </w:r>
          </w:p>
        </w:tc>
        <w:tc>
          <w:tcPr>
            <w:tcW w:type="dxa" w:w="1176"/>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0,0</w:t>
            </w:r>
          </w:p>
        </w:tc>
        <w:tc>
          <w:tcPr>
            <w:tcW w:type="dxa" w:w="1344"/>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0,0</w:t>
            </w:r>
          </w:p>
        </w:tc>
        <w:tc>
          <w:tcPr>
            <w:tcW w:type="dxa" w:w="1344"/>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-0,8</w:t>
            </w:r>
          </w:p>
        </w:tc>
      </w:tr>
      <w:tr>
        <w:trPr>
          <w:cantSplit/>
        </w:trPr>
        <w:tc>
          <w:tcPr>
            <w:tcW w:type="dxa" w:w="794"/>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Año 1</w:t>
            </w:r>
          </w:p>
        </w:tc>
        <w:tc>
          <w:tcPr>
            <w:tcW w:type="dxa" w:w="504"/>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251,5</w:t>
            </w:r>
          </w:p>
        </w:tc>
        <w:tc>
          <w:tcPr>
            <w:tcW w:type="dxa" w:w="588"/>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250,7</w:t>
            </w:r>
          </w:p>
        </w:tc>
        <w:tc>
          <w:tcPr>
            <w:tcW w:type="dxa" w:w="588"/>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25,1</w:t>
            </w:r>
          </w:p>
        </w:tc>
        <w:tc>
          <w:tcPr>
            <w:tcW w:type="dxa" w:w="840"/>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112,8</w:t>
            </w:r>
          </w:p>
        </w:tc>
        <w:tc>
          <w:tcPr>
            <w:tcW w:type="dxa" w:w="1176"/>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-812,2</w:t>
            </w:r>
          </w:p>
        </w:tc>
        <w:tc>
          <w:tcPr>
            <w:tcW w:type="dxa" w:w="672"/>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0,0</w:t>
            </w:r>
          </w:p>
        </w:tc>
        <w:tc>
          <w:tcPr>
            <w:tcW w:type="dxa" w:w="1176"/>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0,0</w:t>
            </w:r>
          </w:p>
        </w:tc>
        <w:tc>
          <w:tcPr>
            <w:tcW w:type="dxa" w:w="1344"/>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0,0</w:t>
            </w:r>
          </w:p>
        </w:tc>
        <w:tc>
          <w:tcPr>
            <w:tcW w:type="dxa" w:w="1344"/>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225,6</w:t>
            </w:r>
          </w:p>
        </w:tc>
      </w:tr>
      <w:tr>
        <w:trPr>
          <w:cantSplit/>
        </w:trPr>
        <w:tc>
          <w:tcPr>
            <w:tcW w:type="dxa" w:w="794"/>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Año 2</w:t>
            </w:r>
          </w:p>
        </w:tc>
        <w:tc>
          <w:tcPr>
            <w:tcW w:type="dxa" w:w="504"/>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284,3</w:t>
            </w:r>
          </w:p>
        </w:tc>
        <w:tc>
          <w:tcPr>
            <w:tcW w:type="dxa" w:w="588"/>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509,9</w:t>
            </w:r>
          </w:p>
        </w:tc>
        <w:tc>
          <w:tcPr>
            <w:tcW w:type="dxa" w:w="588"/>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51,0</w:t>
            </w:r>
          </w:p>
        </w:tc>
        <w:tc>
          <w:tcPr>
            <w:tcW w:type="dxa" w:w="840"/>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229,4</w:t>
            </w:r>
          </w:p>
        </w:tc>
        <w:tc>
          <w:tcPr>
            <w:tcW w:type="dxa" w:w="1176"/>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-470,8</w:t>
            </w:r>
          </w:p>
        </w:tc>
        <w:tc>
          <w:tcPr>
            <w:tcW w:type="dxa" w:w="672"/>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0,0</w:t>
            </w:r>
          </w:p>
        </w:tc>
        <w:tc>
          <w:tcPr>
            <w:tcW w:type="dxa" w:w="1176"/>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0,0</w:t>
            </w:r>
          </w:p>
        </w:tc>
        <w:tc>
          <w:tcPr>
            <w:tcW w:type="dxa" w:w="1344"/>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0,0</w:t>
            </w:r>
          </w:p>
        </w:tc>
        <w:tc>
          <w:tcPr>
            <w:tcW w:type="dxa" w:w="1344"/>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458,9</w:t>
            </w:r>
          </w:p>
        </w:tc>
      </w:tr>
      <w:tr>
        <w:trPr>
          <w:cantSplit/>
        </w:trPr>
        <w:tc>
          <w:tcPr>
            <w:tcW w:type="dxa" w:w="794"/>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Año 3</w:t>
            </w:r>
          </w:p>
        </w:tc>
        <w:tc>
          <w:tcPr>
            <w:tcW w:type="dxa" w:w="504"/>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322,7</w:t>
            </w:r>
          </w:p>
        </w:tc>
        <w:tc>
          <w:tcPr>
            <w:tcW w:type="dxa" w:w="588"/>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781,6</w:t>
            </w:r>
          </w:p>
        </w:tc>
        <w:tc>
          <w:tcPr>
            <w:tcW w:type="dxa" w:w="588"/>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78,2</w:t>
            </w:r>
          </w:p>
        </w:tc>
        <w:tc>
          <w:tcPr>
            <w:tcW w:type="dxa" w:w="840"/>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351,7</w:t>
            </w:r>
          </w:p>
        </w:tc>
        <w:tc>
          <w:tcPr>
            <w:tcW w:type="dxa" w:w="1176"/>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-91,0</w:t>
            </w:r>
          </w:p>
        </w:tc>
        <w:tc>
          <w:tcPr>
            <w:tcW w:type="dxa" w:w="672"/>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0,0</w:t>
            </w:r>
          </w:p>
        </w:tc>
        <w:tc>
          <w:tcPr>
            <w:tcW w:type="dxa" w:w="1176"/>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0,0</w:t>
            </w:r>
          </w:p>
        </w:tc>
        <w:tc>
          <w:tcPr>
            <w:tcW w:type="dxa" w:w="1344"/>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0,0</w:t>
            </w:r>
          </w:p>
        </w:tc>
        <w:tc>
          <w:tcPr>
            <w:tcW w:type="dxa" w:w="1344"/>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703,4</w:t>
            </w:r>
          </w:p>
        </w:tc>
      </w:tr>
      <w:tr>
        <w:trPr>
          <w:cantSplit/>
        </w:trPr>
        <w:tc>
          <w:tcPr>
            <w:tcW w:type="dxa" w:w="794"/>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Año 4</w:t>
            </w:r>
          </w:p>
        </w:tc>
        <w:tc>
          <w:tcPr>
            <w:tcW w:type="dxa" w:w="504"/>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363,9</w:t>
            </w:r>
          </w:p>
        </w:tc>
        <w:tc>
          <w:tcPr>
            <w:tcW w:type="dxa" w:w="588"/>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1.067,3</w:t>
            </w:r>
          </w:p>
        </w:tc>
        <w:tc>
          <w:tcPr>
            <w:tcW w:type="dxa" w:w="588"/>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106,7</w:t>
            </w:r>
          </w:p>
        </w:tc>
        <w:tc>
          <w:tcPr>
            <w:tcW w:type="dxa" w:w="840"/>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480,3</w:t>
            </w:r>
          </w:p>
        </w:tc>
        <w:tc>
          <w:tcPr>
            <w:tcW w:type="dxa" w:w="1176"/>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330,0</w:t>
            </w:r>
          </w:p>
        </w:tc>
        <w:tc>
          <w:tcPr>
            <w:tcW w:type="dxa" w:w="672"/>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330,0</w:t>
            </w:r>
          </w:p>
        </w:tc>
        <w:tc>
          <w:tcPr>
            <w:tcW w:type="dxa" w:w="1176"/>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132,0</w:t>
            </w:r>
          </w:p>
        </w:tc>
        <w:tc>
          <w:tcPr>
            <w:tcW w:type="dxa" w:w="1344"/>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198,0</w:t>
            </w:r>
          </w:p>
        </w:tc>
        <w:tc>
          <w:tcPr>
            <w:tcW w:type="dxa" w:w="1344"/>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630,6</w:t>
            </w:r>
          </w:p>
        </w:tc>
      </w:tr>
      <w:tr>
        <w:trPr>
          <w:cantSplit/>
        </w:trPr>
        <w:tc>
          <w:tcPr>
            <w:tcW w:type="dxa" w:w="794"/>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Año 5</w:t>
            </w:r>
          </w:p>
        </w:tc>
        <w:tc>
          <w:tcPr>
            <w:tcW w:type="dxa" w:w="504"/>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408,0</w:t>
            </w:r>
          </w:p>
        </w:tc>
        <w:tc>
          <w:tcPr>
            <w:tcW w:type="dxa" w:w="588"/>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1.038,6</w:t>
            </w:r>
          </w:p>
        </w:tc>
        <w:tc>
          <w:tcPr>
            <w:tcW w:type="dxa" w:w="588"/>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103,9</w:t>
            </w:r>
          </w:p>
        </w:tc>
        <w:tc>
          <w:tcPr>
            <w:tcW w:type="dxa" w:w="840"/>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467,3</w:t>
            </w:r>
          </w:p>
        </w:tc>
        <w:tc>
          <w:tcPr>
            <w:tcW w:type="dxa" w:w="1176"/>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795,2</w:t>
            </w:r>
          </w:p>
        </w:tc>
        <w:tc>
          <w:tcPr>
            <w:tcW w:type="dxa" w:w="672"/>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467,3</w:t>
            </w:r>
          </w:p>
        </w:tc>
        <w:tc>
          <w:tcPr>
            <w:tcW w:type="dxa" w:w="1176"/>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186,9</w:t>
            </w:r>
          </w:p>
        </w:tc>
        <w:tc>
          <w:tcPr>
            <w:tcW w:type="dxa" w:w="1344"/>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280,4</w:t>
            </w:r>
          </w:p>
        </w:tc>
        <w:tc>
          <w:tcPr>
            <w:tcW w:type="dxa" w:w="1344"/>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467,3</w:t>
            </w:r>
          </w:p>
        </w:tc>
      </w:tr>
      <w:tr>
        <w:trPr>
          <w:cantSplit/>
        </w:trPr>
        <w:tc>
          <w:tcPr>
            <w:tcW w:type="dxa" w:w="794"/>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Año 6</w:t>
            </w:r>
          </w:p>
        </w:tc>
        <w:tc>
          <w:tcPr>
            <w:tcW w:type="dxa" w:w="504"/>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459,8</w:t>
            </w:r>
          </w:p>
        </w:tc>
        <w:tc>
          <w:tcPr>
            <w:tcW w:type="dxa" w:w="588"/>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927,2</w:t>
            </w:r>
          </w:p>
        </w:tc>
        <w:tc>
          <w:tcPr>
            <w:tcW w:type="dxa" w:w="588"/>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92,7</w:t>
            </w:r>
          </w:p>
        </w:tc>
        <w:tc>
          <w:tcPr>
            <w:tcW w:type="dxa" w:w="840"/>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417,2</w:t>
            </w:r>
          </w:p>
        </w:tc>
        <w:tc>
          <w:tcPr>
            <w:tcW w:type="dxa" w:w="1176"/>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1.305,1</w:t>
            </w:r>
          </w:p>
        </w:tc>
        <w:tc>
          <w:tcPr>
            <w:tcW w:type="dxa" w:w="672"/>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417,2</w:t>
            </w:r>
          </w:p>
        </w:tc>
        <w:tc>
          <w:tcPr>
            <w:tcW w:type="dxa" w:w="1176"/>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166,9</w:t>
            </w:r>
          </w:p>
        </w:tc>
        <w:tc>
          <w:tcPr>
            <w:tcW w:type="dxa" w:w="1344"/>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250,3</w:t>
            </w:r>
          </w:p>
        </w:tc>
        <w:tc>
          <w:tcPr>
            <w:tcW w:type="dxa" w:w="1344"/>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417,2</w:t>
            </w:r>
          </w:p>
        </w:tc>
      </w:tr>
      <w:tr>
        <w:trPr>
          <w:cantSplit/>
        </w:trPr>
        <w:tc>
          <w:tcPr>
            <w:tcW w:type="dxa" w:w="794"/>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Año 7</w:t>
            </w:r>
          </w:p>
        </w:tc>
        <w:tc>
          <w:tcPr>
            <w:tcW w:type="dxa" w:w="504"/>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500,7</w:t>
            </w:r>
          </w:p>
        </w:tc>
        <w:tc>
          <w:tcPr>
            <w:tcW w:type="dxa" w:w="588"/>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918,0</w:t>
            </w:r>
          </w:p>
        </w:tc>
        <w:tc>
          <w:tcPr>
            <w:tcW w:type="dxa" w:w="588"/>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91,8</w:t>
            </w:r>
          </w:p>
        </w:tc>
        <w:tc>
          <w:tcPr>
            <w:tcW w:type="dxa" w:w="840"/>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413,1</w:t>
            </w:r>
          </w:p>
        </w:tc>
        <w:tc>
          <w:tcPr>
            <w:tcW w:type="dxa" w:w="1176"/>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1.781,0</w:t>
            </w:r>
          </w:p>
        </w:tc>
        <w:tc>
          <w:tcPr>
            <w:tcW w:type="dxa" w:w="672"/>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413,1</w:t>
            </w:r>
          </w:p>
        </w:tc>
        <w:tc>
          <w:tcPr>
            <w:tcW w:type="dxa" w:w="1176"/>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165,2</w:t>
            </w:r>
          </w:p>
        </w:tc>
        <w:tc>
          <w:tcPr>
            <w:tcW w:type="dxa" w:w="1344"/>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247,8</w:t>
            </w:r>
          </w:p>
        </w:tc>
        <w:tc>
          <w:tcPr>
            <w:tcW w:type="dxa" w:w="1344"/>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413,1</w:t>
            </w:r>
          </w:p>
        </w:tc>
      </w:tr>
      <w:tr>
        <w:trPr>
          <w:cantSplit/>
        </w:trPr>
        <w:tc>
          <w:tcPr>
            <w:tcW w:type="dxa" w:w="794"/>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Año 8</w:t>
            </w:r>
          </w:p>
        </w:tc>
        <w:tc>
          <w:tcPr>
            <w:tcW w:type="dxa" w:w="504"/>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551,9</w:t>
            </w:r>
          </w:p>
        </w:tc>
        <w:tc>
          <w:tcPr>
            <w:tcW w:type="dxa" w:w="588"/>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965,0</w:t>
            </w:r>
          </w:p>
        </w:tc>
        <w:tc>
          <w:tcPr>
            <w:tcW w:type="dxa" w:w="588"/>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96,5</w:t>
            </w:r>
          </w:p>
        </w:tc>
        <w:tc>
          <w:tcPr>
            <w:tcW w:type="dxa" w:w="840"/>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434,3</w:t>
            </w:r>
          </w:p>
        </w:tc>
        <w:tc>
          <w:tcPr>
            <w:tcW w:type="dxa" w:w="1176"/>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2.458,0</w:t>
            </w:r>
          </w:p>
        </w:tc>
        <w:tc>
          <w:tcPr>
            <w:tcW w:type="dxa" w:w="672"/>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434,3</w:t>
            </w:r>
          </w:p>
        </w:tc>
        <w:tc>
          <w:tcPr>
            <w:tcW w:type="dxa" w:w="1176"/>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173,7</w:t>
            </w:r>
          </w:p>
        </w:tc>
        <w:tc>
          <w:tcPr>
            <w:tcW w:type="dxa" w:w="1344"/>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260,6</w:t>
            </w:r>
          </w:p>
        </w:tc>
        <w:tc>
          <w:tcPr>
            <w:tcW w:type="dxa" w:w="1344"/>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434,3</w:t>
            </w:r>
          </w:p>
        </w:tc>
      </w:tr>
      <w:tr>
        <w:trPr>
          <w:cantSplit/>
        </w:trPr>
        <w:tc>
          <w:tcPr>
            <w:tcW w:type="dxa" w:w="794"/>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Año 9</w:t>
            </w:r>
          </w:p>
        </w:tc>
        <w:tc>
          <w:tcPr>
            <w:tcW w:type="dxa" w:w="504"/>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615,6</w:t>
            </w:r>
          </w:p>
        </w:tc>
        <w:tc>
          <w:tcPr>
            <w:tcW w:type="dxa" w:w="588"/>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1.049,9</w:t>
            </w:r>
          </w:p>
        </w:tc>
        <w:tc>
          <w:tcPr>
            <w:tcW w:type="dxa" w:w="588"/>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105,0</w:t>
            </w:r>
          </w:p>
        </w:tc>
        <w:tc>
          <w:tcPr>
            <w:tcW w:type="dxa" w:w="840"/>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472,4</w:t>
            </w:r>
          </w:p>
        </w:tc>
        <w:tc>
          <w:tcPr>
            <w:tcW w:type="dxa" w:w="1176"/>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3.185,6</w:t>
            </w:r>
          </w:p>
        </w:tc>
        <w:tc>
          <w:tcPr>
            <w:tcW w:type="dxa" w:w="672"/>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472,4</w:t>
            </w:r>
          </w:p>
        </w:tc>
        <w:tc>
          <w:tcPr>
            <w:tcW w:type="dxa" w:w="1176"/>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189,0</w:t>
            </w:r>
          </w:p>
        </w:tc>
        <w:tc>
          <w:tcPr>
            <w:tcW w:type="dxa" w:w="1344"/>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283,5</w:t>
            </w:r>
          </w:p>
        </w:tc>
        <w:tc>
          <w:tcPr>
            <w:tcW w:type="dxa" w:w="1344"/>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472,4</w:t>
            </w:r>
          </w:p>
        </w:tc>
      </w:tr>
      <w:tr>
        <w:trPr>
          <w:cantSplit/>
        </w:trPr>
        <w:tc>
          <w:tcPr>
            <w:tcW w:type="dxa" w:w="794"/>
            <w:tcBorders>
              <w:bottom w:val="single" w:color="64748B" w:sz="8"/>
            </w:tcBorders>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Año 10</w:t>
            </w:r>
          </w:p>
        </w:tc>
        <w:tc>
          <w:tcPr>
            <w:tcW w:type="dxa" w:w="504"/>
            <w:tcBorders>
              <w:bottom w:val="single" w:color="64748B" w:sz="8"/>
            </w:tcBorders>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675,0</w:t>
            </w:r>
          </w:p>
        </w:tc>
        <w:tc>
          <w:tcPr>
            <w:tcW w:type="dxa" w:w="588"/>
            <w:tcBorders>
              <w:bottom w:val="single" w:color="64748B" w:sz="8"/>
            </w:tcBorders>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1.147,4</w:t>
            </w:r>
          </w:p>
        </w:tc>
        <w:tc>
          <w:tcPr>
            <w:tcW w:type="dxa" w:w="588"/>
            <w:tcBorders>
              <w:bottom w:val="single" w:color="64748B" w:sz="8"/>
            </w:tcBorders>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114,7</w:t>
            </w:r>
          </w:p>
        </w:tc>
        <w:tc>
          <w:tcPr>
            <w:tcW w:type="dxa" w:w="840"/>
            <w:tcBorders>
              <w:bottom w:val="single" w:color="64748B" w:sz="8"/>
            </w:tcBorders>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516,3</w:t>
            </w:r>
          </w:p>
        </w:tc>
        <w:tc>
          <w:tcPr>
            <w:tcW w:type="dxa" w:w="1176"/>
            <w:tcBorders>
              <w:bottom w:val="single" w:color="64748B" w:sz="8"/>
            </w:tcBorders>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3.972,6</w:t>
            </w:r>
          </w:p>
        </w:tc>
        <w:tc>
          <w:tcPr>
            <w:tcW w:type="dxa" w:w="672"/>
            <w:tcBorders>
              <w:bottom w:val="single" w:color="64748B" w:sz="8"/>
            </w:tcBorders>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516,3</w:t>
            </w:r>
          </w:p>
        </w:tc>
        <w:tc>
          <w:tcPr>
            <w:tcW w:type="dxa" w:w="1176"/>
            <w:tcBorders>
              <w:bottom w:val="single" w:color="64748B" w:sz="8"/>
            </w:tcBorders>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206,5</w:t>
            </w:r>
          </w:p>
        </w:tc>
        <w:tc>
          <w:tcPr>
            <w:tcW w:type="dxa" w:w="1344"/>
            <w:tcBorders>
              <w:bottom w:val="single" w:color="64748B" w:sz="8"/>
            </w:tcBorders>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309,8</w:t>
            </w:r>
          </w:p>
        </w:tc>
        <w:tc>
          <w:tcPr>
            <w:tcW w:type="dxa" w:w="1344"/>
            <w:tcBorders>
              <w:bottom w:val="single" w:color="64748B" w:sz="8"/>
            </w:tcBorders>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516,3</w:t>
            </w:r>
          </w:p>
        </w:tc>
      </w:tr>
    </w:tbl>
    <w:p>
      <w:pPr>
        <w:pStyle w:val="NotaTexto"/>
        <w:spacing w:after="60" w:before="60" w:line="276"/>
        <w:jc w:val="both"/>
      </w:pPr>
      <w:r>
        <w:rPr>
          <w:rFonts w:ascii="Calibri" w:cs="Calibri" w:eastAsia="Calibri" w:hAnsi="Calibri"/>
          <w:color w:val="334155"/>
          <w:sz w:val="16"/>
          <w:szCs w:val="16"/>
        </w:rPr>
        <w:t xml:space="preserve">Reglas expresas del módulo (base matemática exacta): base_t = MAX(0, UDI_t + saldoAcumulable_(t-1)), donde el saldo acumulable previo son los resultados de EJERCICIOS ANTERIORES no distribuidos — utilidades retenidas netas de pérdidas, de reservas ya constituidas y de dividendos ya pagados (el saldo del año 0 arranca con la pérdida de montaje, si existe) —, de modo que la base NO es solo la utilidad del año: la reserva (pct_reserva_legal × base) se constituye UNA sola vez sobre esa base y nunca se reserva dos veces la misma utilidad; distribuible = base - reserva; propuestos = distribuible × pct_reparto; pagables = MIN(propuestos, MAX(0, caja acumulada)), donde la caja acumulada es el FCFE antes de repartos DESDE EL AÑO 0 (política conservadora que exige recuperar en caja los aportes antes de repartir); el reparto entre socios usa la PARTICIPACIÓN en el capital, que es distinta del porcentaje de reparto; saldoAcumulable_t = saldoAcumulable_(t-1) + UDI_t - reserva_t - pagables_t. La política de reservas y repartos — incluida la decisión de constituir la reserva sobre la base acumulada y no sobre la utilidad aislada del ejercicio — es un SUPUESTO EDITABLE PENDIENTE DE VALIDACIÓN JURÍDICA: la exigencia legal de constituir reservas y su base exacta deben confirmarse con la normativa societaria aplicable y con el propietario del plan antes de cualquier uso oficial. Los dividendos de la parte cubana que figuran en 4.11 salen de este mismo módulo.</w:t>
      </w:r>
    </w:p>
    <w:p>
      <w:pPr>
        <w:pStyle w:val="Heading1"/>
        <w:pageBreakBefore/>
      </w:pPr>
      <w:bookmarkStart w:name="_Toc22" w:id="22"/>
      <w:r>
        <w:rPr>
          <w:rFonts w:ascii="Calibri" w:cs="Calibri" w:eastAsia="Calibri" w:hAnsi="Calibri"/>
          <w:b/>
          <w:bCs/>
          <w:color w:val="1E3A5F"/>
          <w:sz w:val="30"/>
          <w:szCs w:val="30"/>
        </w:rPr>
        <w:t xml:space="preserve">4.8  Análisis o caracterización del mercado</w:t>
      </w:r>
      <w:bookmarkEnd w:id="22"/>
    </w:p>
    <w:p>
      <w:pPr>
        <w:spacing w:after="40" w:before="40"/>
        <w:jc w:val="left"/>
      </w:pPr>
      <w:r>
        <w:rPr>
          <w:rFonts w:ascii="Calibri" w:cs="Calibri" w:eastAsia="Calibri" w:hAnsi="Calibri"/>
          <w:b/>
          <w:bCs/>
          <w:color w:val="1E3A5F"/>
          <w:sz w:val="19"/>
          <w:szCs w:val="19"/>
        </w:rPr>
        <w:t xml:space="preserve">Caracterización de productos y servicios: </w:t>
      </w:r>
      <w:r>
        <w:rPr>
          <w:rFonts w:ascii="Calibri" w:cs="Calibri" w:eastAsia="Calibri" w:hAnsi="Calibri"/>
          <w:color w:val="334155"/>
          <w:sz w:val="19"/>
          <w:szCs w:val="19"/>
        </w:rPr>
        <w:t xml:space="preserve">Servicios estomatológicos de calidad con estándares internacionales. Descripción ilustrativa para la demostración: la caracterización real exige estudios de mercado primarios.</w:t>
      </w:r>
    </w:p>
    <w:p>
      <w:pPr>
        <w:spacing w:after="40" w:before="40"/>
        <w:jc w:val="left"/>
      </w:pPr>
      <w:r>
        <w:rPr>
          <w:rFonts w:ascii="Calibri" w:cs="Calibri" w:eastAsia="Calibri" w:hAnsi="Calibri"/>
          <w:b/>
          <w:bCs/>
          <w:color w:val="1E3A5F"/>
          <w:sz w:val="19"/>
          <w:szCs w:val="19"/>
        </w:rPr>
        <w:t xml:space="preserve">Requisitos regulatorios y registros necesarios: </w:t>
      </w:r>
      <w:r>
        <w:rPr>
          <w:rFonts w:ascii="Calibri" w:cs="Calibri" w:eastAsia="Calibri" w:hAnsi="Calibri"/>
          <w:color w:val="334155"/>
          <w:sz w:val="19"/>
          <w:szCs w:val="19"/>
        </w:rPr>
        <w:t xml:space="preserve">Licencia sanitaria (MINSAP), registro de la empresa mixta (Registro Mercantil), autorizaciones ambientales y de residuos biomédicos; requisitos de inversión extranjera (CEPEC/DAMN según corresponda). Lista ilustrativa: verificar la normativa aplicable y su estado de cumplimiento antes de la presentación.</w:t>
      </w:r>
    </w:p>
    <w:p>
      <w:pPr>
        <w:spacing w:after="40" w:before="40"/>
        <w:jc w:val="left"/>
      </w:pPr>
      <w:r>
        <w:rPr>
          <w:rFonts w:ascii="Calibri" w:cs="Calibri" w:eastAsia="Calibri" w:hAnsi="Calibri"/>
          <w:b/>
          <w:bCs/>
          <w:color w:val="1E3A5F"/>
          <w:sz w:val="19"/>
          <w:szCs w:val="19"/>
        </w:rPr>
        <w:t xml:space="preserve">Materias primas y materiales auxiliares: </w:t>
      </w:r>
      <w:r>
        <w:rPr>
          <w:rFonts w:ascii="Calibri" w:cs="Calibri" w:eastAsia="Calibri" w:hAnsi="Calibri"/>
          <w:color w:val="334155"/>
          <w:sz w:val="19"/>
          <w:szCs w:val="19"/>
        </w:rPr>
        <w:t xml:space="preserve">Materiales odontológicos y consumibles: resinas, anestésicos, aleaciones, implantes, insumos de bioseguridad y esterilización (detalle ficticio).</w:t>
      </w:r>
    </w:p>
    <w:p>
      <w:pPr>
        <w:spacing w:after="40" w:before="40"/>
        <w:jc w:val="left"/>
      </w:pPr>
      <w:r>
        <w:rPr>
          <w:rFonts w:ascii="Calibri" w:cs="Calibri" w:eastAsia="Calibri" w:hAnsi="Calibri"/>
          <w:b/>
          <w:bCs/>
          <w:color w:val="1E3A5F"/>
          <w:sz w:val="19"/>
          <w:szCs w:val="19"/>
        </w:rPr>
        <w:t xml:space="preserve">Fuentes y ubicación de los suministros: </w:t>
      </w:r>
      <w:r>
        <w:rPr>
          <w:rFonts w:ascii="Calibri" w:cs="Calibri" w:eastAsia="Calibri" w:hAnsi="Calibri"/>
          <w:color w:val="334155"/>
          <w:sz w:val="19"/>
          <w:szCs w:val="19"/>
        </w:rPr>
        <w:t xml:space="preserve">Importación vía proveedores internacionales certificados (supuesto ficticio); evaluar proveedores nacionales donde exista oferta.</w:t>
      </w:r>
    </w:p>
    <w:p>
      <w:pPr>
        <w:spacing w:after="40" w:before="40"/>
        <w:jc w:val="left"/>
      </w:pPr>
      <w:r>
        <w:rPr>
          <w:rFonts w:ascii="Calibri" w:cs="Calibri" w:eastAsia="Calibri" w:hAnsi="Calibri"/>
          <w:b/>
          <w:bCs/>
          <w:color w:val="1E3A5F"/>
          <w:sz w:val="19"/>
          <w:szCs w:val="19"/>
        </w:rPr>
        <w:t xml:space="preserve">Consumo estimado: </w:t>
      </w:r>
      <w:r>
        <w:rPr>
          <w:rFonts w:ascii="Calibri" w:cs="Calibri" w:eastAsia="Calibri" w:hAnsi="Calibri"/>
          <w:color w:val="334155"/>
          <w:sz w:val="19"/>
          <w:szCs w:val="19"/>
        </w:rPr>
        <w:t xml:space="preserve">Costo variable unitario por servicio precargado en la tabla de servicios (supuestos ficticios).</w:t>
      </w:r>
    </w:p>
    <w:p>
      <w:pPr>
        <w:spacing w:after="40" w:before="40"/>
        <w:jc w:val="left"/>
      </w:pPr>
      <w:r>
        <w:rPr>
          <w:rFonts w:ascii="Calibri" w:cs="Calibri" w:eastAsia="Calibri" w:hAnsi="Calibri"/>
          <w:b/>
          <w:bCs/>
          <w:color w:val="1E3A5F"/>
          <w:sz w:val="19"/>
          <w:szCs w:val="19"/>
        </w:rPr>
        <w:t xml:space="preserve">Demanda aparente: </w:t>
      </w:r>
      <w:r>
        <w:rPr>
          <w:rFonts w:ascii="Calibri" w:cs="Calibri" w:eastAsia="Calibri" w:hAnsi="Calibri"/>
          <w:color w:val="334155"/>
          <w:sz w:val="19"/>
          <w:szCs w:val="19"/>
        </w:rPr>
        <w:t xml:space="preserve">Supuesto ilustrativo: población servida estimada de 240 000 habitantes y prevalencia de necesidad de tratamiento del 60 % de adultos. Estimación NO verificada: una propuesta real debe aportar fuentes con fecha.</w:t>
      </w:r>
    </w:p>
    <w:p>
      <w:pPr>
        <w:spacing w:after="40" w:before="40"/>
        <w:jc w:val="left"/>
      </w:pPr>
      <w:r>
        <w:rPr>
          <w:rFonts w:ascii="Calibri" w:cs="Calibri" w:eastAsia="Calibri" w:hAnsi="Calibri"/>
          <w:b/>
          <w:bCs/>
          <w:color w:val="1E3A5F"/>
          <w:sz w:val="19"/>
          <w:szCs w:val="19"/>
        </w:rPr>
        <w:t xml:space="preserve">Demanda solvente: </w:t>
      </w:r>
      <w:r>
        <w:rPr>
          <w:rFonts w:ascii="Calibri" w:cs="Calibri" w:eastAsia="Calibri" w:hAnsi="Calibri"/>
          <w:color w:val="334155"/>
          <w:sz w:val="19"/>
          <w:szCs w:val="19"/>
        </w:rPr>
        <w:t xml:space="preserve">Supuesto ilustrativo: 38 000 personas con capacidad de pago en el área de influencia; captación objetivo del año 1 en torno al 12 %. Supuesto NO verificado.</w:t>
      </w:r>
    </w:p>
    <w:p>
      <w:pPr>
        <w:spacing w:after="40" w:before="40"/>
        <w:jc w:val="left"/>
      </w:pPr>
      <w:r>
        <w:rPr>
          <w:rFonts w:ascii="Calibri" w:cs="Calibri" w:eastAsia="Calibri" w:hAnsi="Calibri"/>
          <w:b/>
          <w:bCs/>
          <w:color w:val="1E3A5F"/>
          <w:sz w:val="19"/>
          <w:szCs w:val="19"/>
        </w:rPr>
        <w:t xml:space="preserve">Método y fuentes de estimación: </w:t>
      </w:r>
      <w:r>
        <w:rPr>
          <w:rFonts w:ascii="Calibri" w:cs="Calibri" w:eastAsia="Calibri" w:hAnsi="Calibri"/>
          <w:color w:val="334155"/>
          <w:sz w:val="19"/>
          <w:szCs w:val="19"/>
        </w:rPr>
        <w:t xml:space="preserve">Método ilustrativo por referencias públicas y supuestos de captación. La aplicación exige documentar fuentes y fechas; no simula investigación de mercado real. Fuentes ficticias de demostración: proyecciones demográficas ilustrativas y referencias sectoriales no verificadas.</w:t>
      </w:r>
    </w:p>
    <w:p>
      <w:pPr>
        <w:spacing w:after="40" w:before="40"/>
        <w:jc w:val="left"/>
      </w:pPr>
      <w:r>
        <w:rPr>
          <w:rFonts w:ascii="Calibri" w:cs="Calibri" w:eastAsia="Calibri" w:hAnsi="Calibri"/>
          <w:b/>
          <w:bCs/>
          <w:color w:val="1E3A5F"/>
          <w:sz w:val="19"/>
          <w:szCs w:val="19"/>
        </w:rPr>
        <w:t xml:space="preserve">Comercialización — exportaciones: </w:t>
      </w:r>
      <w:r>
        <w:rPr>
          <w:rFonts w:ascii="Calibri" w:cs="Calibri" w:eastAsia="Calibri" w:hAnsi="Calibri"/>
          <w:color w:val="334155"/>
          <w:sz w:val="19"/>
          <w:szCs w:val="19"/>
        </w:rPr>
        <w:t xml:space="preserve">Atención a pacientes internacionales (turismo de salud): supuesto ilustrativo, crecimiento a partir del tercer año, incluido dentro de los precios en USD de la tabla de servicios (los ingresos en divisas deben desglosarse por canales sin duplicar operaciones).</w:t>
      </w:r>
    </w:p>
    <w:p>
      <w:pPr>
        <w:spacing w:after="40" w:before="40"/>
        <w:jc w:val="left"/>
      </w:pPr>
      <w:r>
        <w:rPr>
          <w:rFonts w:ascii="Calibri" w:cs="Calibri" w:eastAsia="Calibri" w:hAnsi="Calibri"/>
          <w:b/>
          <w:bCs/>
          <w:color w:val="1E3A5F"/>
          <w:sz w:val="19"/>
          <w:szCs w:val="19"/>
        </w:rPr>
        <w:t xml:space="preserve">Comercialización — divisas (plataformas con pagos desde el exterior): </w:t>
      </w:r>
      <w:r>
        <w:rPr>
          <w:rFonts w:ascii="Calibri" w:cs="Calibri" w:eastAsia="Calibri" w:hAnsi="Calibri"/>
          <w:color w:val="334155"/>
          <w:sz w:val="19"/>
          <w:szCs w:val="19"/>
        </w:rPr>
        <w:t xml:space="preserve">Los servicios se facturan en divisas según la política establecida (supuesto ficticio a definir).</w:t>
      </w:r>
    </w:p>
    <w:p>
      <w:pPr>
        <w:spacing w:after="40" w:before="40"/>
        <w:jc w:val="left"/>
      </w:pPr>
      <w:r>
        <w:rPr>
          <w:rFonts w:ascii="Calibri" w:cs="Calibri" w:eastAsia="Calibri" w:hAnsi="Calibri"/>
          <w:b/>
          <w:bCs/>
          <w:color w:val="1E3A5F"/>
          <w:sz w:val="19"/>
          <w:szCs w:val="19"/>
        </w:rPr>
        <w:t xml:space="preserve">Comercialización — moneda nacional: </w:t>
      </w:r>
      <w:r>
        <w:rPr>
          <w:rFonts w:ascii="Calibri" w:cs="Calibri" w:eastAsia="Calibri" w:hAnsi="Calibri"/>
          <w:color w:val="334155"/>
          <w:sz w:val="19"/>
          <w:szCs w:val="19"/>
        </w:rPr>
        <w:t xml:space="preserve">Se contempla un componente de venta en moneda nacional a población nacional con capacidad de pago (supuesto ficticio a definir).</w:t>
      </w:r>
    </w:p>
    <w:p>
      <w:pPr>
        <w:pStyle w:val="NotaTabla"/>
        <w:keepNext/>
        <w:keepLines/>
        <w:spacing w:after="80" w:before="200"/>
      </w:pPr>
      <w:r>
        <w:rPr>
          <w:rFonts w:ascii="Calibri" w:cs="Calibri" w:eastAsia="Calibri" w:hAnsi="Calibri"/>
          <w:b/>
          <w:bCs/>
          <w:color w:val="1E3A5F"/>
          <w:sz w:val="18"/>
          <w:szCs w:val="18"/>
        </w:rPr>
        <w:t xml:space="preserve">Tabla 18. Proyección de ingresos por canal de comercialización (miles de USD; metodología 4.8: exportaciones / plataformas con pagos desde el exterior / ventas en plaza, sin duplicar operaciones)</w:t>
      </w:r>
    </w:p>
    <w:tbl>
      <w:tblPr>
        <w:tblW w:type="dxa" w:w="9026"/>
        <w:tblBorders>
          <w:top w:val="none" w:color="auto" w:sz="0"/>
          <w:left w:val="none" w:color="auto" w:sz="0"/>
          <w:bottom w:val="none" w:color="auto" w:sz="0"/>
          <w:right w:val="none" w:color="auto" w:sz="0"/>
          <w:insideH w:val="none" w:color="auto" w:sz="0"/>
          <w:insideV w:val="none" w:color="auto" w:sz="0"/>
        </w:tblBorders>
      </w:tblPr>
      <w:tblGrid>
        <w:gridCol w:w="3111"/>
        <w:gridCol w:w="461"/>
        <w:gridCol w:w="538"/>
        <w:gridCol w:w="538"/>
        <w:gridCol w:w="538"/>
        <w:gridCol w:w="538"/>
        <w:gridCol w:w="538"/>
        <w:gridCol w:w="538"/>
        <w:gridCol w:w="538"/>
        <w:gridCol w:w="538"/>
        <w:gridCol w:w="538"/>
        <w:gridCol w:w="615"/>
      </w:tblGrid>
      <w:tr>
        <w:trPr>
          <w:cantSplit/>
          <w:tblHeader/>
        </w:trPr>
        <w:tc>
          <w:tcPr>
            <w:tcW w:type="dxa" w:w="3111"/>
            <w:tcBorders>
              <w:top w:val="single" w:color="64748B" w:sz="8"/>
              <w:bottom w:val="single" w:color="94A3B8" w:sz="4"/>
            </w:tcBorders>
            <w:shd w:fill="EEF2F7" w:color="auto" w:val="clear"/>
            <w:tcMar>
              <w:top w:type="dxa" w:w="40"/>
              <w:left w:type="dxa" w:w="80"/>
              <w:bottom w:type="dxa" w:w="40"/>
              <w:right w:type="dxa" w:w="80"/>
            </w:tcMar>
          </w:tcPr>
          <w:p>
            <w:pPr>
              <w:jc w:val="left"/>
            </w:pPr>
            <w:r>
              <w:rPr>
                <w:rFonts w:ascii="Calibri" w:cs="Calibri" w:eastAsia="Calibri" w:hAnsi="Calibri"/>
                <w:b/>
                <w:bCs/>
                <w:color w:val="1E3A5F"/>
                <w:sz w:val="17"/>
                <w:szCs w:val="17"/>
              </w:rPr>
              <w:t xml:space="preserve">Canal</w:t>
            </w:r>
          </w:p>
        </w:tc>
        <w:tc>
          <w:tcPr>
            <w:tcW w:type="dxa" w:w="461"/>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7"/>
                <w:szCs w:val="17"/>
              </w:rPr>
              <w:t xml:space="preserve">Año 1</w:t>
            </w:r>
          </w:p>
        </w:tc>
        <w:tc>
          <w:tcPr>
            <w:tcW w:type="dxa" w:w="538"/>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7"/>
                <w:szCs w:val="17"/>
              </w:rPr>
              <w:t xml:space="preserve">Año 2</w:t>
            </w:r>
          </w:p>
        </w:tc>
        <w:tc>
          <w:tcPr>
            <w:tcW w:type="dxa" w:w="538"/>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7"/>
                <w:szCs w:val="17"/>
              </w:rPr>
              <w:t xml:space="preserve">Año 3</w:t>
            </w:r>
          </w:p>
        </w:tc>
        <w:tc>
          <w:tcPr>
            <w:tcW w:type="dxa" w:w="538"/>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7"/>
                <w:szCs w:val="17"/>
              </w:rPr>
              <w:t xml:space="preserve">Año 4</w:t>
            </w:r>
          </w:p>
        </w:tc>
        <w:tc>
          <w:tcPr>
            <w:tcW w:type="dxa" w:w="538"/>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7"/>
                <w:szCs w:val="17"/>
              </w:rPr>
              <w:t xml:space="preserve">Año 5</w:t>
            </w:r>
          </w:p>
        </w:tc>
        <w:tc>
          <w:tcPr>
            <w:tcW w:type="dxa" w:w="538"/>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7"/>
                <w:szCs w:val="17"/>
              </w:rPr>
              <w:t xml:space="preserve">Año 6</w:t>
            </w:r>
          </w:p>
        </w:tc>
        <w:tc>
          <w:tcPr>
            <w:tcW w:type="dxa" w:w="538"/>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7"/>
                <w:szCs w:val="17"/>
              </w:rPr>
              <w:t xml:space="preserve">Año 7</w:t>
            </w:r>
          </w:p>
        </w:tc>
        <w:tc>
          <w:tcPr>
            <w:tcW w:type="dxa" w:w="538"/>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7"/>
                <w:szCs w:val="17"/>
              </w:rPr>
              <w:t xml:space="preserve">Año 8</w:t>
            </w:r>
          </w:p>
        </w:tc>
        <w:tc>
          <w:tcPr>
            <w:tcW w:type="dxa" w:w="538"/>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7"/>
                <w:szCs w:val="17"/>
              </w:rPr>
              <w:t xml:space="preserve">Año 9</w:t>
            </w:r>
          </w:p>
        </w:tc>
        <w:tc>
          <w:tcPr>
            <w:tcW w:type="dxa" w:w="538"/>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7"/>
                <w:szCs w:val="17"/>
              </w:rPr>
              <w:t xml:space="preserve">Año 10</w:t>
            </w:r>
          </w:p>
        </w:tc>
        <w:tc>
          <w:tcPr>
            <w:tcW w:type="dxa" w:w="615"/>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7"/>
                <w:szCs w:val="17"/>
              </w:rPr>
              <w:t xml:space="preserve">Total</w:t>
            </w:r>
          </w:p>
        </w:tc>
      </w:tr>
      <w:tr>
        <w:trPr>
          <w:cantSplit/>
        </w:trPr>
        <w:tc>
          <w:tcPr>
            <w:tcW w:type="dxa" w:w="3111"/>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Exportaciones</w:t>
            </w:r>
          </w:p>
        </w:tc>
        <w:tc>
          <w:tcPr>
            <w:tcW w:type="dxa" w:w="461"/>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134,4</w:t>
            </w:r>
          </w:p>
        </w:tc>
        <w:tc>
          <w:tcPr>
            <w:tcW w:type="dxa" w:w="538"/>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145,4</w:t>
            </w:r>
          </w:p>
        </w:tc>
        <w:tc>
          <w:tcPr>
            <w:tcW w:type="dxa" w:w="538"/>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157,2</w:t>
            </w:r>
          </w:p>
        </w:tc>
        <w:tc>
          <w:tcPr>
            <w:tcW w:type="dxa" w:w="538"/>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170,0</w:t>
            </w:r>
          </w:p>
        </w:tc>
        <w:tc>
          <w:tcPr>
            <w:tcW w:type="dxa" w:w="538"/>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183,9</w:t>
            </w:r>
          </w:p>
        </w:tc>
        <w:tc>
          <w:tcPr>
            <w:tcW w:type="dxa" w:w="538"/>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198,9</w:t>
            </w:r>
          </w:p>
        </w:tc>
        <w:tc>
          <w:tcPr>
            <w:tcW w:type="dxa" w:w="538"/>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215,1</w:t>
            </w:r>
          </w:p>
        </w:tc>
        <w:tc>
          <w:tcPr>
            <w:tcW w:type="dxa" w:w="538"/>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232,6</w:t>
            </w:r>
          </w:p>
        </w:tc>
        <w:tc>
          <w:tcPr>
            <w:tcW w:type="dxa" w:w="538"/>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251,5</w:t>
            </w:r>
          </w:p>
        </w:tc>
        <w:tc>
          <w:tcPr>
            <w:tcW w:type="dxa" w:w="538"/>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272,0</w:t>
            </w:r>
          </w:p>
        </w:tc>
        <w:tc>
          <w:tcPr>
            <w:tcW w:type="dxa" w:w="615"/>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1.960,9</w:t>
            </w:r>
          </w:p>
        </w:tc>
      </w:tr>
      <w:tr>
        <w:trPr>
          <w:cantSplit/>
        </w:trPr>
        <w:tc>
          <w:tcPr>
            <w:tcW w:type="dxa" w:w="3111"/>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Ventas en plataformas con pagos desde el exterior</w:t>
            </w:r>
          </w:p>
        </w:tc>
        <w:tc>
          <w:tcPr>
            <w:tcW w:type="dxa" w:w="461"/>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70,2</w:t>
            </w:r>
          </w:p>
        </w:tc>
        <w:tc>
          <w:tcPr>
            <w:tcW w:type="dxa" w:w="538"/>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75,9</w:t>
            </w:r>
          </w:p>
        </w:tc>
        <w:tc>
          <w:tcPr>
            <w:tcW w:type="dxa" w:w="538"/>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82,1</w:t>
            </w:r>
          </w:p>
        </w:tc>
        <w:tc>
          <w:tcPr>
            <w:tcW w:type="dxa" w:w="538"/>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88,8</w:t>
            </w:r>
          </w:p>
        </w:tc>
        <w:tc>
          <w:tcPr>
            <w:tcW w:type="dxa" w:w="538"/>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96,0</w:t>
            </w:r>
          </w:p>
        </w:tc>
        <w:tc>
          <w:tcPr>
            <w:tcW w:type="dxa" w:w="538"/>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103,9</w:t>
            </w:r>
          </w:p>
        </w:tc>
        <w:tc>
          <w:tcPr>
            <w:tcW w:type="dxa" w:w="538"/>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112,3</w:t>
            </w:r>
          </w:p>
        </w:tc>
        <w:tc>
          <w:tcPr>
            <w:tcW w:type="dxa" w:w="538"/>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121,5</w:t>
            </w:r>
          </w:p>
        </w:tc>
        <w:tc>
          <w:tcPr>
            <w:tcW w:type="dxa" w:w="538"/>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131,4</w:t>
            </w:r>
          </w:p>
        </w:tc>
        <w:tc>
          <w:tcPr>
            <w:tcW w:type="dxa" w:w="538"/>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142,1</w:t>
            </w:r>
          </w:p>
        </w:tc>
        <w:tc>
          <w:tcPr>
            <w:tcW w:type="dxa" w:w="615"/>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1.024,2</w:t>
            </w:r>
          </w:p>
        </w:tc>
      </w:tr>
      <w:tr>
        <w:trPr>
          <w:cantSplit/>
        </w:trPr>
        <w:tc>
          <w:tcPr>
            <w:tcW w:type="dxa" w:w="3111"/>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Ventas en plaza</w:t>
            </w:r>
          </w:p>
        </w:tc>
        <w:tc>
          <w:tcPr>
            <w:tcW w:type="dxa" w:w="461"/>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763,2</w:t>
            </w:r>
          </w:p>
        </w:tc>
        <w:tc>
          <w:tcPr>
            <w:tcW w:type="dxa" w:w="538"/>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825,4</w:t>
            </w:r>
          </w:p>
        </w:tc>
        <w:tc>
          <w:tcPr>
            <w:tcW w:type="dxa" w:w="538"/>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892,7</w:t>
            </w:r>
          </w:p>
        </w:tc>
        <w:tc>
          <w:tcPr>
            <w:tcW w:type="dxa" w:w="538"/>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965,4</w:t>
            </w:r>
          </w:p>
        </w:tc>
        <w:tc>
          <w:tcPr>
            <w:tcW w:type="dxa" w:w="538"/>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1.044,1</w:t>
            </w:r>
          </w:p>
        </w:tc>
        <w:tc>
          <w:tcPr>
            <w:tcW w:type="dxa" w:w="538"/>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1.129,2</w:t>
            </w:r>
          </w:p>
        </w:tc>
        <w:tc>
          <w:tcPr>
            <w:tcW w:type="dxa" w:w="538"/>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1.221,2</w:t>
            </w:r>
          </w:p>
        </w:tc>
        <w:tc>
          <w:tcPr>
            <w:tcW w:type="dxa" w:w="538"/>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1.320,8</w:t>
            </w:r>
          </w:p>
        </w:tc>
        <w:tc>
          <w:tcPr>
            <w:tcW w:type="dxa" w:w="538"/>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1.428,4</w:t>
            </w:r>
          </w:p>
        </w:tc>
        <w:tc>
          <w:tcPr>
            <w:tcW w:type="dxa" w:w="538"/>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1.544,8</w:t>
            </w:r>
          </w:p>
        </w:tc>
        <w:tc>
          <w:tcPr>
            <w:tcW w:type="dxa" w:w="615"/>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11.135,2</w:t>
            </w:r>
          </w:p>
        </w:tc>
      </w:tr>
      <w:tr>
        <w:trPr>
          <w:cantSplit/>
        </w:trPr>
        <w:tc>
          <w:tcPr>
            <w:tcW w:type="dxa" w:w="3111"/>
            <w:tcBorders>
              <w:top w:val="single" w:color="94A3B8" w:sz="4"/>
              <w:bottom w:val="single" w:color="64748B" w:sz="8"/>
            </w:tcBorders>
            <w:tcMar>
              <w:top w:type="dxa" w:w="40"/>
              <w:left w:type="dxa" w:w="80"/>
              <w:bottom w:type="dxa" w:w="40"/>
              <w:right w:type="dxa" w:w="80"/>
            </w:tcMar>
          </w:tcPr>
          <w:p>
            <w:pPr>
              <w:jc w:val="left"/>
            </w:pPr>
            <w:r>
              <w:rPr>
                <w:rFonts w:ascii="Calibri" w:cs="Calibri" w:eastAsia="Calibri" w:hAnsi="Calibri"/>
                <w:b/>
                <w:bCs/>
                <w:color w:val="334155"/>
                <w:sz w:val="17"/>
                <w:szCs w:val="17"/>
              </w:rPr>
              <w:t xml:space="preserve">TOTAL</w:t>
            </w:r>
          </w:p>
        </w:tc>
        <w:tc>
          <w:tcPr>
            <w:tcW w:type="dxa" w:w="461"/>
            <w:tcBorders>
              <w:top w:val="single" w:color="94A3B8" w:sz="4"/>
              <w:bottom w:val="single" w:color="64748B" w:sz="8"/>
            </w:tcBorders>
            <w:tcMar>
              <w:top w:type="dxa" w:w="40"/>
              <w:left w:type="dxa" w:w="80"/>
              <w:bottom w:type="dxa" w:w="40"/>
              <w:right w:type="dxa" w:w="80"/>
            </w:tcMar>
          </w:tcPr>
          <w:p>
            <w:pPr>
              <w:jc w:val="right"/>
            </w:pPr>
            <w:r>
              <w:rPr>
                <w:rFonts w:ascii="Calibri" w:cs="Calibri" w:eastAsia="Calibri" w:hAnsi="Calibri"/>
                <w:b/>
                <w:bCs/>
                <w:color w:val="334155"/>
                <w:sz w:val="17"/>
                <w:szCs w:val="17"/>
              </w:rPr>
              <w:t xml:space="preserve">967,8</w:t>
            </w:r>
          </w:p>
        </w:tc>
        <w:tc>
          <w:tcPr>
            <w:tcW w:type="dxa" w:w="538"/>
            <w:tcBorders>
              <w:top w:val="single" w:color="94A3B8" w:sz="4"/>
              <w:bottom w:val="single" w:color="64748B" w:sz="8"/>
            </w:tcBorders>
            <w:tcMar>
              <w:top w:type="dxa" w:w="40"/>
              <w:left w:type="dxa" w:w="80"/>
              <w:bottom w:type="dxa" w:w="40"/>
              <w:right w:type="dxa" w:w="80"/>
            </w:tcMar>
          </w:tcPr>
          <w:p>
            <w:pPr>
              <w:jc w:val="right"/>
            </w:pPr>
            <w:r>
              <w:rPr>
                <w:rFonts w:ascii="Calibri" w:cs="Calibri" w:eastAsia="Calibri" w:hAnsi="Calibri"/>
                <w:b/>
                <w:bCs/>
                <w:color w:val="334155"/>
                <w:sz w:val="17"/>
                <w:szCs w:val="17"/>
              </w:rPr>
              <w:t xml:space="preserve">1.046,7</w:t>
            </w:r>
          </w:p>
        </w:tc>
        <w:tc>
          <w:tcPr>
            <w:tcW w:type="dxa" w:w="538"/>
            <w:tcBorders>
              <w:top w:val="single" w:color="94A3B8" w:sz="4"/>
              <w:bottom w:val="single" w:color="64748B" w:sz="8"/>
            </w:tcBorders>
            <w:tcMar>
              <w:top w:type="dxa" w:w="40"/>
              <w:left w:type="dxa" w:w="80"/>
              <w:bottom w:type="dxa" w:w="40"/>
              <w:right w:type="dxa" w:w="80"/>
            </w:tcMar>
          </w:tcPr>
          <w:p>
            <w:pPr>
              <w:jc w:val="right"/>
            </w:pPr>
            <w:r>
              <w:rPr>
                <w:rFonts w:ascii="Calibri" w:cs="Calibri" w:eastAsia="Calibri" w:hAnsi="Calibri"/>
                <w:b/>
                <w:bCs/>
                <w:color w:val="334155"/>
                <w:sz w:val="17"/>
                <w:szCs w:val="17"/>
              </w:rPr>
              <w:t xml:space="preserve">1.132,0</w:t>
            </w:r>
          </w:p>
        </w:tc>
        <w:tc>
          <w:tcPr>
            <w:tcW w:type="dxa" w:w="538"/>
            <w:tcBorders>
              <w:top w:val="single" w:color="94A3B8" w:sz="4"/>
              <w:bottom w:val="single" w:color="64748B" w:sz="8"/>
            </w:tcBorders>
            <w:tcMar>
              <w:top w:type="dxa" w:w="40"/>
              <w:left w:type="dxa" w:w="80"/>
              <w:bottom w:type="dxa" w:w="40"/>
              <w:right w:type="dxa" w:w="80"/>
            </w:tcMar>
          </w:tcPr>
          <w:p>
            <w:pPr>
              <w:jc w:val="right"/>
            </w:pPr>
            <w:r>
              <w:rPr>
                <w:rFonts w:ascii="Calibri" w:cs="Calibri" w:eastAsia="Calibri" w:hAnsi="Calibri"/>
                <w:b/>
                <w:bCs/>
                <w:color w:val="334155"/>
                <w:sz w:val="17"/>
                <w:szCs w:val="17"/>
              </w:rPr>
              <w:t xml:space="preserve">1.224,2</w:t>
            </w:r>
          </w:p>
        </w:tc>
        <w:tc>
          <w:tcPr>
            <w:tcW w:type="dxa" w:w="538"/>
            <w:tcBorders>
              <w:top w:val="single" w:color="94A3B8" w:sz="4"/>
              <w:bottom w:val="single" w:color="64748B" w:sz="8"/>
            </w:tcBorders>
            <w:tcMar>
              <w:top w:type="dxa" w:w="40"/>
              <w:left w:type="dxa" w:w="80"/>
              <w:bottom w:type="dxa" w:w="40"/>
              <w:right w:type="dxa" w:w="80"/>
            </w:tcMar>
          </w:tcPr>
          <w:p>
            <w:pPr>
              <w:jc w:val="right"/>
            </w:pPr>
            <w:r>
              <w:rPr>
                <w:rFonts w:ascii="Calibri" w:cs="Calibri" w:eastAsia="Calibri" w:hAnsi="Calibri"/>
                <w:b/>
                <w:bCs/>
                <w:color w:val="334155"/>
                <w:sz w:val="17"/>
                <w:szCs w:val="17"/>
              </w:rPr>
              <w:t xml:space="preserve">1.324,0</w:t>
            </w:r>
          </w:p>
        </w:tc>
        <w:tc>
          <w:tcPr>
            <w:tcW w:type="dxa" w:w="538"/>
            <w:tcBorders>
              <w:top w:val="single" w:color="94A3B8" w:sz="4"/>
              <w:bottom w:val="single" w:color="64748B" w:sz="8"/>
            </w:tcBorders>
            <w:tcMar>
              <w:top w:type="dxa" w:w="40"/>
              <w:left w:type="dxa" w:w="80"/>
              <w:bottom w:type="dxa" w:w="40"/>
              <w:right w:type="dxa" w:w="80"/>
            </w:tcMar>
          </w:tcPr>
          <w:p>
            <w:pPr>
              <w:jc w:val="right"/>
            </w:pPr>
            <w:r>
              <w:rPr>
                <w:rFonts w:ascii="Calibri" w:cs="Calibri" w:eastAsia="Calibri" w:hAnsi="Calibri"/>
                <w:b/>
                <w:bCs/>
                <w:color w:val="334155"/>
                <w:sz w:val="17"/>
                <w:szCs w:val="17"/>
              </w:rPr>
              <w:t xml:space="preserve">1.431,9</w:t>
            </w:r>
          </w:p>
        </w:tc>
        <w:tc>
          <w:tcPr>
            <w:tcW w:type="dxa" w:w="538"/>
            <w:tcBorders>
              <w:top w:val="single" w:color="94A3B8" w:sz="4"/>
              <w:bottom w:val="single" w:color="64748B" w:sz="8"/>
            </w:tcBorders>
            <w:tcMar>
              <w:top w:type="dxa" w:w="40"/>
              <w:left w:type="dxa" w:w="80"/>
              <w:bottom w:type="dxa" w:w="40"/>
              <w:right w:type="dxa" w:w="80"/>
            </w:tcMar>
          </w:tcPr>
          <w:p>
            <w:pPr>
              <w:jc w:val="right"/>
            </w:pPr>
            <w:r>
              <w:rPr>
                <w:rFonts w:ascii="Calibri" w:cs="Calibri" w:eastAsia="Calibri" w:hAnsi="Calibri"/>
                <w:b/>
                <w:bCs/>
                <w:color w:val="334155"/>
                <w:sz w:val="17"/>
                <w:szCs w:val="17"/>
              </w:rPr>
              <w:t xml:space="preserve">1.548,6</w:t>
            </w:r>
          </w:p>
        </w:tc>
        <w:tc>
          <w:tcPr>
            <w:tcW w:type="dxa" w:w="538"/>
            <w:tcBorders>
              <w:top w:val="single" w:color="94A3B8" w:sz="4"/>
              <w:bottom w:val="single" w:color="64748B" w:sz="8"/>
            </w:tcBorders>
            <w:tcMar>
              <w:top w:type="dxa" w:w="40"/>
              <w:left w:type="dxa" w:w="80"/>
              <w:bottom w:type="dxa" w:w="40"/>
              <w:right w:type="dxa" w:w="80"/>
            </w:tcMar>
          </w:tcPr>
          <w:p>
            <w:pPr>
              <w:jc w:val="right"/>
            </w:pPr>
            <w:r>
              <w:rPr>
                <w:rFonts w:ascii="Calibri" w:cs="Calibri" w:eastAsia="Calibri" w:hAnsi="Calibri"/>
                <w:b/>
                <w:bCs/>
                <w:color w:val="334155"/>
                <w:sz w:val="17"/>
                <w:szCs w:val="17"/>
              </w:rPr>
              <w:t xml:space="preserve">1.674,8</w:t>
            </w:r>
          </w:p>
        </w:tc>
        <w:tc>
          <w:tcPr>
            <w:tcW w:type="dxa" w:w="538"/>
            <w:tcBorders>
              <w:top w:val="single" w:color="94A3B8" w:sz="4"/>
              <w:bottom w:val="single" w:color="64748B" w:sz="8"/>
            </w:tcBorders>
            <w:tcMar>
              <w:top w:type="dxa" w:w="40"/>
              <w:left w:type="dxa" w:w="80"/>
              <w:bottom w:type="dxa" w:w="40"/>
              <w:right w:type="dxa" w:w="80"/>
            </w:tcMar>
          </w:tcPr>
          <w:p>
            <w:pPr>
              <w:jc w:val="right"/>
            </w:pPr>
            <w:r>
              <w:rPr>
                <w:rFonts w:ascii="Calibri" w:cs="Calibri" w:eastAsia="Calibri" w:hAnsi="Calibri"/>
                <w:b/>
                <w:bCs/>
                <w:color w:val="334155"/>
                <w:sz w:val="17"/>
                <w:szCs w:val="17"/>
              </w:rPr>
              <w:t xml:space="preserve">1.811,3</w:t>
            </w:r>
          </w:p>
        </w:tc>
        <w:tc>
          <w:tcPr>
            <w:tcW w:type="dxa" w:w="538"/>
            <w:tcBorders>
              <w:top w:val="single" w:color="94A3B8" w:sz="4"/>
              <w:bottom w:val="single" w:color="64748B" w:sz="8"/>
            </w:tcBorders>
            <w:tcMar>
              <w:top w:type="dxa" w:w="40"/>
              <w:left w:type="dxa" w:w="80"/>
              <w:bottom w:type="dxa" w:w="40"/>
              <w:right w:type="dxa" w:w="80"/>
            </w:tcMar>
          </w:tcPr>
          <w:p>
            <w:pPr>
              <w:jc w:val="right"/>
            </w:pPr>
            <w:r>
              <w:rPr>
                <w:rFonts w:ascii="Calibri" w:cs="Calibri" w:eastAsia="Calibri" w:hAnsi="Calibri"/>
                <w:b/>
                <w:bCs/>
                <w:color w:val="334155"/>
                <w:sz w:val="17"/>
                <w:szCs w:val="17"/>
              </w:rPr>
              <w:t xml:space="preserve">1.959,0</w:t>
            </w:r>
          </w:p>
        </w:tc>
        <w:tc>
          <w:tcPr>
            <w:tcW w:type="dxa" w:w="615"/>
            <w:tcBorders>
              <w:top w:val="single" w:color="94A3B8" w:sz="4"/>
              <w:bottom w:val="single" w:color="64748B" w:sz="8"/>
            </w:tcBorders>
            <w:tcMar>
              <w:top w:type="dxa" w:w="40"/>
              <w:left w:type="dxa" w:w="80"/>
              <w:bottom w:type="dxa" w:w="40"/>
              <w:right w:type="dxa" w:w="80"/>
            </w:tcMar>
          </w:tcPr>
          <w:p>
            <w:pPr>
              <w:jc w:val="right"/>
            </w:pPr>
            <w:r>
              <w:rPr>
                <w:rFonts w:ascii="Calibri" w:cs="Calibri" w:eastAsia="Calibri" w:hAnsi="Calibri"/>
                <w:b/>
                <w:bCs/>
                <w:color w:val="334155"/>
                <w:sz w:val="17"/>
                <w:szCs w:val="17"/>
              </w:rPr>
              <w:t xml:space="preserve">14.120,4</w:t>
            </w:r>
          </w:p>
        </w:tc>
      </w:tr>
    </w:tbl>
    <w:p>
      <w:pPr>
        <w:pStyle w:val="NotaTexto"/>
        <w:spacing w:after="60" w:before="60" w:line="276"/>
        <w:jc w:val="both"/>
      </w:pPr>
      <w:r>
        <w:rPr>
          <w:rFonts w:ascii="Calibri" w:cs="Calibri" w:eastAsia="Calibri" w:hAnsi="Calibri"/>
          <w:color w:val="334155"/>
          <w:sz w:val="16"/>
          <w:szCs w:val="16"/>
        </w:rPr>
        <w:t xml:space="preserve">El desglose por canal asigna CADA servicio a un único canal, por lo que ninguna operación se cuenta dos veces; el total por canal y años proviene de los mismos ingresos del estado de resultados. </w:t>
      </w:r>
    </w:p>
    <w:p>
      <w:pPr>
        <w:pStyle w:val="AnalisisPlanex"/>
        <w:pBdr>
          <w:left w:val="single" w:color="B45309" w:sz="18" w:space="4"/>
        </w:pBdr>
        <w:shd w:fill="FFF7E6" w:color="auto" w:val="clear"/>
        <w:spacing w:after="20" w:before="160"/>
      </w:pPr>
      <w:r>
        <w:rPr>
          <w:rFonts w:ascii="Calibri" w:cs="Calibri" w:eastAsia="Calibri" w:hAnsi="Calibri"/>
          <w:b/>
          <w:bCs/>
          <w:color w:val="B45309"/>
          <w:sz w:val="18"/>
          <w:szCs w:val="18"/>
        </w:rPr>
        <w:t xml:space="preserve">Análisis de mercado — lectura de los datos disponibles</w:t>
      </w:r>
      <w:r>
        <w:rPr>
          <w:rFonts w:ascii="Calibri" w:cs="Calibri" w:eastAsia="Calibri" w:hAnsi="Calibri"/>
          <w:color w:val="8C6428"/>
          <w:sz w:val="14"/>
          <w:szCs w:val="14"/>
        </w:rPr>
        <w:t xml:space="preserve">  ·  ANÁLISIS GENERADO POR EL MODELO</w:t>
      </w:r>
    </w:p>
    <w:p>
      <w:pPr>
        <w:pStyle w:val="AnalisisCuerpo"/>
        <w:pBdr>
          <w:left w:val="single" w:color="B45309" w:sz="18" w:space="4"/>
          <w:bottom w:val="single" w:color="FFF7E6" w:sz="2" w:space="1"/>
        </w:pBdr>
        <w:shd w:fill="FFF7E6" w:color="auto" w:val="clear"/>
        <w:spacing w:after="160" w:before="0"/>
        <w:jc w:val="both"/>
      </w:pPr>
      <w:r>
        <w:rPr>
          <w:rFonts w:ascii="Calibri" w:cs="Calibri" w:eastAsia="Calibri" w:hAnsi="Calibri"/>
          <w:color w:val="334155"/>
          <w:sz w:val="18"/>
          <w:szCs w:val="18"/>
        </w:rPr>
        <w:t xml:space="preserve">El volumen de negocio modelado en el año 1 (967,8 miles de USD) se apoya en la demanda prevista definida en la tabla de servicios. La aplicación no simula una investigación de mercado: los valores de demanda aparente y demanda solvente declarados en el apartado 4.8 están registrados y deben sustentarse en fuentes verificables. Las fuentes consultadas no están documentadas (o están marcadas como ficticias de demostración): el análisis de mercado del plan es un SUPUESTO de demostración. Una propuesta real exige investigaciones de demanda, precios de referencia y competidores con fecha y fuente. Conciliación demanda -&gt; captación -&gt; volumen: la demanda solvente declarada (38.000 personas) con la captación objetivo (12,0 %) implica unas 4.560 personas captadas en el año 1, mientras que el volumen previsto de servicios asciende a 13.344 servicios anuales en todas las líneas: el modelo lo reconcilia mediante la HIPÓTESIS EXPLÍCITA de pacientes recurrentes con ~ 2,9 servicios por paciente captado al año (frecuencia de visita y servicios por paciente a validar con la práctica clínica real; es un supuesto, no un dato). Desglose de ingresos del año 1 por canal (metodología 4.8, sin duplicar operaciones): ventas en plaza: 763,2 kUSD (78,9 %), exportaciones: 134,4 kUSD (13,9 %), ventas en plataformas con pagos desde el exterior: 70,2 kUSD (7,3 %). La estrategia de comercialización contempla ventas al exterior («Atención a pacientes internacionales (turismo de salud): supuesto ilustrativo, crecimiento a partir del tercer año, incl…»): los ingresos en divisas deben identificarse por separado en la estructura de ingresos (exportaciones / plataformas con pagos desde el exterior / venta en plaza) sin duplicar operaciones. Supuestos de mayor impacto en los resultados de mercado: precios unitarios (crecimiento 3,0 % anual), demanda (crecimiento 5,0 % anual) y tope de capacidad del escenario activo. Un error de ±10 % en la demanda del año 1 desplaza los ingresos del año 1 en ±96,8 miles de USD.</w:t>
      </w:r>
    </w:p>
    <w:p>
      <w:pPr>
        <w:pStyle w:val="Heading1"/>
        <w:pageBreakBefore/>
      </w:pPr>
      <w:bookmarkStart w:name="_Toc23" w:id="23"/>
      <w:r>
        <w:rPr>
          <w:rFonts w:ascii="Calibri" w:cs="Calibri" w:eastAsia="Calibri" w:hAnsi="Calibri"/>
          <w:b/>
          <w:bCs/>
          <w:color w:val="1E3A5F"/>
          <w:sz w:val="30"/>
          <w:szCs w:val="30"/>
        </w:rPr>
        <w:t xml:space="preserve">4.9  Fuerza de trabajo</w:t>
      </w:r>
      <w:bookmarkEnd w:id="23"/>
    </w:p>
    <w:p>
      <w:pPr>
        <w:spacing w:after="60" w:before="60" w:line="276"/>
        <w:jc w:val="both"/>
      </w:pPr>
      <w:r>
        <w:rPr>
          <w:rFonts w:ascii="Calibri" w:cs="Calibri" w:eastAsia="Calibri" w:hAnsi="Calibri"/>
          <w:color w:val="334155"/>
          <w:sz w:val="20"/>
          <w:szCs w:val="20"/>
        </w:rPr>
        <w:t xml:space="preserve">Entidad autorizada a contratar la fuerza de trabajo: Entidad empleadora autorizada (supuesto ilustrativo: la parte nacional contratante según la legislación vigente).</w:t>
      </w:r>
    </w:p>
    <w:p>
      <w:pPr>
        <w:pStyle w:val="NotaTabla"/>
        <w:keepNext/>
        <w:keepLines/>
        <w:spacing w:after="80" w:before="200"/>
      </w:pPr>
      <w:r>
        <w:rPr>
          <w:rFonts w:ascii="Calibri" w:cs="Calibri" w:eastAsia="Calibri" w:hAnsi="Calibri"/>
          <w:b/>
          <w:bCs/>
          <w:color w:val="1E3A5F"/>
          <w:sz w:val="18"/>
          <w:szCs w:val="18"/>
        </w:rPr>
        <w:t xml:space="preserve">Tabla 19. Fuerza de trabajo por categoría y etapa de contratación (salarios en CUP conforme a la metodología 4.9; equivalente en USD documentado)</w:t>
      </w:r>
    </w:p>
    <w:tbl>
      <w:tblPr>
        <w:tblW w:type="dxa" w:w="9026"/>
        <w:tblBorders>
          <w:top w:val="none" w:color="auto" w:sz="0"/>
          <w:left w:val="none" w:color="auto" w:sz="0"/>
          <w:bottom w:val="none" w:color="auto" w:sz="0"/>
          <w:right w:val="none" w:color="auto" w:sz="0"/>
          <w:insideH w:val="none" w:color="auto" w:sz="0"/>
          <w:insideV w:val="none" w:color="auto" w:sz="0"/>
        </w:tblBorders>
      </w:tblPr>
      <w:tblGrid>
        <w:gridCol w:w="2734"/>
        <w:gridCol w:w="2025"/>
        <w:gridCol w:w="579"/>
        <w:gridCol w:w="2025"/>
        <w:gridCol w:w="1663"/>
      </w:tblGrid>
      <w:tr>
        <w:trPr>
          <w:cantSplit/>
          <w:tblHeader/>
        </w:trPr>
        <w:tc>
          <w:tcPr>
            <w:tcW w:type="dxa" w:w="2734"/>
            <w:tcBorders>
              <w:top w:val="single" w:color="64748B" w:sz="8"/>
              <w:bottom w:val="single" w:color="94A3B8" w:sz="4"/>
            </w:tcBorders>
            <w:shd w:fill="EEF2F7" w:color="auto" w:val="clear"/>
            <w:tcMar>
              <w:top w:type="dxa" w:w="40"/>
              <w:left w:type="dxa" w:w="80"/>
              <w:bottom w:type="dxa" w:w="40"/>
              <w:right w:type="dxa" w:w="80"/>
            </w:tcMar>
          </w:tcPr>
          <w:p>
            <w:pPr>
              <w:jc w:val="left"/>
            </w:pPr>
            <w:r>
              <w:rPr>
                <w:rFonts w:ascii="Calibri" w:cs="Calibri" w:eastAsia="Calibri" w:hAnsi="Calibri"/>
                <w:b/>
                <w:bCs/>
                <w:color w:val="1E3A5F"/>
                <w:sz w:val="17"/>
                <w:szCs w:val="17"/>
              </w:rPr>
              <w:t xml:space="preserve">Categoría</w:t>
            </w:r>
          </w:p>
        </w:tc>
        <w:tc>
          <w:tcPr>
            <w:tcW w:type="dxa" w:w="2025"/>
            <w:tcBorders>
              <w:top w:val="single" w:color="64748B" w:sz="8"/>
              <w:bottom w:val="single" w:color="94A3B8" w:sz="4"/>
            </w:tcBorders>
            <w:shd w:fill="EEF2F7" w:color="auto" w:val="clear"/>
            <w:tcMar>
              <w:top w:type="dxa" w:w="40"/>
              <w:left w:type="dxa" w:w="80"/>
              <w:bottom w:type="dxa" w:w="40"/>
              <w:right w:type="dxa" w:w="80"/>
            </w:tcMar>
          </w:tcPr>
          <w:p>
            <w:pPr>
              <w:jc w:val="left"/>
            </w:pPr>
            <w:r>
              <w:rPr>
                <w:rFonts w:ascii="Calibri" w:cs="Calibri" w:eastAsia="Calibri" w:hAnsi="Calibri"/>
                <w:b/>
                <w:bCs/>
                <w:color w:val="1E3A5F"/>
                <w:sz w:val="17"/>
                <w:szCs w:val="17"/>
              </w:rPr>
              <w:t xml:space="preserve">Etapa</w:t>
            </w:r>
          </w:p>
        </w:tc>
        <w:tc>
          <w:tcPr>
            <w:tcW w:type="dxa" w:w="579"/>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7"/>
                <w:szCs w:val="17"/>
              </w:rPr>
              <w:t xml:space="preserve">Cantidad</w:t>
            </w:r>
          </w:p>
        </w:tc>
        <w:tc>
          <w:tcPr>
            <w:tcW w:type="dxa" w:w="2025"/>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7"/>
                <w:szCs w:val="17"/>
              </w:rPr>
              <w:t xml:space="preserve">Salario promedio anual (CUP)</w:t>
            </w:r>
          </w:p>
        </w:tc>
        <w:tc>
          <w:tcPr>
            <w:tcW w:type="dxa" w:w="1663"/>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7"/>
                <w:szCs w:val="17"/>
              </w:rPr>
              <w:t xml:space="preserve">Equivalente anual (USD)</w:t>
            </w:r>
          </w:p>
        </w:tc>
      </w:tr>
      <w:tr>
        <w:trPr>
          <w:cantSplit/>
        </w:trPr>
        <w:tc>
          <w:tcPr>
            <w:tcW w:type="dxa" w:w="2734"/>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Cubanos — directivos</w:t>
            </w:r>
          </w:p>
        </w:tc>
        <w:tc>
          <w:tcPr>
            <w:tcW w:type="dxa" w:w="2025"/>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Operación</w:t>
            </w:r>
          </w:p>
        </w:tc>
        <w:tc>
          <w:tcPr>
            <w:tcW w:type="dxa" w:w="579"/>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3</w:t>
            </w:r>
          </w:p>
        </w:tc>
        <w:tc>
          <w:tcPr>
            <w:tcW w:type="dxa" w:w="2025"/>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312.000 CUP</w:t>
            </w:r>
          </w:p>
        </w:tc>
        <w:tc>
          <w:tcPr>
            <w:tcW w:type="dxa" w:w="1663"/>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419,92 USD</w:t>
            </w:r>
          </w:p>
        </w:tc>
      </w:tr>
      <w:tr>
        <w:trPr>
          <w:cantSplit/>
        </w:trPr>
        <w:tc>
          <w:tcPr>
            <w:tcW w:type="dxa" w:w="2734"/>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Cubanos — otros trabajadores</w:t>
            </w:r>
          </w:p>
        </w:tc>
        <w:tc>
          <w:tcPr>
            <w:tcW w:type="dxa" w:w="2025"/>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Montaje (año 0, transitorio)</w:t>
            </w:r>
          </w:p>
        </w:tc>
        <w:tc>
          <w:tcPr>
            <w:tcW w:type="dxa" w:w="579"/>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6</w:t>
            </w:r>
          </w:p>
        </w:tc>
        <w:tc>
          <w:tcPr>
            <w:tcW w:type="dxa" w:w="2025"/>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96.000 CUP</w:t>
            </w:r>
          </w:p>
        </w:tc>
        <w:tc>
          <w:tcPr>
            <w:tcW w:type="dxa" w:w="1663"/>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129,21 USD</w:t>
            </w:r>
          </w:p>
        </w:tc>
      </w:tr>
      <w:tr>
        <w:trPr>
          <w:cantSplit/>
        </w:trPr>
        <w:tc>
          <w:tcPr>
            <w:tcW w:type="dxa" w:w="2734"/>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Cubanos — otros trabajadores</w:t>
            </w:r>
          </w:p>
        </w:tc>
        <w:tc>
          <w:tcPr>
            <w:tcW w:type="dxa" w:w="2025"/>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Operación</w:t>
            </w:r>
          </w:p>
        </w:tc>
        <w:tc>
          <w:tcPr>
            <w:tcW w:type="dxa" w:w="579"/>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23</w:t>
            </w:r>
          </w:p>
        </w:tc>
        <w:tc>
          <w:tcPr>
            <w:tcW w:type="dxa" w:w="2025"/>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207.652 CUP</w:t>
            </w:r>
          </w:p>
        </w:tc>
        <w:tc>
          <w:tcPr>
            <w:tcW w:type="dxa" w:w="1663"/>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279,48 USD</w:t>
            </w:r>
          </w:p>
        </w:tc>
      </w:tr>
      <w:tr>
        <w:trPr>
          <w:cantSplit/>
        </w:trPr>
        <w:tc>
          <w:tcPr>
            <w:tcW w:type="dxa" w:w="2734"/>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Extranjeros — directivos</w:t>
            </w:r>
          </w:p>
        </w:tc>
        <w:tc>
          <w:tcPr>
            <w:tcW w:type="dxa" w:w="2025"/>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Operación</w:t>
            </w:r>
          </w:p>
        </w:tc>
        <w:tc>
          <w:tcPr>
            <w:tcW w:type="dxa" w:w="579"/>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1</w:t>
            </w:r>
          </w:p>
        </w:tc>
        <w:tc>
          <w:tcPr>
            <w:tcW w:type="dxa" w:w="2025"/>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9.600.000 CUP</w:t>
            </w:r>
          </w:p>
        </w:tc>
        <w:tc>
          <w:tcPr>
            <w:tcW w:type="dxa" w:w="1663"/>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12.920,59 USD</w:t>
            </w:r>
          </w:p>
        </w:tc>
      </w:tr>
      <w:tr>
        <w:trPr>
          <w:cantSplit/>
        </w:trPr>
        <w:tc>
          <w:tcPr>
            <w:tcW w:type="dxa" w:w="2734"/>
            <w:tcBorders>
              <w:top w:val="single" w:color="94A3B8" w:sz="4"/>
              <w:bottom w:val="single" w:color="64748B" w:sz="8"/>
            </w:tcBorders>
            <w:tcMar>
              <w:top w:type="dxa" w:w="40"/>
              <w:left w:type="dxa" w:w="80"/>
              <w:bottom w:type="dxa" w:w="40"/>
              <w:right w:type="dxa" w:w="80"/>
            </w:tcMar>
          </w:tcPr>
          <w:p>
            <w:pPr>
              <w:jc w:val="left"/>
            </w:pPr>
            <w:r>
              <w:rPr>
                <w:rFonts w:ascii="Calibri" w:cs="Calibri" w:eastAsia="Calibri" w:hAnsi="Calibri"/>
                <w:b/>
                <w:bCs/>
                <w:color w:val="334155"/>
                <w:sz w:val="17"/>
                <w:szCs w:val="17"/>
              </w:rPr>
              <w:t xml:space="preserve">TOTAL (operación)</w:t>
            </w:r>
          </w:p>
        </w:tc>
        <w:tc>
          <w:tcPr>
            <w:tcW w:type="dxa" w:w="2025"/>
            <w:tcBorders>
              <w:top w:val="single" w:color="94A3B8" w:sz="4"/>
              <w:bottom w:val="single" w:color="64748B" w:sz="8"/>
            </w:tcBorders>
            <w:tcMar>
              <w:top w:type="dxa" w:w="40"/>
              <w:left w:type="dxa" w:w="80"/>
              <w:bottom w:type="dxa" w:w="40"/>
              <w:right w:type="dxa" w:w="80"/>
            </w:tcMar>
          </w:tcPr>
          <w:p>
            <w:pPr>
              <w:jc w:val="left"/>
            </w:pPr>
            <w:r>
              <w:rPr>
                <w:rFonts w:ascii="Calibri" w:cs="Calibri" w:eastAsia="Calibri" w:hAnsi="Calibri"/>
                <w:b/>
                <w:bCs/>
                <w:color w:val="334155"/>
                <w:sz w:val="17"/>
                <w:szCs w:val="17"/>
              </w:rPr>
              <w:t xml:space="preserve"/>
            </w:r>
          </w:p>
        </w:tc>
        <w:tc>
          <w:tcPr>
            <w:tcW w:type="dxa" w:w="579"/>
            <w:tcBorders>
              <w:top w:val="single" w:color="94A3B8" w:sz="4"/>
              <w:bottom w:val="single" w:color="64748B" w:sz="8"/>
            </w:tcBorders>
            <w:tcMar>
              <w:top w:type="dxa" w:w="40"/>
              <w:left w:type="dxa" w:w="80"/>
              <w:bottom w:type="dxa" w:w="40"/>
              <w:right w:type="dxa" w:w="80"/>
            </w:tcMar>
          </w:tcPr>
          <w:p>
            <w:pPr>
              <w:jc w:val="right"/>
            </w:pPr>
            <w:r>
              <w:rPr>
                <w:rFonts w:ascii="Calibri" w:cs="Calibri" w:eastAsia="Calibri" w:hAnsi="Calibri"/>
                <w:b/>
                <w:bCs/>
                <w:color w:val="334155"/>
                <w:sz w:val="17"/>
                <w:szCs w:val="17"/>
              </w:rPr>
              <w:t xml:space="preserve">27</w:t>
            </w:r>
          </w:p>
        </w:tc>
        <w:tc>
          <w:tcPr>
            <w:tcW w:type="dxa" w:w="2025"/>
            <w:tcBorders>
              <w:top w:val="single" w:color="94A3B8" w:sz="4"/>
              <w:bottom w:val="single" w:color="64748B" w:sz="8"/>
            </w:tcBorders>
            <w:tcMar>
              <w:top w:type="dxa" w:w="40"/>
              <w:left w:type="dxa" w:w="80"/>
              <w:bottom w:type="dxa" w:w="40"/>
              <w:right w:type="dxa" w:w="80"/>
            </w:tcMar>
          </w:tcPr>
          <w:p>
            <w:pPr>
              <w:jc w:val="right"/>
            </w:pPr>
            <w:r>
              <w:rPr>
                <w:rFonts w:ascii="Calibri" w:cs="Calibri" w:eastAsia="Calibri" w:hAnsi="Calibri"/>
                <w:b/>
                <w:bCs/>
                <w:color w:val="334155"/>
                <w:sz w:val="17"/>
                <w:szCs w:val="17"/>
              </w:rPr>
              <w:t xml:space="preserve">567.111 CUP</w:t>
            </w:r>
          </w:p>
        </w:tc>
        <w:tc>
          <w:tcPr>
            <w:tcW w:type="dxa" w:w="1663"/>
            <w:tcBorders>
              <w:top w:val="single" w:color="94A3B8" w:sz="4"/>
              <w:bottom w:val="single" w:color="64748B" w:sz="8"/>
            </w:tcBorders>
            <w:tcMar>
              <w:top w:type="dxa" w:w="40"/>
              <w:left w:type="dxa" w:w="80"/>
              <w:bottom w:type="dxa" w:w="40"/>
              <w:right w:type="dxa" w:w="80"/>
            </w:tcMar>
          </w:tcPr>
          <w:p>
            <w:pPr>
              <w:jc w:val="right"/>
            </w:pPr>
            <w:r>
              <w:rPr>
                <w:rFonts w:ascii="Calibri" w:cs="Calibri" w:eastAsia="Calibri" w:hAnsi="Calibri"/>
                <w:b/>
                <w:bCs/>
                <w:color w:val="334155"/>
                <w:sz w:val="17"/>
                <w:szCs w:val="17"/>
              </w:rPr>
              <w:t xml:space="preserve">763,27 USD</w:t>
            </w:r>
          </w:p>
        </w:tc>
      </w:tr>
    </w:tbl>
    <w:p>
      <w:pPr>
        <w:pStyle w:val="NotaTexto"/>
        <w:spacing w:after="160" w:before="40"/>
      </w:pPr>
      <w:r>
        <w:rPr>
          <w:rFonts w:ascii="Calibri" w:cs="Calibri" w:eastAsia="Calibri" w:hAnsi="Calibri"/>
          <w:i/>
          <w:iCs/>
          <w:color w:val="64748B"/>
          <w:sz w:val="15"/>
          <w:szCs w:val="15"/>
        </w:rPr>
        <w:t xml:space="preserve">Nota. Los salarios se expresan en CUP (metodología 4.9); en presentación USD se documenta el equivalente sin convertir los importes de origen.</w:t>
      </w:r>
    </w:p>
    <w:p>
      <w:pPr>
        <w:pStyle w:val="AnalisisPlanex"/>
        <w:pBdr>
          <w:left w:val="single" w:color="B45309" w:sz="18" w:space="4"/>
        </w:pBdr>
        <w:shd w:fill="FFF7E6" w:color="auto" w:val="clear"/>
        <w:spacing w:after="20" w:before="160"/>
      </w:pPr>
      <w:r>
        <w:rPr>
          <w:rFonts w:ascii="Calibri" w:cs="Calibri" w:eastAsia="Calibri" w:hAnsi="Calibri"/>
          <w:b/>
          <w:bCs/>
          <w:color w:val="B45309"/>
          <w:sz w:val="18"/>
          <w:szCs w:val="18"/>
        </w:rPr>
        <w:t xml:space="preserve">Análisis de la fuerza de trabajo</w:t>
      </w:r>
      <w:r>
        <w:rPr>
          <w:rFonts w:ascii="Calibri" w:cs="Calibri" w:eastAsia="Calibri" w:hAnsi="Calibri"/>
          <w:color w:val="8C6428"/>
          <w:sz w:val="14"/>
          <w:szCs w:val="14"/>
        </w:rPr>
        <w:t xml:space="preserve">  ·  ANÁLISIS GENERADO POR EL MODELO</w:t>
      </w:r>
    </w:p>
    <w:p>
      <w:pPr>
        <w:pStyle w:val="AnalisisCuerpo"/>
        <w:pBdr>
          <w:left w:val="single" w:color="B45309" w:sz="18" w:space="4"/>
          <w:bottom w:val="single" w:color="FFF7E6" w:sz="2" w:space="1"/>
        </w:pBdr>
        <w:shd w:fill="FFF7E6" w:color="auto" w:val="clear"/>
        <w:spacing w:after="160" w:before="0"/>
        <w:jc w:val="both"/>
      </w:pPr>
      <w:r>
        <w:rPr>
          <w:rFonts w:ascii="Calibri" w:cs="Calibri" w:eastAsia="Calibri" w:hAnsi="Calibri"/>
          <w:color w:val="334155"/>
          <w:sz w:val="18"/>
          <w:szCs w:val="18"/>
        </w:rPr>
        <w:t xml:space="preserve">La plantilla de operación prevista es de 27 trabajadores (26 cubanos y 1 extranjero(s)), más 6 trabajador(es) temporal(es) de montaje del año 0. El personal de montaje es transitorio para la ejecución del proyecto y no debe confundirse con la plantilla estable de operación. Distribución por categorías de operación: 3 en cubano — directivo, 23 en cubano — otro, 1 en extranjero — directivo. El salario promedio anual ponderado de la plantilla de operación es 567.111,1 CUP. El costo laboral del año 1 asciende a 20,6 miles de USD (salarios en CUP convertidos con el tipo de cambio parametrizado, multiplicados por el factor de costo laboral de 1,0), equivalente al 2,1 % de los ingresos del año 1. El costo laboral del año 0 (montaje) es 0,8 kUSD y se registra como gasto del período: no forma parte de los gastos previos de la inversión, por lo que no está duplicado. Los pagos por la fuerza de trabajo son uno de los beneficios directos al país: el costo laboral acumulado de la explotación es 259,2 miles de USD. La remuneración de cada categoría y su etapa de contratación figuran en la tabla 4.9; su validación frente a la legislación laboral vigente queda fuera del modelo.</w:t>
      </w:r>
    </w:p>
    <w:p>
      <w:pPr>
        <w:pStyle w:val="Heading1"/>
        <w:pageBreakBefore/>
      </w:pPr>
      <w:bookmarkStart w:name="_Toc24" w:id="24"/>
      <w:r>
        <w:rPr>
          <w:rFonts w:ascii="Calibri" w:cs="Calibri" w:eastAsia="Calibri" w:hAnsi="Calibri"/>
          <w:b/>
          <w:bCs/>
          <w:color w:val="1E3A5F"/>
          <w:sz w:val="30"/>
          <w:szCs w:val="30"/>
        </w:rPr>
        <w:t xml:space="preserve">4.10  Inversiones</w:t>
      </w:r>
      <w:bookmarkEnd w:id="24"/>
    </w:p>
    <w:p>
      <w:pPr>
        <w:pStyle w:val="NotaTabla"/>
        <w:keepNext/>
        <w:keepLines/>
        <w:spacing w:after="80" w:before="200"/>
      </w:pPr>
      <w:r>
        <w:rPr>
          <w:rFonts w:ascii="Calibri" w:cs="Calibri" w:eastAsia="Calibri" w:hAnsi="Calibri"/>
          <w:b/>
          <w:bCs/>
          <w:color w:val="1E3A5F"/>
          <w:sz w:val="18"/>
          <w:szCs w:val="18"/>
        </w:rPr>
        <w:t xml:space="preserve">Tabla 20. Inversiones por concepto (miles, en la moneda de origen indicada y en la moneda de presentación; activos con disponibilidad y residual)</w:t>
      </w:r>
    </w:p>
    <w:tbl>
      <w:tblPr>
        <w:tblW w:type="dxa" w:w="9026"/>
        <w:tblBorders>
          <w:top w:val="none" w:color="auto" w:sz="0"/>
          <w:left w:val="none" w:color="auto" w:sz="0"/>
          <w:bottom w:val="none" w:color="auto" w:sz="0"/>
          <w:right w:val="none" w:color="auto" w:sz="0"/>
          <w:insideH w:val="none" w:color="auto" w:sz="0"/>
          <w:insideV w:val="none" w:color="auto" w:sz="0"/>
        </w:tblBorders>
      </w:tblPr>
      <w:tblGrid>
        <w:gridCol w:w="2530"/>
        <w:gridCol w:w="874"/>
        <w:gridCol w:w="375"/>
        <w:gridCol w:w="375"/>
        <w:gridCol w:w="812"/>
        <w:gridCol w:w="999"/>
        <w:gridCol w:w="687"/>
        <w:gridCol w:w="500"/>
        <w:gridCol w:w="1874"/>
      </w:tblGrid>
      <w:tr>
        <w:trPr>
          <w:cantSplit/>
          <w:tblHeader/>
        </w:trPr>
        <w:tc>
          <w:tcPr>
            <w:tcW w:type="dxa" w:w="2530"/>
            <w:tcBorders>
              <w:top w:val="single" w:color="64748B" w:sz="8"/>
              <w:bottom w:val="single" w:color="94A3B8" w:sz="4"/>
            </w:tcBorders>
            <w:shd w:fill="EEF2F7" w:color="auto" w:val="clear"/>
            <w:tcMar>
              <w:top w:type="dxa" w:w="40"/>
              <w:left w:type="dxa" w:w="80"/>
              <w:bottom w:type="dxa" w:w="40"/>
              <w:right w:type="dxa" w:w="80"/>
            </w:tcMar>
          </w:tcPr>
          <w:p>
            <w:pPr>
              <w:jc w:val="left"/>
            </w:pPr>
            <w:r>
              <w:rPr>
                <w:rFonts w:ascii="Calibri" w:cs="Calibri" w:eastAsia="Calibri" w:hAnsi="Calibri"/>
                <w:b/>
                <w:bCs/>
                <w:color w:val="1E3A5F"/>
                <w:sz w:val="17"/>
                <w:szCs w:val="17"/>
              </w:rPr>
              <w:t xml:space="preserve">Concepto</w:t>
            </w:r>
          </w:p>
        </w:tc>
        <w:tc>
          <w:tcPr>
            <w:tcW w:type="dxa" w:w="874"/>
            <w:tcBorders>
              <w:top w:val="single" w:color="64748B" w:sz="8"/>
              <w:bottom w:val="single" w:color="94A3B8" w:sz="4"/>
            </w:tcBorders>
            <w:shd w:fill="EEF2F7" w:color="auto" w:val="clear"/>
            <w:tcMar>
              <w:top w:type="dxa" w:w="40"/>
              <w:left w:type="dxa" w:w="80"/>
              <w:bottom w:type="dxa" w:w="40"/>
              <w:right w:type="dxa" w:w="80"/>
            </w:tcMar>
          </w:tcPr>
          <w:p>
            <w:pPr>
              <w:jc w:val="left"/>
            </w:pPr>
            <w:r>
              <w:rPr>
                <w:rFonts w:ascii="Calibri" w:cs="Calibri" w:eastAsia="Calibri" w:hAnsi="Calibri"/>
                <w:b/>
                <w:bCs/>
                <w:color w:val="1E3A5F"/>
                <w:sz w:val="17"/>
                <w:szCs w:val="17"/>
              </w:rPr>
              <w:t xml:space="preserve">Categoría</w:t>
            </w:r>
          </w:p>
        </w:tc>
        <w:tc>
          <w:tcPr>
            <w:tcW w:type="dxa" w:w="375"/>
            <w:tcBorders>
              <w:top w:val="single" w:color="64748B" w:sz="8"/>
              <w:bottom w:val="single" w:color="94A3B8" w:sz="4"/>
            </w:tcBorders>
            <w:shd w:fill="EEF2F7" w:color="auto" w:val="clear"/>
            <w:tcMar>
              <w:top w:type="dxa" w:w="40"/>
              <w:left w:type="dxa" w:w="80"/>
              <w:bottom w:type="dxa" w:w="40"/>
              <w:right w:type="dxa" w:w="80"/>
            </w:tcMar>
          </w:tcPr>
          <w:p>
            <w:pPr>
              <w:jc w:val="left"/>
            </w:pPr>
            <w:r>
              <w:rPr>
                <w:rFonts w:ascii="Calibri" w:cs="Calibri" w:eastAsia="Calibri" w:hAnsi="Calibri"/>
                <w:b/>
                <w:bCs/>
                <w:color w:val="1E3A5F"/>
                <w:sz w:val="17"/>
                <w:szCs w:val="17"/>
              </w:rPr>
              <w:t xml:space="preserve">Moneda</w:t>
            </w:r>
          </w:p>
        </w:tc>
        <w:tc>
          <w:tcPr>
            <w:tcW w:type="dxa" w:w="375"/>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7"/>
                <w:szCs w:val="17"/>
              </w:rPr>
              <w:t xml:space="preserve">Monto</w:t>
            </w:r>
          </w:p>
        </w:tc>
        <w:tc>
          <w:tcPr>
            <w:tcW w:type="dxa" w:w="812"/>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7"/>
                <w:szCs w:val="17"/>
              </w:rPr>
              <w:t xml:space="preserve">En USD (kUSD)</w:t>
            </w:r>
          </w:p>
        </w:tc>
        <w:tc>
          <w:tcPr>
            <w:tcW w:type="dxa" w:w="999"/>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7"/>
                <w:szCs w:val="17"/>
              </w:rPr>
              <w:t xml:space="preserve">Vida útil (años)</w:t>
            </w:r>
          </w:p>
        </w:tc>
        <w:tc>
          <w:tcPr>
            <w:tcW w:type="dxa" w:w="687"/>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7"/>
                <w:szCs w:val="17"/>
              </w:rPr>
              <w:t xml:space="preserve">Disp. desde</w:t>
            </w:r>
          </w:p>
        </w:tc>
        <w:tc>
          <w:tcPr>
            <w:tcW w:type="dxa" w:w="500"/>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7"/>
                <w:szCs w:val="17"/>
              </w:rPr>
              <w:t xml:space="preserve">Residual</w:t>
            </w:r>
          </w:p>
        </w:tc>
        <w:tc>
          <w:tcPr>
            <w:tcW w:type="dxa" w:w="1874"/>
            <w:tcBorders>
              <w:top w:val="single" w:color="64748B" w:sz="8"/>
              <w:bottom w:val="single" w:color="94A3B8" w:sz="4"/>
            </w:tcBorders>
            <w:shd w:fill="EEF2F7" w:color="auto" w:val="clear"/>
            <w:tcMar>
              <w:top w:type="dxa" w:w="40"/>
              <w:left w:type="dxa" w:w="80"/>
              <w:bottom w:type="dxa" w:w="40"/>
              <w:right w:type="dxa" w:w="80"/>
            </w:tcMar>
          </w:tcPr>
          <w:p>
            <w:pPr>
              <w:jc w:val="left"/>
            </w:pPr>
            <w:r>
              <w:rPr>
                <w:rFonts w:ascii="Calibri" w:cs="Calibri" w:eastAsia="Calibri" w:hAnsi="Calibri"/>
                <w:b/>
                <w:bCs/>
                <w:color w:val="1E3A5F"/>
                <w:sz w:val="17"/>
                <w:szCs w:val="17"/>
              </w:rPr>
              <w:t xml:space="preserve">Observación</w:t>
            </w:r>
          </w:p>
        </w:tc>
      </w:tr>
      <w:tr>
        <w:trPr>
          <w:cantSplit/>
        </w:trPr>
        <w:tc>
          <w:tcPr>
            <w:tcW w:type="dxa" w:w="2530"/>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Estudios de factibilidad y gastos de constitución</w:t>
            </w:r>
          </w:p>
        </w:tc>
        <w:tc>
          <w:tcPr>
            <w:tcW w:type="dxa" w:w="874"/>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Gastos previos</w:t>
            </w:r>
          </w:p>
        </w:tc>
        <w:tc>
          <w:tcPr>
            <w:tcW w:type="dxa" w:w="375"/>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USD</w:t>
            </w:r>
          </w:p>
        </w:tc>
        <w:tc>
          <w:tcPr>
            <w:tcW w:type="dxa" w:w="375"/>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25,0</w:t>
            </w:r>
          </w:p>
        </w:tc>
        <w:tc>
          <w:tcPr>
            <w:tcW w:type="dxa" w:w="812"/>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25,0</w:t>
            </w:r>
          </w:p>
        </w:tc>
        <w:tc>
          <w:tcPr>
            <w:tcW w:type="dxa" w:w="999"/>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w:t>
            </w:r>
          </w:p>
        </w:tc>
        <w:tc>
          <w:tcPr>
            <w:tcW w:type="dxa" w:w="687"/>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w:t>
            </w:r>
          </w:p>
        </w:tc>
        <w:tc>
          <w:tcPr>
            <w:tcW w:type="dxa" w:w="500"/>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w:t>
            </w:r>
          </w:p>
        </w:tc>
        <w:tc>
          <w:tcPr>
            <w:tcW w:type="dxa" w:w="1874"/>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Ficticio. No incluye el personal de montaje (que se paga como gasto del año 0).</w:t>
            </w:r>
          </w:p>
        </w:tc>
      </w:tr>
      <w:tr>
        <w:trPr>
          <w:cantSplit/>
        </w:trPr>
        <w:tc>
          <w:tcPr>
            <w:tcW w:type="dxa" w:w="2530"/>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Licencias, registros y autorizaciones sanitarias</w:t>
            </w:r>
          </w:p>
        </w:tc>
        <w:tc>
          <w:tcPr>
            <w:tcW w:type="dxa" w:w="874"/>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Gastos previos</w:t>
            </w:r>
          </w:p>
        </w:tc>
        <w:tc>
          <w:tcPr>
            <w:tcW w:type="dxa" w:w="375"/>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USD</w:t>
            </w:r>
          </w:p>
        </w:tc>
        <w:tc>
          <w:tcPr>
            <w:tcW w:type="dxa" w:w="375"/>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12,0</w:t>
            </w:r>
          </w:p>
        </w:tc>
        <w:tc>
          <w:tcPr>
            <w:tcW w:type="dxa" w:w="812"/>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12,0</w:t>
            </w:r>
          </w:p>
        </w:tc>
        <w:tc>
          <w:tcPr>
            <w:tcW w:type="dxa" w:w="999"/>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w:t>
            </w:r>
          </w:p>
        </w:tc>
        <w:tc>
          <w:tcPr>
            <w:tcW w:type="dxa" w:w="687"/>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w:t>
            </w:r>
          </w:p>
        </w:tc>
        <w:tc>
          <w:tcPr>
            <w:tcW w:type="dxa" w:w="500"/>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w:t>
            </w:r>
          </w:p>
        </w:tc>
        <w:tc>
          <w:tcPr>
            <w:tcW w:type="dxa" w:w="1874"/>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Ficticio</w:t>
            </w:r>
          </w:p>
        </w:tc>
      </w:tr>
      <w:tr>
        <w:trPr>
          <w:cantSplit/>
        </w:trPr>
        <w:tc>
          <w:tcPr>
            <w:tcW w:type="dxa" w:w="2530"/>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Gastos de puesta en marcha (trámites, capacitación formal, materiales de prueba)</w:t>
            </w:r>
          </w:p>
        </w:tc>
        <w:tc>
          <w:tcPr>
            <w:tcW w:type="dxa" w:w="874"/>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Gastos previos</w:t>
            </w:r>
          </w:p>
        </w:tc>
        <w:tc>
          <w:tcPr>
            <w:tcW w:type="dxa" w:w="375"/>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USD</w:t>
            </w:r>
          </w:p>
        </w:tc>
        <w:tc>
          <w:tcPr>
            <w:tcW w:type="dxa" w:w="375"/>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8,0</w:t>
            </w:r>
          </w:p>
        </w:tc>
        <w:tc>
          <w:tcPr>
            <w:tcW w:type="dxa" w:w="812"/>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8,0</w:t>
            </w:r>
          </w:p>
        </w:tc>
        <w:tc>
          <w:tcPr>
            <w:tcW w:type="dxa" w:w="999"/>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w:t>
            </w:r>
          </w:p>
        </w:tc>
        <w:tc>
          <w:tcPr>
            <w:tcW w:type="dxa" w:w="687"/>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w:t>
            </w:r>
          </w:p>
        </w:tc>
        <w:tc>
          <w:tcPr>
            <w:tcW w:type="dxa" w:w="500"/>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w:t>
            </w:r>
          </w:p>
        </w:tc>
        <w:tc>
          <w:tcPr>
            <w:tcW w:type="dxa" w:w="1874"/>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Ficticio. Sin doble contabilización: la nómina de montaje se registra como costo del año 0.</w:t>
            </w:r>
          </w:p>
        </w:tc>
      </w:tr>
      <w:tr>
        <w:trPr>
          <w:cantSplit/>
        </w:trPr>
        <w:tc>
          <w:tcPr>
            <w:tcW w:type="dxa" w:w="2530"/>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Equipamiento clínico (5 sillones e instrumental)</w:t>
            </w:r>
          </w:p>
        </w:tc>
        <w:tc>
          <w:tcPr>
            <w:tcW w:type="dxa" w:w="874"/>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Inversión fija</w:t>
            </w:r>
          </w:p>
        </w:tc>
        <w:tc>
          <w:tcPr>
            <w:tcW w:type="dxa" w:w="375"/>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USD</w:t>
            </w:r>
          </w:p>
        </w:tc>
        <w:tc>
          <w:tcPr>
            <w:tcW w:type="dxa" w:w="375"/>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520,0</w:t>
            </w:r>
          </w:p>
        </w:tc>
        <w:tc>
          <w:tcPr>
            <w:tcW w:type="dxa" w:w="812"/>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520,0</w:t>
            </w:r>
          </w:p>
        </w:tc>
        <w:tc>
          <w:tcPr>
            <w:tcW w:type="dxa" w:w="999"/>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10</w:t>
            </w:r>
          </w:p>
        </w:tc>
        <w:tc>
          <w:tcPr>
            <w:tcW w:type="dxa" w:w="687"/>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1</w:t>
            </w:r>
          </w:p>
        </w:tc>
        <w:tc>
          <w:tcPr>
            <w:tcW w:type="dxa" w:w="500"/>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0,0 %</w:t>
            </w:r>
          </w:p>
        </w:tc>
        <w:tc>
          <w:tcPr>
            <w:tcW w:type="dxa" w:w="1874"/>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Ficticio</w:t>
            </w:r>
          </w:p>
        </w:tc>
      </w:tr>
      <w:tr>
        <w:trPr>
          <w:cantSplit/>
        </w:trPr>
        <w:tc>
          <w:tcPr>
            <w:tcW w:type="dxa" w:w="2530"/>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Equipos de imagenología dental (2)</w:t>
            </w:r>
          </w:p>
        </w:tc>
        <w:tc>
          <w:tcPr>
            <w:tcW w:type="dxa" w:w="874"/>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Inversión fija</w:t>
            </w:r>
          </w:p>
        </w:tc>
        <w:tc>
          <w:tcPr>
            <w:tcW w:type="dxa" w:w="375"/>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USD</w:t>
            </w:r>
          </w:p>
        </w:tc>
        <w:tc>
          <w:tcPr>
            <w:tcW w:type="dxa" w:w="375"/>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180,0</w:t>
            </w:r>
          </w:p>
        </w:tc>
        <w:tc>
          <w:tcPr>
            <w:tcW w:type="dxa" w:w="812"/>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180,0</w:t>
            </w:r>
          </w:p>
        </w:tc>
        <w:tc>
          <w:tcPr>
            <w:tcW w:type="dxa" w:w="999"/>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10</w:t>
            </w:r>
          </w:p>
        </w:tc>
        <w:tc>
          <w:tcPr>
            <w:tcW w:type="dxa" w:w="687"/>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1</w:t>
            </w:r>
          </w:p>
        </w:tc>
        <w:tc>
          <w:tcPr>
            <w:tcW w:type="dxa" w:w="500"/>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0,0 %</w:t>
            </w:r>
          </w:p>
        </w:tc>
        <w:tc>
          <w:tcPr>
            <w:tcW w:type="dxa" w:w="1874"/>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Ficticio</w:t>
            </w:r>
          </w:p>
        </w:tc>
      </w:tr>
      <w:tr>
        <w:trPr>
          <w:cantSplit/>
        </w:trPr>
        <w:tc>
          <w:tcPr>
            <w:tcW w:type="dxa" w:w="2530"/>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Laboratorio de prótesis</w:t>
            </w:r>
          </w:p>
        </w:tc>
        <w:tc>
          <w:tcPr>
            <w:tcW w:type="dxa" w:w="874"/>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Inversión fija</w:t>
            </w:r>
          </w:p>
        </w:tc>
        <w:tc>
          <w:tcPr>
            <w:tcW w:type="dxa" w:w="375"/>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USD</w:t>
            </w:r>
          </w:p>
        </w:tc>
        <w:tc>
          <w:tcPr>
            <w:tcW w:type="dxa" w:w="375"/>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95,0</w:t>
            </w:r>
          </w:p>
        </w:tc>
        <w:tc>
          <w:tcPr>
            <w:tcW w:type="dxa" w:w="812"/>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95,0</w:t>
            </w:r>
          </w:p>
        </w:tc>
        <w:tc>
          <w:tcPr>
            <w:tcW w:type="dxa" w:w="999"/>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10</w:t>
            </w:r>
          </w:p>
        </w:tc>
        <w:tc>
          <w:tcPr>
            <w:tcW w:type="dxa" w:w="687"/>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1</w:t>
            </w:r>
          </w:p>
        </w:tc>
        <w:tc>
          <w:tcPr>
            <w:tcW w:type="dxa" w:w="500"/>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0,0 %</w:t>
            </w:r>
          </w:p>
        </w:tc>
        <w:tc>
          <w:tcPr>
            <w:tcW w:type="dxa" w:w="1874"/>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Ficticio</w:t>
            </w:r>
          </w:p>
        </w:tc>
      </w:tr>
      <w:tr>
        <w:trPr>
          <w:cantSplit/>
        </w:trPr>
        <w:tc>
          <w:tcPr>
            <w:tcW w:type="dxa" w:w="2530"/>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Equipamiento de esterilización y compresores</w:t>
            </w:r>
          </w:p>
        </w:tc>
        <w:tc>
          <w:tcPr>
            <w:tcW w:type="dxa" w:w="874"/>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Inversión fija</w:t>
            </w:r>
          </w:p>
        </w:tc>
        <w:tc>
          <w:tcPr>
            <w:tcW w:type="dxa" w:w="375"/>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USD</w:t>
            </w:r>
          </w:p>
        </w:tc>
        <w:tc>
          <w:tcPr>
            <w:tcW w:type="dxa" w:w="375"/>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85,0</w:t>
            </w:r>
          </w:p>
        </w:tc>
        <w:tc>
          <w:tcPr>
            <w:tcW w:type="dxa" w:w="812"/>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85,0</w:t>
            </w:r>
          </w:p>
        </w:tc>
        <w:tc>
          <w:tcPr>
            <w:tcW w:type="dxa" w:w="999"/>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10</w:t>
            </w:r>
          </w:p>
        </w:tc>
        <w:tc>
          <w:tcPr>
            <w:tcW w:type="dxa" w:w="687"/>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1</w:t>
            </w:r>
          </w:p>
        </w:tc>
        <w:tc>
          <w:tcPr>
            <w:tcW w:type="dxa" w:w="500"/>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0,0 %</w:t>
            </w:r>
          </w:p>
        </w:tc>
        <w:tc>
          <w:tcPr>
            <w:tcW w:type="dxa" w:w="1874"/>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Ficticio</w:t>
            </w:r>
          </w:p>
        </w:tc>
      </w:tr>
      <w:tr>
        <w:trPr>
          <w:cantSplit/>
        </w:trPr>
        <w:tc>
          <w:tcPr>
            <w:tcW w:type="dxa" w:w="2530"/>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Mobiliario clínico y de oficina</w:t>
            </w:r>
          </w:p>
        </w:tc>
        <w:tc>
          <w:tcPr>
            <w:tcW w:type="dxa" w:w="874"/>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Inversión fija</w:t>
            </w:r>
          </w:p>
        </w:tc>
        <w:tc>
          <w:tcPr>
            <w:tcW w:type="dxa" w:w="375"/>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USD</w:t>
            </w:r>
          </w:p>
        </w:tc>
        <w:tc>
          <w:tcPr>
            <w:tcW w:type="dxa" w:w="375"/>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60,0</w:t>
            </w:r>
          </w:p>
        </w:tc>
        <w:tc>
          <w:tcPr>
            <w:tcW w:type="dxa" w:w="812"/>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60,0</w:t>
            </w:r>
          </w:p>
        </w:tc>
        <w:tc>
          <w:tcPr>
            <w:tcW w:type="dxa" w:w="999"/>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8</w:t>
            </w:r>
          </w:p>
        </w:tc>
        <w:tc>
          <w:tcPr>
            <w:tcW w:type="dxa" w:w="687"/>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1</w:t>
            </w:r>
          </w:p>
        </w:tc>
        <w:tc>
          <w:tcPr>
            <w:tcW w:type="dxa" w:w="500"/>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0,0 %</w:t>
            </w:r>
          </w:p>
        </w:tc>
        <w:tc>
          <w:tcPr>
            <w:tcW w:type="dxa" w:w="1874"/>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Ficticio</w:t>
            </w:r>
          </w:p>
        </w:tc>
      </w:tr>
      <w:tr>
        <w:trPr>
          <w:cantSplit/>
        </w:trPr>
        <w:tc>
          <w:tcPr>
            <w:tcW w:type="dxa" w:w="2530"/>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Informática y software de gestión clínica</w:t>
            </w:r>
          </w:p>
        </w:tc>
        <w:tc>
          <w:tcPr>
            <w:tcW w:type="dxa" w:w="874"/>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Inversión fija</w:t>
            </w:r>
          </w:p>
        </w:tc>
        <w:tc>
          <w:tcPr>
            <w:tcW w:type="dxa" w:w="375"/>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USD</w:t>
            </w:r>
          </w:p>
        </w:tc>
        <w:tc>
          <w:tcPr>
            <w:tcW w:type="dxa" w:w="375"/>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35,0</w:t>
            </w:r>
          </w:p>
        </w:tc>
        <w:tc>
          <w:tcPr>
            <w:tcW w:type="dxa" w:w="812"/>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35,0</w:t>
            </w:r>
          </w:p>
        </w:tc>
        <w:tc>
          <w:tcPr>
            <w:tcW w:type="dxa" w:w="999"/>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5</w:t>
            </w:r>
          </w:p>
        </w:tc>
        <w:tc>
          <w:tcPr>
            <w:tcW w:type="dxa" w:w="687"/>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1</w:t>
            </w:r>
          </w:p>
        </w:tc>
        <w:tc>
          <w:tcPr>
            <w:tcW w:type="dxa" w:w="500"/>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0,0 %</w:t>
            </w:r>
          </w:p>
        </w:tc>
        <w:tc>
          <w:tcPr>
            <w:tcW w:type="dxa" w:w="1874"/>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Ficticio</w:t>
            </w:r>
          </w:p>
        </w:tc>
      </w:tr>
      <w:tr>
        <w:trPr>
          <w:cantSplit/>
        </w:trPr>
        <w:tc>
          <w:tcPr>
            <w:tcW w:type="dxa" w:w="2530"/>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Adecuación y montaje de instalaciones</w:t>
            </w:r>
          </w:p>
        </w:tc>
        <w:tc>
          <w:tcPr>
            <w:tcW w:type="dxa" w:w="874"/>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Inversión fija</w:t>
            </w:r>
          </w:p>
        </w:tc>
        <w:tc>
          <w:tcPr>
            <w:tcW w:type="dxa" w:w="375"/>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USD</w:t>
            </w:r>
          </w:p>
        </w:tc>
        <w:tc>
          <w:tcPr>
            <w:tcW w:type="dxa" w:w="375"/>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180,0</w:t>
            </w:r>
          </w:p>
        </w:tc>
        <w:tc>
          <w:tcPr>
            <w:tcW w:type="dxa" w:w="812"/>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180,0</w:t>
            </w:r>
          </w:p>
        </w:tc>
        <w:tc>
          <w:tcPr>
            <w:tcW w:type="dxa" w:w="999"/>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20</w:t>
            </w:r>
          </w:p>
        </w:tc>
        <w:tc>
          <w:tcPr>
            <w:tcW w:type="dxa" w:w="687"/>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1</w:t>
            </w:r>
          </w:p>
        </w:tc>
        <w:tc>
          <w:tcPr>
            <w:tcW w:type="dxa" w:w="500"/>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0,0 %</w:t>
            </w:r>
          </w:p>
        </w:tc>
        <w:tc>
          <w:tcPr>
            <w:tcW w:type="dxa" w:w="1874"/>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Ficticio (quedará valor neto en libros al cierre del horizonte; el diagnóstico lo señala).</w:t>
            </w:r>
          </w:p>
        </w:tc>
      </w:tr>
      <w:tr>
        <w:trPr>
          <w:cantSplit/>
        </w:trPr>
        <w:tc>
          <w:tcPr>
            <w:tcW w:type="dxa" w:w="2530"/>
            <w:tcBorders>
              <w:bottom w:val="single" w:color="64748B" w:sz="8"/>
            </w:tcBorders>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Vehículos (ver desglose)</w:t>
            </w:r>
          </w:p>
        </w:tc>
        <w:tc>
          <w:tcPr>
            <w:tcW w:type="dxa" w:w="874"/>
            <w:tcBorders>
              <w:bottom w:val="single" w:color="64748B" w:sz="8"/>
            </w:tcBorders>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Inversión fija</w:t>
            </w:r>
          </w:p>
        </w:tc>
        <w:tc>
          <w:tcPr>
            <w:tcW w:type="dxa" w:w="375"/>
            <w:tcBorders>
              <w:bottom w:val="single" w:color="64748B" w:sz="8"/>
            </w:tcBorders>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USD</w:t>
            </w:r>
          </w:p>
        </w:tc>
        <w:tc>
          <w:tcPr>
            <w:tcW w:type="dxa" w:w="375"/>
            <w:tcBorders>
              <w:bottom w:val="single" w:color="64748B" w:sz="8"/>
            </w:tcBorders>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45,0</w:t>
            </w:r>
          </w:p>
        </w:tc>
        <w:tc>
          <w:tcPr>
            <w:tcW w:type="dxa" w:w="812"/>
            <w:tcBorders>
              <w:bottom w:val="single" w:color="64748B" w:sz="8"/>
            </w:tcBorders>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45,0</w:t>
            </w:r>
          </w:p>
        </w:tc>
        <w:tc>
          <w:tcPr>
            <w:tcW w:type="dxa" w:w="999"/>
            <w:tcBorders>
              <w:bottom w:val="single" w:color="64748B" w:sz="8"/>
            </w:tcBorders>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8</w:t>
            </w:r>
          </w:p>
        </w:tc>
        <w:tc>
          <w:tcPr>
            <w:tcW w:type="dxa" w:w="687"/>
            <w:tcBorders>
              <w:bottom w:val="single" w:color="64748B" w:sz="8"/>
            </w:tcBorders>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1</w:t>
            </w:r>
          </w:p>
        </w:tc>
        <w:tc>
          <w:tcPr>
            <w:tcW w:type="dxa" w:w="500"/>
            <w:tcBorders>
              <w:bottom w:val="single" w:color="64748B" w:sz="8"/>
            </w:tcBorders>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0,0 %</w:t>
            </w:r>
          </w:p>
        </w:tc>
        <w:tc>
          <w:tcPr>
            <w:tcW w:type="dxa" w:w="1874"/>
            <w:tcBorders>
              <w:bottom w:val="single" w:color="64748B" w:sz="8"/>
            </w:tcBorders>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Ficticio</w:t>
            </w:r>
          </w:p>
        </w:tc>
      </w:tr>
    </w:tbl>
    <w:p>
      <w:pPr>
        <w:pStyle w:val="NotaTexto"/>
        <w:spacing w:after="60" w:before="60" w:line="276"/>
        <w:jc w:val="both"/>
      </w:pPr>
      <w:r>
        <w:rPr>
          <w:rFonts w:ascii="Calibri" w:cs="Calibri" w:eastAsia="Calibri" w:hAnsi="Calibri"/>
          <w:color w:val="334155"/>
          <w:sz w:val="16"/>
          <w:szCs w:val="16"/>
        </w:rPr>
        <w:t xml:space="preserve">No se suman monedas diferentes: los montos en CUP se convierten con el tipo de cambio parametrizado (con fecha y fuente) para los totales. Los activos fijos deprecian desde su año de disponibilidad y solo por su importe depreciable.</w:t>
      </w:r>
    </w:p>
    <w:p>
      <w:pPr>
        <w:pStyle w:val="NotaTabla"/>
        <w:keepNext/>
        <w:keepLines/>
        <w:spacing w:after="80" w:before="200"/>
      </w:pPr>
      <w:r>
        <w:rPr>
          <w:rFonts w:ascii="Calibri" w:cs="Calibri" w:eastAsia="Calibri" w:hAnsi="Calibri"/>
          <w:b/>
          <w:bCs/>
          <w:color w:val="1E3A5F"/>
          <w:sz w:val="18"/>
          <w:szCs w:val="18"/>
        </w:rPr>
        <w:t xml:space="preserve">Tabla 21. Desglose de vehículos</w:t>
      </w:r>
    </w:p>
    <w:tbl>
      <w:tblPr>
        <w:tblW w:type="dxa" w:w="9026"/>
        <w:tblBorders>
          <w:top w:val="none" w:color="auto" w:sz="0"/>
          <w:left w:val="none" w:color="auto" w:sz="0"/>
          <w:bottom w:val="none" w:color="auto" w:sz="0"/>
          <w:right w:val="none" w:color="auto" w:sz="0"/>
          <w:insideH w:val="none" w:color="auto" w:sz="0"/>
          <w:insideV w:val="none" w:color="auto" w:sz="0"/>
        </w:tblBorders>
      </w:tblPr>
      <w:tblGrid>
        <w:gridCol w:w="5337"/>
        <w:gridCol w:w="1054"/>
        <w:gridCol w:w="2635"/>
      </w:tblGrid>
      <w:tr>
        <w:trPr>
          <w:cantSplit/>
          <w:tblHeader/>
        </w:trPr>
        <w:tc>
          <w:tcPr>
            <w:tcW w:type="dxa" w:w="5337"/>
            <w:tcBorders>
              <w:top w:val="single" w:color="64748B" w:sz="8"/>
              <w:bottom w:val="single" w:color="94A3B8" w:sz="4"/>
            </w:tcBorders>
            <w:shd w:fill="EEF2F7" w:color="auto" w:val="clear"/>
            <w:tcMar>
              <w:top w:type="dxa" w:w="40"/>
              <w:left w:type="dxa" w:w="80"/>
              <w:bottom w:type="dxa" w:w="40"/>
              <w:right w:type="dxa" w:w="80"/>
            </w:tcMar>
          </w:tcPr>
          <w:p>
            <w:pPr>
              <w:jc w:val="left"/>
            </w:pPr>
            <w:r>
              <w:rPr>
                <w:rFonts w:ascii="Calibri" w:cs="Calibri" w:eastAsia="Calibri" w:hAnsi="Calibri"/>
                <w:b/>
                <w:bCs/>
                <w:color w:val="1E3A5F"/>
                <w:sz w:val="17"/>
                <w:szCs w:val="17"/>
              </w:rPr>
              <w:t xml:space="preserve">Tipo</w:t>
            </w:r>
          </w:p>
        </w:tc>
        <w:tc>
          <w:tcPr>
            <w:tcW w:type="dxa" w:w="1054"/>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7"/>
                <w:szCs w:val="17"/>
              </w:rPr>
              <w:t xml:space="preserve">Cantidad</w:t>
            </w:r>
          </w:p>
        </w:tc>
        <w:tc>
          <w:tcPr>
            <w:tcW w:type="dxa" w:w="2635"/>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7"/>
                <w:szCs w:val="17"/>
              </w:rPr>
              <w:t xml:space="preserve">Monto (miles de USD)</w:t>
            </w:r>
          </w:p>
        </w:tc>
      </w:tr>
      <w:tr>
        <w:trPr>
          <w:cantSplit/>
        </w:trPr>
        <w:tc>
          <w:tcPr>
            <w:tcW w:type="dxa" w:w="5337"/>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Automóvil ligero (dirección y gestión)</w:t>
            </w:r>
          </w:p>
        </w:tc>
        <w:tc>
          <w:tcPr>
            <w:tcW w:type="dxa" w:w="1054"/>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1</w:t>
            </w:r>
          </w:p>
        </w:tc>
        <w:tc>
          <w:tcPr>
            <w:tcW w:type="dxa" w:w="2635"/>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25,0</w:t>
            </w:r>
          </w:p>
        </w:tc>
      </w:tr>
      <w:tr>
        <w:trPr>
          <w:cantSplit/>
        </w:trPr>
        <w:tc>
          <w:tcPr>
            <w:tcW w:type="dxa" w:w="5337"/>
            <w:tcBorders>
              <w:bottom w:val="single" w:color="64748B" w:sz="8"/>
            </w:tcBorders>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Microbús (transporte de personal y pacientes)</w:t>
            </w:r>
          </w:p>
        </w:tc>
        <w:tc>
          <w:tcPr>
            <w:tcW w:type="dxa" w:w="1054"/>
            <w:tcBorders>
              <w:bottom w:val="single" w:color="64748B" w:sz="8"/>
            </w:tcBorders>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1</w:t>
            </w:r>
          </w:p>
        </w:tc>
        <w:tc>
          <w:tcPr>
            <w:tcW w:type="dxa" w:w="2635"/>
            <w:tcBorders>
              <w:bottom w:val="single" w:color="64748B" w:sz="8"/>
            </w:tcBorders>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20,0</w:t>
            </w:r>
          </w:p>
        </w:tc>
      </w:tr>
    </w:tbl>
    <w:p>
      <w:pPr>
        <w:pStyle w:val="NotaTabla"/>
        <w:keepNext/>
        <w:keepLines/>
        <w:spacing w:after="80" w:before="200"/>
      </w:pPr>
      <w:r>
        <w:rPr>
          <w:rFonts w:ascii="Calibri" w:cs="Calibri" w:eastAsia="Calibri" w:hAnsi="Calibri"/>
          <w:b/>
          <w:bCs/>
          <w:color w:val="1E3A5F"/>
          <w:sz w:val="18"/>
          <w:szCs w:val="18"/>
        </w:rPr>
        <w:t xml:space="preserve">Tabla 22. Cronograma inversionista</w:t>
      </w:r>
    </w:p>
    <w:tbl>
      <w:tblPr>
        <w:tblW w:type="dxa" w:w="9026"/>
        <w:tblBorders>
          <w:top w:val="none" w:color="auto" w:sz="0"/>
          <w:left w:val="none" w:color="auto" w:sz="0"/>
          <w:bottom w:val="none" w:color="auto" w:sz="0"/>
          <w:right w:val="none" w:color="auto" w:sz="0"/>
          <w:insideH w:val="none" w:color="auto" w:sz="0"/>
          <w:insideV w:val="none" w:color="auto" w:sz="0"/>
        </w:tblBorders>
      </w:tblPr>
      <w:tblGrid>
        <w:gridCol w:w="4226"/>
        <w:gridCol w:w="835"/>
        <w:gridCol w:w="835"/>
        <w:gridCol w:w="3130"/>
      </w:tblGrid>
      <w:tr>
        <w:trPr>
          <w:cantSplit/>
          <w:tblHeader/>
        </w:trPr>
        <w:tc>
          <w:tcPr>
            <w:tcW w:type="dxa" w:w="4226"/>
            <w:tcBorders>
              <w:top w:val="single" w:color="64748B" w:sz="8"/>
              <w:bottom w:val="single" w:color="94A3B8" w:sz="4"/>
            </w:tcBorders>
            <w:shd w:fill="EEF2F7" w:color="auto" w:val="clear"/>
            <w:tcMar>
              <w:top w:type="dxa" w:w="40"/>
              <w:left w:type="dxa" w:w="80"/>
              <w:bottom w:type="dxa" w:w="40"/>
              <w:right w:type="dxa" w:w="80"/>
            </w:tcMar>
          </w:tcPr>
          <w:p>
            <w:pPr>
              <w:jc w:val="left"/>
            </w:pPr>
            <w:r>
              <w:rPr>
                <w:rFonts w:ascii="Calibri" w:cs="Calibri" w:eastAsia="Calibri" w:hAnsi="Calibri"/>
                <w:b/>
                <w:bCs/>
                <w:color w:val="1E3A5F"/>
                <w:sz w:val="17"/>
                <w:szCs w:val="17"/>
              </w:rPr>
              <w:t xml:space="preserve">Etapa</w:t>
            </w:r>
          </w:p>
        </w:tc>
        <w:tc>
          <w:tcPr>
            <w:tcW w:type="dxa" w:w="835"/>
            <w:tcBorders>
              <w:top w:val="single" w:color="64748B" w:sz="8"/>
              <w:bottom w:val="single" w:color="94A3B8" w:sz="4"/>
            </w:tcBorders>
            <w:shd w:fill="EEF2F7" w:color="auto" w:val="clear"/>
            <w:tcMar>
              <w:top w:type="dxa" w:w="40"/>
              <w:left w:type="dxa" w:w="80"/>
              <w:bottom w:type="dxa" w:w="40"/>
              <w:right w:type="dxa" w:w="80"/>
            </w:tcMar>
          </w:tcPr>
          <w:p>
            <w:pPr>
              <w:jc w:val="left"/>
            </w:pPr>
            <w:r>
              <w:rPr>
                <w:rFonts w:ascii="Calibri" w:cs="Calibri" w:eastAsia="Calibri" w:hAnsi="Calibri"/>
                <w:b/>
                <w:bCs/>
                <w:color w:val="1E3A5F"/>
                <w:sz w:val="17"/>
                <w:szCs w:val="17"/>
              </w:rPr>
              <w:t xml:space="preserve">Inicio</w:t>
            </w:r>
          </w:p>
        </w:tc>
        <w:tc>
          <w:tcPr>
            <w:tcW w:type="dxa" w:w="835"/>
            <w:tcBorders>
              <w:top w:val="single" w:color="64748B" w:sz="8"/>
              <w:bottom w:val="single" w:color="94A3B8" w:sz="4"/>
            </w:tcBorders>
            <w:shd w:fill="EEF2F7" w:color="auto" w:val="clear"/>
            <w:tcMar>
              <w:top w:type="dxa" w:w="40"/>
              <w:left w:type="dxa" w:w="80"/>
              <w:bottom w:type="dxa" w:w="40"/>
              <w:right w:type="dxa" w:w="80"/>
            </w:tcMar>
          </w:tcPr>
          <w:p>
            <w:pPr>
              <w:jc w:val="left"/>
            </w:pPr>
            <w:r>
              <w:rPr>
                <w:rFonts w:ascii="Calibri" w:cs="Calibri" w:eastAsia="Calibri" w:hAnsi="Calibri"/>
                <w:b/>
                <w:bCs/>
                <w:color w:val="1E3A5F"/>
                <w:sz w:val="17"/>
                <w:szCs w:val="17"/>
              </w:rPr>
              <w:t xml:space="preserve">Fin</w:t>
            </w:r>
          </w:p>
        </w:tc>
        <w:tc>
          <w:tcPr>
            <w:tcW w:type="dxa" w:w="3130"/>
            <w:tcBorders>
              <w:top w:val="single" w:color="64748B" w:sz="8"/>
              <w:bottom w:val="single" w:color="94A3B8" w:sz="4"/>
            </w:tcBorders>
            <w:shd w:fill="EEF2F7" w:color="auto" w:val="clear"/>
            <w:tcMar>
              <w:top w:type="dxa" w:w="40"/>
              <w:left w:type="dxa" w:w="80"/>
              <w:bottom w:type="dxa" w:w="40"/>
              <w:right w:type="dxa" w:w="80"/>
            </w:tcMar>
          </w:tcPr>
          <w:p>
            <w:pPr>
              <w:jc w:val="left"/>
            </w:pPr>
            <w:r>
              <w:rPr>
                <w:rFonts w:ascii="Calibri" w:cs="Calibri" w:eastAsia="Calibri" w:hAnsi="Calibri"/>
                <w:b/>
                <w:bCs/>
                <w:color w:val="1E3A5F"/>
                <w:sz w:val="17"/>
                <w:szCs w:val="17"/>
              </w:rPr>
              <w:t xml:space="preserve">Observación</w:t>
            </w:r>
          </w:p>
        </w:tc>
      </w:tr>
      <w:tr>
        <w:trPr>
          <w:cantSplit/>
        </w:trPr>
        <w:tc>
          <w:tcPr>
            <w:tcW w:type="dxa" w:w="4226"/>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Preinversión y estudios</w:t>
            </w:r>
          </w:p>
        </w:tc>
        <w:tc>
          <w:tcPr>
            <w:tcW w:type="dxa" w:w="835"/>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jul 2026</w:t>
            </w:r>
          </w:p>
        </w:tc>
        <w:tc>
          <w:tcPr>
            <w:tcW w:type="dxa" w:w="835"/>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dic 2026</w:t>
            </w:r>
          </w:p>
        </w:tc>
        <w:tc>
          <w:tcPr>
            <w:tcW w:type="dxa" w:w="3130"/>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Ficticio</w:t>
            </w:r>
          </w:p>
        </w:tc>
      </w:tr>
      <w:tr>
        <w:trPr>
          <w:cantSplit/>
        </w:trPr>
        <w:tc>
          <w:tcPr>
            <w:tcW w:type="dxa" w:w="4226"/>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Licencias y autorizaciones</w:t>
            </w:r>
          </w:p>
        </w:tc>
        <w:tc>
          <w:tcPr>
            <w:tcW w:type="dxa" w:w="835"/>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oct 2026</w:t>
            </w:r>
          </w:p>
        </w:tc>
        <w:tc>
          <w:tcPr>
            <w:tcW w:type="dxa" w:w="835"/>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mar 2027</w:t>
            </w:r>
          </w:p>
        </w:tc>
        <w:tc>
          <w:tcPr>
            <w:tcW w:type="dxa" w:w="3130"/>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Ficticio. La operación no puede comenzar sin las licencias resueltas.</w:t>
            </w:r>
          </w:p>
        </w:tc>
      </w:tr>
      <w:tr>
        <w:trPr>
          <w:cantSplit/>
        </w:trPr>
        <w:tc>
          <w:tcPr>
            <w:tcW w:type="dxa" w:w="4226"/>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Ejecución (adecuación y montaje)</w:t>
            </w:r>
          </w:p>
        </w:tc>
        <w:tc>
          <w:tcPr>
            <w:tcW w:type="dxa" w:w="835"/>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ene 2027</w:t>
            </w:r>
          </w:p>
        </w:tc>
        <w:tc>
          <w:tcPr>
            <w:tcW w:type="dxa" w:w="835"/>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sep 2027</w:t>
            </w:r>
          </w:p>
        </w:tc>
        <w:tc>
          <w:tcPr>
            <w:tcW w:type="dxa" w:w="3130"/>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Ficticio</w:t>
            </w:r>
          </w:p>
        </w:tc>
      </w:tr>
      <w:tr>
        <w:trPr>
          <w:cantSplit/>
        </w:trPr>
        <w:tc>
          <w:tcPr>
            <w:tcW w:type="dxa" w:w="4226"/>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Instalación de equipos y pruebas</w:t>
            </w:r>
          </w:p>
        </w:tc>
        <w:tc>
          <w:tcPr>
            <w:tcW w:type="dxa" w:w="835"/>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ago 2027</w:t>
            </w:r>
          </w:p>
        </w:tc>
        <w:tc>
          <w:tcPr>
            <w:tcW w:type="dxa" w:w="835"/>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oct 2027</w:t>
            </w:r>
          </w:p>
        </w:tc>
        <w:tc>
          <w:tcPr>
            <w:tcW w:type="dxa" w:w="3130"/>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Ficticio</w:t>
            </w:r>
          </w:p>
        </w:tc>
      </w:tr>
      <w:tr>
        <w:trPr>
          <w:cantSplit/>
        </w:trPr>
        <w:tc>
          <w:tcPr>
            <w:tcW w:type="dxa" w:w="4226"/>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Puesta en marcha y apertura</w:t>
            </w:r>
          </w:p>
        </w:tc>
        <w:tc>
          <w:tcPr>
            <w:tcW w:type="dxa" w:w="835"/>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oct 2027</w:t>
            </w:r>
          </w:p>
        </w:tc>
        <w:tc>
          <w:tcPr>
            <w:tcW w:type="dxa" w:w="835"/>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nov 2027</w:t>
            </w:r>
          </w:p>
        </w:tc>
        <w:tc>
          <w:tcPr>
            <w:tcW w:type="dxa" w:w="3130"/>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Ficticio</w:t>
            </w:r>
          </w:p>
        </w:tc>
      </w:tr>
      <w:tr>
        <w:trPr>
          <w:cantSplit/>
        </w:trPr>
        <w:tc>
          <w:tcPr>
            <w:tcW w:type="dxa" w:w="4226"/>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Operación comercial</w:t>
            </w:r>
          </w:p>
        </w:tc>
        <w:tc>
          <w:tcPr>
            <w:tcW w:type="dxa" w:w="835"/>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nov 2027</w:t>
            </w:r>
          </w:p>
        </w:tc>
        <w:tc>
          <w:tcPr>
            <w:tcW w:type="dxa" w:w="835"/>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oct 2037</w:t>
            </w:r>
          </w:p>
        </w:tc>
        <w:tc>
          <w:tcPr>
            <w:tcW w:type="dxa" w:w="3130"/>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Horizonte de 10 años (ficticio)</w:t>
            </w:r>
          </w:p>
        </w:tc>
      </w:tr>
      <w:tr>
        <w:trPr>
          <w:cantSplit/>
        </w:trPr>
        <w:tc>
          <w:tcPr>
            <w:tcW w:type="dxa" w:w="4226"/>
            <w:tcBorders>
              <w:bottom w:val="single" w:color="64748B" w:sz="8"/>
            </w:tcBorders>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Ampliación de capacidad (+2 gabinetes, escenario B)</w:t>
            </w:r>
          </w:p>
        </w:tc>
        <w:tc>
          <w:tcPr>
            <w:tcW w:type="dxa" w:w="835"/>
            <w:tcBorders>
              <w:bottom w:val="single" w:color="64748B" w:sz="8"/>
            </w:tcBorders>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jun 2033</w:t>
            </w:r>
          </w:p>
        </w:tc>
        <w:tc>
          <w:tcPr>
            <w:tcW w:type="dxa" w:w="835"/>
            <w:tcBorders>
              <w:bottom w:val="single" w:color="64748B" w:sz="8"/>
            </w:tcBorders>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oct 2033</w:t>
            </w:r>
          </w:p>
        </w:tc>
        <w:tc>
          <w:tcPr>
            <w:tcW w:type="dxa" w:w="3130"/>
            <w:tcBorders>
              <w:bottom w:val="single" w:color="64748B" w:sz="8"/>
            </w:tcBorders>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Ficticio. Año 7 de la proyección, cuando la utilización de la base alcanza su máximo; su retraso desplaza la capacidad y los ingresos asociados.</w:t>
            </w:r>
          </w:p>
        </w:tc>
      </w:tr>
    </w:tbl>
    <w:p>
      <w:pPr>
        <w:pStyle w:val="AnalisisPlanex"/>
        <w:pBdr>
          <w:left w:val="single" w:color="B45309" w:sz="18" w:space="4"/>
        </w:pBdr>
        <w:shd w:fill="FFF7E6" w:color="auto" w:val="clear"/>
        <w:spacing w:after="20" w:before="160"/>
      </w:pPr>
      <w:r>
        <w:rPr>
          <w:rFonts w:ascii="Calibri" w:cs="Calibri" w:eastAsia="Calibri" w:hAnsi="Calibri"/>
          <w:b/>
          <w:bCs/>
          <w:color w:val="B45309"/>
          <w:sz w:val="18"/>
          <w:szCs w:val="18"/>
        </w:rPr>
        <w:t xml:space="preserve">Análisis de inversiones y cronograma</w:t>
      </w:r>
      <w:r>
        <w:rPr>
          <w:rFonts w:ascii="Calibri" w:cs="Calibri" w:eastAsia="Calibri" w:hAnsi="Calibri"/>
          <w:color w:val="8C6428"/>
          <w:sz w:val="14"/>
          <w:szCs w:val="14"/>
        </w:rPr>
        <w:t xml:space="preserve">  ·  ANÁLISIS GENERADO POR EL MODELO</w:t>
      </w:r>
    </w:p>
    <w:p>
      <w:pPr>
        <w:pStyle w:val="AnalisisCuerpo"/>
        <w:pBdr>
          <w:left w:val="single" w:color="B45309" w:sz="18" w:space="4"/>
          <w:bottom w:val="single" w:color="FFF7E6" w:sz="2" w:space="1"/>
        </w:pBdr>
        <w:shd w:fill="FFF7E6" w:color="auto" w:val="clear"/>
        <w:spacing w:after="160" w:before="0"/>
        <w:jc w:val="both"/>
      </w:pPr>
      <w:r>
        <w:rPr>
          <w:rFonts w:ascii="Calibri" w:cs="Calibri" w:eastAsia="Calibri" w:hAnsi="Calibri"/>
          <w:color w:val="334155"/>
          <w:sz w:val="18"/>
          <w:szCs w:val="18"/>
        </w:rPr>
        <w:t xml:space="preserve">La inversión se agrupa en Gastos previos (45,0), Inversión fija (1.200,0). El activo de mayor importe es «Equipamiento clínico (5 sillones e instrumental)» con 520,0 USD y vida útil de 10 años. La relación entre inversión y capacidad queda explícita en la tabla de recursos operativos: el escenario B incluye ampliaciones con CAPEX propio. El cronograma inversionista define 7 etapas, de «Preinversión y estudios» (2026-07) a «Ampliación de capacidad (+2 gabinetes, escenario B)» (2033-10). El modelo no valida licencias, obras ni pruebas: los requisitos previos sin resolver en el cronograma deben resolverse antes de declarar operativa la instalación. Las ampliaciones del escenario B añaden desembolsos en los años 7: 150,0 kUSD. Un retraso en esas inversiones desplazaría la capacidad disponible y con ella los ingresos; el modelo los vincula, así que cualquier cambio de fecha exige reevaluar la proyección.</w:t>
      </w:r>
    </w:p>
    <w:p>
      <w:pPr>
        <w:pStyle w:val="Heading1"/>
        <w:pageBreakBefore/>
      </w:pPr>
      <w:bookmarkStart w:name="_Toc25" w:id="25"/>
      <w:r>
        <w:rPr>
          <w:rFonts w:ascii="Calibri" w:cs="Calibri" w:eastAsia="Calibri" w:hAnsi="Calibri"/>
          <w:b/>
          <w:bCs/>
          <w:color w:val="1E3A5F"/>
          <w:sz w:val="30"/>
          <w:szCs w:val="30"/>
        </w:rPr>
        <w:t xml:space="preserve">4.11  Indicadores de beneficios directos al país</w:t>
      </w:r>
      <w:bookmarkEnd w:id="25"/>
    </w:p>
    <w:p>
      <w:pPr>
        <w:pStyle w:val="NotaTabla"/>
        <w:keepNext/>
        <w:keepLines/>
        <w:spacing w:after="80" w:before="200"/>
      </w:pPr>
      <w:r>
        <w:rPr>
          <w:rFonts w:ascii="Calibri" w:cs="Calibri" w:eastAsia="Calibri" w:hAnsi="Calibri"/>
          <w:b/>
          <w:bCs/>
          <w:color w:val="1E3A5F"/>
          <w:sz w:val="18"/>
          <w:szCs w:val="18"/>
        </w:rPr>
        <w:t xml:space="preserve">Tabla 23. Beneficios directos al país por año (miles de USD; etiqueta de período por partida)</w:t>
      </w:r>
    </w:p>
    <w:tbl>
      <w:tblPr>
        <w:tblW w:type="dxa" w:w="9026"/>
        <w:tblBorders>
          <w:top w:val="none" w:color="auto" w:sz="0"/>
          <w:left w:val="none" w:color="auto" w:sz="0"/>
          <w:bottom w:val="none" w:color="auto" w:sz="0"/>
          <w:right w:val="none" w:color="auto" w:sz="0"/>
          <w:insideH w:val="none" w:color="auto" w:sz="0"/>
          <w:insideV w:val="none" w:color="auto" w:sz="0"/>
        </w:tblBorders>
      </w:tblPr>
      <w:tblGrid>
        <w:gridCol w:w="3221"/>
        <w:gridCol w:w="477"/>
        <w:gridCol w:w="477"/>
        <w:gridCol w:w="477"/>
        <w:gridCol w:w="477"/>
        <w:gridCol w:w="477"/>
        <w:gridCol w:w="477"/>
        <w:gridCol w:w="477"/>
        <w:gridCol w:w="477"/>
        <w:gridCol w:w="477"/>
        <w:gridCol w:w="477"/>
        <w:gridCol w:w="477"/>
        <w:gridCol w:w="557"/>
      </w:tblGrid>
      <w:tr>
        <w:trPr>
          <w:cantSplit/>
          <w:tblHeader/>
        </w:trPr>
        <w:tc>
          <w:tcPr>
            <w:tcW w:type="dxa" w:w="3221"/>
            <w:tcBorders>
              <w:top w:val="single" w:color="64748B" w:sz="8"/>
              <w:bottom w:val="single" w:color="94A3B8" w:sz="4"/>
            </w:tcBorders>
            <w:shd w:fill="EEF2F7" w:color="auto" w:val="clear"/>
            <w:tcMar>
              <w:top w:type="dxa" w:w="40"/>
              <w:left w:type="dxa" w:w="80"/>
              <w:bottom w:type="dxa" w:w="40"/>
              <w:right w:type="dxa" w:w="80"/>
            </w:tcMar>
          </w:tcPr>
          <w:p>
            <w:pPr>
              <w:jc w:val="left"/>
            </w:pPr>
            <w:r>
              <w:rPr>
                <w:rFonts w:ascii="Calibri" w:cs="Calibri" w:eastAsia="Calibri" w:hAnsi="Calibri"/>
                <w:b/>
                <w:bCs/>
                <w:color w:val="1E3A5F"/>
                <w:sz w:val="17"/>
                <w:szCs w:val="17"/>
              </w:rPr>
              <w:t xml:space="preserve">Partida</w:t>
            </w:r>
          </w:p>
        </w:tc>
        <w:tc>
          <w:tcPr>
            <w:tcW w:type="dxa" w:w="477"/>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7"/>
                <w:szCs w:val="17"/>
              </w:rPr>
              <w:t xml:space="preserve">Año 0</w:t>
            </w:r>
          </w:p>
        </w:tc>
        <w:tc>
          <w:tcPr>
            <w:tcW w:type="dxa" w:w="477"/>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7"/>
                <w:szCs w:val="17"/>
              </w:rPr>
              <w:t xml:space="preserve">Año 1</w:t>
            </w:r>
          </w:p>
        </w:tc>
        <w:tc>
          <w:tcPr>
            <w:tcW w:type="dxa" w:w="477"/>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7"/>
                <w:szCs w:val="17"/>
              </w:rPr>
              <w:t xml:space="preserve">Año 2</w:t>
            </w:r>
          </w:p>
        </w:tc>
        <w:tc>
          <w:tcPr>
            <w:tcW w:type="dxa" w:w="477"/>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7"/>
                <w:szCs w:val="17"/>
              </w:rPr>
              <w:t xml:space="preserve">Año 3</w:t>
            </w:r>
          </w:p>
        </w:tc>
        <w:tc>
          <w:tcPr>
            <w:tcW w:type="dxa" w:w="477"/>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7"/>
                <w:szCs w:val="17"/>
              </w:rPr>
              <w:t xml:space="preserve">Año 4</w:t>
            </w:r>
          </w:p>
        </w:tc>
        <w:tc>
          <w:tcPr>
            <w:tcW w:type="dxa" w:w="477"/>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7"/>
                <w:szCs w:val="17"/>
              </w:rPr>
              <w:t xml:space="preserve">Año 5</w:t>
            </w:r>
          </w:p>
        </w:tc>
        <w:tc>
          <w:tcPr>
            <w:tcW w:type="dxa" w:w="477"/>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7"/>
                <w:szCs w:val="17"/>
              </w:rPr>
              <w:t xml:space="preserve">Año 6</w:t>
            </w:r>
          </w:p>
        </w:tc>
        <w:tc>
          <w:tcPr>
            <w:tcW w:type="dxa" w:w="477"/>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7"/>
                <w:szCs w:val="17"/>
              </w:rPr>
              <w:t xml:space="preserve">Año 7</w:t>
            </w:r>
          </w:p>
        </w:tc>
        <w:tc>
          <w:tcPr>
            <w:tcW w:type="dxa" w:w="477"/>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7"/>
                <w:szCs w:val="17"/>
              </w:rPr>
              <w:t xml:space="preserve">Año 8</w:t>
            </w:r>
          </w:p>
        </w:tc>
        <w:tc>
          <w:tcPr>
            <w:tcW w:type="dxa" w:w="477"/>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7"/>
                <w:szCs w:val="17"/>
              </w:rPr>
              <w:t xml:space="preserve">Año 9</w:t>
            </w:r>
          </w:p>
        </w:tc>
        <w:tc>
          <w:tcPr>
            <w:tcW w:type="dxa" w:w="477"/>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7"/>
                <w:szCs w:val="17"/>
              </w:rPr>
              <w:t xml:space="preserve">Año 10</w:t>
            </w:r>
          </w:p>
        </w:tc>
        <w:tc>
          <w:tcPr>
            <w:tcW w:type="dxa" w:w="557"/>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7"/>
                <w:szCs w:val="17"/>
              </w:rPr>
              <w:t xml:space="preserve">Total</w:t>
            </w:r>
          </w:p>
        </w:tc>
      </w:tr>
      <w:tr>
        <w:trPr>
          <w:cantSplit/>
        </w:trPr>
        <w:tc>
          <w:tcPr>
            <w:tcW w:type="dxa" w:w="3221"/>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Impuesto sobre utilidades [años 1–N]</w:t>
            </w:r>
          </w:p>
        </w:tc>
        <w:tc>
          <w:tcPr>
            <w:tcW w:type="dxa" w:w="477"/>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0,0</w:t>
            </w:r>
          </w:p>
        </w:tc>
        <w:tc>
          <w:tcPr>
            <w:tcW w:type="dxa" w:w="477"/>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135,4</w:t>
            </w:r>
          </w:p>
        </w:tc>
        <w:tc>
          <w:tcPr>
            <w:tcW w:type="dxa" w:w="477"/>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153,1</w:t>
            </w:r>
          </w:p>
        </w:tc>
        <w:tc>
          <w:tcPr>
            <w:tcW w:type="dxa" w:w="477"/>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173,8</w:t>
            </w:r>
          </w:p>
        </w:tc>
        <w:tc>
          <w:tcPr>
            <w:tcW w:type="dxa" w:w="477"/>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195,9</w:t>
            </w:r>
          </w:p>
        </w:tc>
        <w:tc>
          <w:tcPr>
            <w:tcW w:type="dxa" w:w="477"/>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219,7</w:t>
            </w:r>
          </w:p>
        </w:tc>
        <w:tc>
          <w:tcPr>
            <w:tcW w:type="dxa" w:w="477"/>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247,6</w:t>
            </w:r>
          </w:p>
        </w:tc>
        <w:tc>
          <w:tcPr>
            <w:tcW w:type="dxa" w:w="477"/>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269,6</w:t>
            </w:r>
          </w:p>
        </w:tc>
        <w:tc>
          <w:tcPr>
            <w:tcW w:type="dxa" w:w="477"/>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297,2</w:t>
            </w:r>
          </w:p>
        </w:tc>
        <w:tc>
          <w:tcPr>
            <w:tcW w:type="dxa" w:w="477"/>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331,5</w:t>
            </w:r>
          </w:p>
        </w:tc>
        <w:tc>
          <w:tcPr>
            <w:tcW w:type="dxa" w:w="477"/>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363,4</w:t>
            </w:r>
          </w:p>
        </w:tc>
        <w:tc>
          <w:tcPr>
            <w:tcW w:type="dxa" w:w="557"/>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2.387,2</w:t>
            </w:r>
          </w:p>
        </w:tc>
      </w:tr>
      <w:tr>
        <w:trPr>
          <w:cantSplit/>
        </w:trPr>
        <w:tc>
          <w:tcPr>
            <w:tcW w:type="dxa" w:w="3221"/>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Otros impuestos, tasas y contribuciones [años 1–N]</w:t>
            </w:r>
          </w:p>
        </w:tc>
        <w:tc>
          <w:tcPr>
            <w:tcW w:type="dxa" w:w="477"/>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0,0</w:t>
            </w:r>
          </w:p>
        </w:tc>
        <w:tc>
          <w:tcPr>
            <w:tcW w:type="dxa" w:w="477"/>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5,0</w:t>
            </w:r>
          </w:p>
        </w:tc>
        <w:tc>
          <w:tcPr>
            <w:tcW w:type="dxa" w:w="477"/>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5,0</w:t>
            </w:r>
          </w:p>
        </w:tc>
        <w:tc>
          <w:tcPr>
            <w:tcW w:type="dxa" w:w="477"/>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5,0</w:t>
            </w:r>
          </w:p>
        </w:tc>
        <w:tc>
          <w:tcPr>
            <w:tcW w:type="dxa" w:w="477"/>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5,0</w:t>
            </w:r>
          </w:p>
        </w:tc>
        <w:tc>
          <w:tcPr>
            <w:tcW w:type="dxa" w:w="477"/>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5,0</w:t>
            </w:r>
          </w:p>
        </w:tc>
        <w:tc>
          <w:tcPr>
            <w:tcW w:type="dxa" w:w="477"/>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5,0</w:t>
            </w:r>
          </w:p>
        </w:tc>
        <w:tc>
          <w:tcPr>
            <w:tcW w:type="dxa" w:w="477"/>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5,0</w:t>
            </w:r>
          </w:p>
        </w:tc>
        <w:tc>
          <w:tcPr>
            <w:tcW w:type="dxa" w:w="477"/>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5,0</w:t>
            </w:r>
          </w:p>
        </w:tc>
        <w:tc>
          <w:tcPr>
            <w:tcW w:type="dxa" w:w="477"/>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5,0</w:t>
            </w:r>
          </w:p>
        </w:tc>
        <w:tc>
          <w:tcPr>
            <w:tcW w:type="dxa" w:w="477"/>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5,0</w:t>
            </w:r>
          </w:p>
        </w:tc>
        <w:tc>
          <w:tcPr>
            <w:tcW w:type="dxa" w:w="557"/>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50,0</w:t>
            </w:r>
          </w:p>
        </w:tc>
      </w:tr>
      <w:tr>
        <w:trPr>
          <w:cantSplit/>
        </w:trPr>
        <w:tc>
          <w:tcPr>
            <w:tcW w:type="dxa" w:w="3221"/>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Dividendos de la parte cubana [años 1–N]</w:t>
            </w:r>
          </w:p>
        </w:tc>
        <w:tc>
          <w:tcPr>
            <w:tcW w:type="dxa" w:w="477"/>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0,0</w:t>
            </w:r>
          </w:p>
        </w:tc>
        <w:tc>
          <w:tcPr>
            <w:tcW w:type="dxa" w:w="477"/>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0,0</w:t>
            </w:r>
          </w:p>
        </w:tc>
        <w:tc>
          <w:tcPr>
            <w:tcW w:type="dxa" w:w="477"/>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0,0</w:t>
            </w:r>
          </w:p>
        </w:tc>
        <w:tc>
          <w:tcPr>
            <w:tcW w:type="dxa" w:w="477"/>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0,0</w:t>
            </w:r>
          </w:p>
        </w:tc>
        <w:tc>
          <w:tcPr>
            <w:tcW w:type="dxa" w:w="477"/>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132,0</w:t>
            </w:r>
          </w:p>
        </w:tc>
        <w:tc>
          <w:tcPr>
            <w:tcW w:type="dxa" w:w="477"/>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186,9</w:t>
            </w:r>
          </w:p>
        </w:tc>
        <w:tc>
          <w:tcPr>
            <w:tcW w:type="dxa" w:w="477"/>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166,9</w:t>
            </w:r>
          </w:p>
        </w:tc>
        <w:tc>
          <w:tcPr>
            <w:tcW w:type="dxa" w:w="477"/>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165,2</w:t>
            </w:r>
          </w:p>
        </w:tc>
        <w:tc>
          <w:tcPr>
            <w:tcW w:type="dxa" w:w="477"/>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173,7</w:t>
            </w:r>
          </w:p>
        </w:tc>
        <w:tc>
          <w:tcPr>
            <w:tcW w:type="dxa" w:w="477"/>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189,0</w:t>
            </w:r>
          </w:p>
        </w:tc>
        <w:tc>
          <w:tcPr>
            <w:tcW w:type="dxa" w:w="477"/>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206,5</w:t>
            </w:r>
          </w:p>
        </w:tc>
        <w:tc>
          <w:tcPr>
            <w:tcW w:type="dxa" w:w="557"/>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1.220,3</w:t>
            </w:r>
          </w:p>
        </w:tc>
      </w:tr>
      <w:tr>
        <w:trPr>
          <w:cantSplit/>
        </w:trPr>
        <w:tc>
          <w:tcPr>
            <w:tcW w:type="dxa" w:w="3221"/>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Aranceles [años 1–N]</w:t>
            </w:r>
          </w:p>
        </w:tc>
        <w:tc>
          <w:tcPr>
            <w:tcW w:type="dxa" w:w="477"/>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0,0</w:t>
            </w:r>
          </w:p>
        </w:tc>
        <w:tc>
          <w:tcPr>
            <w:tcW w:type="dxa" w:w="477"/>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8,0</w:t>
            </w:r>
          </w:p>
        </w:tc>
        <w:tc>
          <w:tcPr>
            <w:tcW w:type="dxa" w:w="477"/>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8,0</w:t>
            </w:r>
          </w:p>
        </w:tc>
        <w:tc>
          <w:tcPr>
            <w:tcW w:type="dxa" w:w="477"/>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8,0</w:t>
            </w:r>
          </w:p>
        </w:tc>
        <w:tc>
          <w:tcPr>
            <w:tcW w:type="dxa" w:w="477"/>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8,0</w:t>
            </w:r>
          </w:p>
        </w:tc>
        <w:tc>
          <w:tcPr>
            <w:tcW w:type="dxa" w:w="477"/>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8,0</w:t>
            </w:r>
          </w:p>
        </w:tc>
        <w:tc>
          <w:tcPr>
            <w:tcW w:type="dxa" w:w="477"/>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8,0</w:t>
            </w:r>
          </w:p>
        </w:tc>
        <w:tc>
          <w:tcPr>
            <w:tcW w:type="dxa" w:w="477"/>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8,0</w:t>
            </w:r>
          </w:p>
        </w:tc>
        <w:tc>
          <w:tcPr>
            <w:tcW w:type="dxa" w:w="477"/>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8,0</w:t>
            </w:r>
          </w:p>
        </w:tc>
        <w:tc>
          <w:tcPr>
            <w:tcW w:type="dxa" w:w="477"/>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8,0</w:t>
            </w:r>
          </w:p>
        </w:tc>
        <w:tc>
          <w:tcPr>
            <w:tcW w:type="dxa" w:w="477"/>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8,0</w:t>
            </w:r>
          </w:p>
        </w:tc>
        <w:tc>
          <w:tcPr>
            <w:tcW w:type="dxa" w:w="557"/>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80,0</w:t>
            </w:r>
          </w:p>
        </w:tc>
      </w:tr>
      <w:tr>
        <w:trPr>
          <w:cantSplit/>
        </w:trPr>
        <w:tc>
          <w:tcPr>
            <w:tcW w:type="dxa" w:w="3221"/>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Pagos por la fuerza de trabajo [incluye año 0]</w:t>
            </w:r>
          </w:p>
        </w:tc>
        <w:tc>
          <w:tcPr>
            <w:tcW w:type="dxa" w:w="477"/>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0,8</w:t>
            </w:r>
          </w:p>
        </w:tc>
        <w:tc>
          <w:tcPr>
            <w:tcW w:type="dxa" w:w="477"/>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20,6</w:t>
            </w:r>
          </w:p>
        </w:tc>
        <w:tc>
          <w:tcPr>
            <w:tcW w:type="dxa" w:w="477"/>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21,6</w:t>
            </w:r>
          </w:p>
        </w:tc>
        <w:tc>
          <w:tcPr>
            <w:tcW w:type="dxa" w:w="477"/>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22,7</w:t>
            </w:r>
          </w:p>
        </w:tc>
        <w:tc>
          <w:tcPr>
            <w:tcW w:type="dxa" w:w="477"/>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23,9</w:t>
            </w:r>
          </w:p>
        </w:tc>
        <w:tc>
          <w:tcPr>
            <w:tcW w:type="dxa" w:w="477"/>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25,0</w:t>
            </w:r>
          </w:p>
        </w:tc>
        <w:tc>
          <w:tcPr>
            <w:tcW w:type="dxa" w:w="477"/>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26,3</w:t>
            </w:r>
          </w:p>
        </w:tc>
        <w:tc>
          <w:tcPr>
            <w:tcW w:type="dxa" w:w="477"/>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27,6</w:t>
            </w:r>
          </w:p>
        </w:tc>
        <w:tc>
          <w:tcPr>
            <w:tcW w:type="dxa" w:w="477"/>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29,0</w:t>
            </w:r>
          </w:p>
        </w:tc>
        <w:tc>
          <w:tcPr>
            <w:tcW w:type="dxa" w:w="477"/>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30,4</w:t>
            </w:r>
          </w:p>
        </w:tc>
        <w:tc>
          <w:tcPr>
            <w:tcW w:type="dxa" w:w="477"/>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32,0</w:t>
            </w:r>
          </w:p>
        </w:tc>
        <w:tc>
          <w:tcPr>
            <w:tcW w:type="dxa" w:w="557"/>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260,0</w:t>
            </w:r>
          </w:p>
        </w:tc>
      </w:tr>
      <w:tr>
        <w:trPr>
          <w:cantSplit/>
        </w:trPr>
        <w:tc>
          <w:tcPr>
            <w:tcW w:type="dxa" w:w="3221"/>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Canon [años 1–N]</w:t>
            </w:r>
          </w:p>
        </w:tc>
        <w:tc>
          <w:tcPr>
            <w:tcW w:type="dxa" w:w="477"/>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0,0</w:t>
            </w:r>
          </w:p>
        </w:tc>
        <w:tc>
          <w:tcPr>
            <w:tcW w:type="dxa" w:w="477"/>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30,0</w:t>
            </w:r>
          </w:p>
        </w:tc>
        <w:tc>
          <w:tcPr>
            <w:tcW w:type="dxa" w:w="477"/>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30,0</w:t>
            </w:r>
          </w:p>
        </w:tc>
        <w:tc>
          <w:tcPr>
            <w:tcW w:type="dxa" w:w="477"/>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30,0</w:t>
            </w:r>
          </w:p>
        </w:tc>
        <w:tc>
          <w:tcPr>
            <w:tcW w:type="dxa" w:w="477"/>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30,0</w:t>
            </w:r>
          </w:p>
        </w:tc>
        <w:tc>
          <w:tcPr>
            <w:tcW w:type="dxa" w:w="477"/>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30,0</w:t>
            </w:r>
          </w:p>
        </w:tc>
        <w:tc>
          <w:tcPr>
            <w:tcW w:type="dxa" w:w="477"/>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30,0</w:t>
            </w:r>
          </w:p>
        </w:tc>
        <w:tc>
          <w:tcPr>
            <w:tcW w:type="dxa" w:w="477"/>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30,0</w:t>
            </w:r>
          </w:p>
        </w:tc>
        <w:tc>
          <w:tcPr>
            <w:tcW w:type="dxa" w:w="477"/>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30,0</w:t>
            </w:r>
          </w:p>
        </w:tc>
        <w:tc>
          <w:tcPr>
            <w:tcW w:type="dxa" w:w="477"/>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30,0</w:t>
            </w:r>
          </w:p>
        </w:tc>
        <w:tc>
          <w:tcPr>
            <w:tcW w:type="dxa" w:w="477"/>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30,0</w:t>
            </w:r>
          </w:p>
        </w:tc>
        <w:tc>
          <w:tcPr>
            <w:tcW w:type="dxa" w:w="557"/>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300,0</w:t>
            </w:r>
          </w:p>
        </w:tc>
      </w:tr>
      <w:tr>
        <w:trPr>
          <w:cantSplit/>
        </w:trPr>
        <w:tc>
          <w:tcPr>
            <w:tcW w:type="dxa" w:w="3221"/>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Royalties [años 1–N]</w:t>
            </w:r>
          </w:p>
        </w:tc>
        <w:tc>
          <w:tcPr>
            <w:tcW w:type="dxa" w:w="477"/>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0,0</w:t>
            </w:r>
          </w:p>
        </w:tc>
        <w:tc>
          <w:tcPr>
            <w:tcW w:type="dxa" w:w="477"/>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0,0</w:t>
            </w:r>
          </w:p>
        </w:tc>
        <w:tc>
          <w:tcPr>
            <w:tcW w:type="dxa" w:w="477"/>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0,0</w:t>
            </w:r>
          </w:p>
        </w:tc>
        <w:tc>
          <w:tcPr>
            <w:tcW w:type="dxa" w:w="477"/>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0,0</w:t>
            </w:r>
          </w:p>
        </w:tc>
        <w:tc>
          <w:tcPr>
            <w:tcW w:type="dxa" w:w="477"/>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0,0</w:t>
            </w:r>
          </w:p>
        </w:tc>
        <w:tc>
          <w:tcPr>
            <w:tcW w:type="dxa" w:w="477"/>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0,0</w:t>
            </w:r>
          </w:p>
        </w:tc>
        <w:tc>
          <w:tcPr>
            <w:tcW w:type="dxa" w:w="477"/>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0,0</w:t>
            </w:r>
          </w:p>
        </w:tc>
        <w:tc>
          <w:tcPr>
            <w:tcW w:type="dxa" w:w="477"/>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0,0</w:t>
            </w:r>
          </w:p>
        </w:tc>
        <w:tc>
          <w:tcPr>
            <w:tcW w:type="dxa" w:w="477"/>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0,0</w:t>
            </w:r>
          </w:p>
        </w:tc>
        <w:tc>
          <w:tcPr>
            <w:tcW w:type="dxa" w:w="477"/>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0,0</w:t>
            </w:r>
          </w:p>
        </w:tc>
        <w:tc>
          <w:tcPr>
            <w:tcW w:type="dxa" w:w="477"/>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0,0</w:t>
            </w:r>
          </w:p>
        </w:tc>
        <w:tc>
          <w:tcPr>
            <w:tcW w:type="dxa" w:w="557"/>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0,0</w:t>
            </w:r>
          </w:p>
        </w:tc>
      </w:tr>
      <w:tr>
        <w:trPr>
          <w:cantSplit/>
        </w:trPr>
        <w:tc>
          <w:tcPr>
            <w:tcW w:type="dxa" w:w="3221"/>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Otros ingresos [años 1–N]</w:t>
            </w:r>
          </w:p>
        </w:tc>
        <w:tc>
          <w:tcPr>
            <w:tcW w:type="dxa" w:w="477"/>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0,0</w:t>
            </w:r>
          </w:p>
        </w:tc>
        <w:tc>
          <w:tcPr>
            <w:tcW w:type="dxa" w:w="477"/>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0,0</w:t>
            </w:r>
          </w:p>
        </w:tc>
        <w:tc>
          <w:tcPr>
            <w:tcW w:type="dxa" w:w="477"/>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0,0</w:t>
            </w:r>
          </w:p>
        </w:tc>
        <w:tc>
          <w:tcPr>
            <w:tcW w:type="dxa" w:w="477"/>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0,0</w:t>
            </w:r>
          </w:p>
        </w:tc>
        <w:tc>
          <w:tcPr>
            <w:tcW w:type="dxa" w:w="477"/>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0,0</w:t>
            </w:r>
          </w:p>
        </w:tc>
        <w:tc>
          <w:tcPr>
            <w:tcW w:type="dxa" w:w="477"/>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0,0</w:t>
            </w:r>
          </w:p>
        </w:tc>
        <w:tc>
          <w:tcPr>
            <w:tcW w:type="dxa" w:w="477"/>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0,0</w:t>
            </w:r>
          </w:p>
        </w:tc>
        <w:tc>
          <w:tcPr>
            <w:tcW w:type="dxa" w:w="477"/>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0,0</w:t>
            </w:r>
          </w:p>
        </w:tc>
        <w:tc>
          <w:tcPr>
            <w:tcW w:type="dxa" w:w="477"/>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0,0</w:t>
            </w:r>
          </w:p>
        </w:tc>
        <w:tc>
          <w:tcPr>
            <w:tcW w:type="dxa" w:w="477"/>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0,0</w:t>
            </w:r>
          </w:p>
        </w:tc>
        <w:tc>
          <w:tcPr>
            <w:tcW w:type="dxa" w:w="477"/>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0,0</w:t>
            </w:r>
          </w:p>
        </w:tc>
        <w:tc>
          <w:tcPr>
            <w:tcW w:type="dxa" w:w="557"/>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0,0</w:t>
            </w:r>
          </w:p>
        </w:tc>
      </w:tr>
      <w:tr>
        <w:trPr>
          <w:cantSplit/>
        </w:trPr>
        <w:tc>
          <w:tcPr>
            <w:tcW w:type="dxa" w:w="3221"/>
            <w:tcBorders>
              <w:top w:val="single" w:color="94A3B8" w:sz="4"/>
              <w:bottom w:val="single" w:color="64748B" w:sz="8"/>
            </w:tcBorders>
            <w:tcMar>
              <w:top w:type="dxa" w:w="40"/>
              <w:left w:type="dxa" w:w="80"/>
              <w:bottom w:type="dxa" w:w="40"/>
              <w:right w:type="dxa" w:w="80"/>
            </w:tcMar>
          </w:tcPr>
          <w:p>
            <w:pPr>
              <w:jc w:val="left"/>
            </w:pPr>
            <w:r>
              <w:rPr>
                <w:rFonts w:ascii="Calibri" w:cs="Calibri" w:eastAsia="Calibri" w:hAnsi="Calibri"/>
                <w:b/>
                <w:bCs/>
                <w:color w:val="334155"/>
                <w:sz w:val="17"/>
                <w:szCs w:val="17"/>
              </w:rPr>
              <w:t xml:space="preserve">TOTAL BENEFICIOS DIRECTOS AL PAÍS [incluye año 0]</w:t>
            </w:r>
          </w:p>
        </w:tc>
        <w:tc>
          <w:tcPr>
            <w:tcW w:type="dxa" w:w="477"/>
            <w:tcBorders>
              <w:top w:val="single" w:color="94A3B8" w:sz="4"/>
              <w:bottom w:val="single" w:color="64748B" w:sz="8"/>
            </w:tcBorders>
            <w:tcMar>
              <w:top w:type="dxa" w:w="40"/>
              <w:left w:type="dxa" w:w="80"/>
              <w:bottom w:type="dxa" w:w="40"/>
              <w:right w:type="dxa" w:w="80"/>
            </w:tcMar>
          </w:tcPr>
          <w:p>
            <w:pPr>
              <w:jc w:val="right"/>
            </w:pPr>
            <w:r>
              <w:rPr>
                <w:rFonts w:ascii="Calibri" w:cs="Calibri" w:eastAsia="Calibri" w:hAnsi="Calibri"/>
                <w:b/>
                <w:bCs/>
                <w:color w:val="334155"/>
                <w:sz w:val="17"/>
                <w:szCs w:val="17"/>
              </w:rPr>
              <w:t xml:space="preserve">0,8</w:t>
            </w:r>
          </w:p>
        </w:tc>
        <w:tc>
          <w:tcPr>
            <w:tcW w:type="dxa" w:w="477"/>
            <w:tcBorders>
              <w:top w:val="single" w:color="94A3B8" w:sz="4"/>
              <w:bottom w:val="single" w:color="64748B" w:sz="8"/>
            </w:tcBorders>
            <w:tcMar>
              <w:top w:type="dxa" w:w="40"/>
              <w:left w:type="dxa" w:w="80"/>
              <w:bottom w:type="dxa" w:w="40"/>
              <w:right w:type="dxa" w:w="80"/>
            </w:tcMar>
          </w:tcPr>
          <w:p>
            <w:pPr>
              <w:jc w:val="right"/>
            </w:pPr>
            <w:r>
              <w:rPr>
                <w:rFonts w:ascii="Calibri" w:cs="Calibri" w:eastAsia="Calibri" w:hAnsi="Calibri"/>
                <w:b/>
                <w:bCs/>
                <w:color w:val="334155"/>
                <w:sz w:val="17"/>
                <w:szCs w:val="17"/>
              </w:rPr>
              <w:t xml:space="preserve">199,0</w:t>
            </w:r>
          </w:p>
        </w:tc>
        <w:tc>
          <w:tcPr>
            <w:tcW w:type="dxa" w:w="477"/>
            <w:tcBorders>
              <w:top w:val="single" w:color="94A3B8" w:sz="4"/>
              <w:bottom w:val="single" w:color="64748B" w:sz="8"/>
            </w:tcBorders>
            <w:tcMar>
              <w:top w:type="dxa" w:w="40"/>
              <w:left w:type="dxa" w:w="80"/>
              <w:bottom w:type="dxa" w:w="40"/>
              <w:right w:type="dxa" w:w="80"/>
            </w:tcMar>
          </w:tcPr>
          <w:p>
            <w:pPr>
              <w:jc w:val="right"/>
            </w:pPr>
            <w:r>
              <w:rPr>
                <w:rFonts w:ascii="Calibri" w:cs="Calibri" w:eastAsia="Calibri" w:hAnsi="Calibri"/>
                <w:b/>
                <w:bCs/>
                <w:color w:val="334155"/>
                <w:sz w:val="17"/>
                <w:szCs w:val="17"/>
              </w:rPr>
              <w:t xml:space="preserve">217,7</w:t>
            </w:r>
          </w:p>
        </w:tc>
        <w:tc>
          <w:tcPr>
            <w:tcW w:type="dxa" w:w="477"/>
            <w:tcBorders>
              <w:top w:val="single" w:color="94A3B8" w:sz="4"/>
              <w:bottom w:val="single" w:color="64748B" w:sz="8"/>
            </w:tcBorders>
            <w:tcMar>
              <w:top w:type="dxa" w:w="40"/>
              <w:left w:type="dxa" w:w="80"/>
              <w:bottom w:type="dxa" w:w="40"/>
              <w:right w:type="dxa" w:w="80"/>
            </w:tcMar>
          </w:tcPr>
          <w:p>
            <w:pPr>
              <w:jc w:val="right"/>
            </w:pPr>
            <w:r>
              <w:rPr>
                <w:rFonts w:ascii="Calibri" w:cs="Calibri" w:eastAsia="Calibri" w:hAnsi="Calibri"/>
                <w:b/>
                <w:bCs/>
                <w:color w:val="334155"/>
                <w:sz w:val="17"/>
                <w:szCs w:val="17"/>
              </w:rPr>
              <w:t xml:space="preserve">239,5</w:t>
            </w:r>
          </w:p>
        </w:tc>
        <w:tc>
          <w:tcPr>
            <w:tcW w:type="dxa" w:w="477"/>
            <w:tcBorders>
              <w:top w:val="single" w:color="94A3B8" w:sz="4"/>
              <w:bottom w:val="single" w:color="64748B" w:sz="8"/>
            </w:tcBorders>
            <w:tcMar>
              <w:top w:type="dxa" w:w="40"/>
              <w:left w:type="dxa" w:w="80"/>
              <w:bottom w:type="dxa" w:w="40"/>
              <w:right w:type="dxa" w:w="80"/>
            </w:tcMar>
          </w:tcPr>
          <w:p>
            <w:pPr>
              <w:jc w:val="right"/>
            </w:pPr>
            <w:r>
              <w:rPr>
                <w:rFonts w:ascii="Calibri" w:cs="Calibri" w:eastAsia="Calibri" w:hAnsi="Calibri"/>
                <w:b/>
                <w:bCs/>
                <w:color w:val="334155"/>
                <w:sz w:val="17"/>
                <w:szCs w:val="17"/>
              </w:rPr>
              <w:t xml:space="preserve">394,8</w:t>
            </w:r>
          </w:p>
        </w:tc>
        <w:tc>
          <w:tcPr>
            <w:tcW w:type="dxa" w:w="477"/>
            <w:tcBorders>
              <w:top w:val="single" w:color="94A3B8" w:sz="4"/>
              <w:bottom w:val="single" w:color="64748B" w:sz="8"/>
            </w:tcBorders>
            <w:tcMar>
              <w:top w:type="dxa" w:w="40"/>
              <w:left w:type="dxa" w:w="80"/>
              <w:bottom w:type="dxa" w:w="40"/>
              <w:right w:type="dxa" w:w="80"/>
            </w:tcMar>
          </w:tcPr>
          <w:p>
            <w:pPr>
              <w:jc w:val="right"/>
            </w:pPr>
            <w:r>
              <w:rPr>
                <w:rFonts w:ascii="Calibri" w:cs="Calibri" w:eastAsia="Calibri" w:hAnsi="Calibri"/>
                <w:b/>
                <w:bCs/>
                <w:color w:val="334155"/>
                <w:sz w:val="17"/>
                <w:szCs w:val="17"/>
              </w:rPr>
              <w:t xml:space="preserve">474,7</w:t>
            </w:r>
          </w:p>
        </w:tc>
        <w:tc>
          <w:tcPr>
            <w:tcW w:type="dxa" w:w="477"/>
            <w:tcBorders>
              <w:top w:val="single" w:color="94A3B8" w:sz="4"/>
              <w:bottom w:val="single" w:color="64748B" w:sz="8"/>
            </w:tcBorders>
            <w:tcMar>
              <w:top w:type="dxa" w:w="40"/>
              <w:left w:type="dxa" w:w="80"/>
              <w:bottom w:type="dxa" w:w="40"/>
              <w:right w:type="dxa" w:w="80"/>
            </w:tcMar>
          </w:tcPr>
          <w:p>
            <w:pPr>
              <w:jc w:val="right"/>
            </w:pPr>
            <w:r>
              <w:rPr>
                <w:rFonts w:ascii="Calibri" w:cs="Calibri" w:eastAsia="Calibri" w:hAnsi="Calibri"/>
                <w:b/>
                <w:bCs/>
                <w:color w:val="334155"/>
                <w:sz w:val="17"/>
                <w:szCs w:val="17"/>
              </w:rPr>
              <w:t xml:space="preserve">483,8</w:t>
            </w:r>
          </w:p>
        </w:tc>
        <w:tc>
          <w:tcPr>
            <w:tcW w:type="dxa" w:w="477"/>
            <w:tcBorders>
              <w:top w:val="single" w:color="94A3B8" w:sz="4"/>
              <w:bottom w:val="single" w:color="64748B" w:sz="8"/>
            </w:tcBorders>
            <w:tcMar>
              <w:top w:type="dxa" w:w="40"/>
              <w:left w:type="dxa" w:w="80"/>
              <w:bottom w:type="dxa" w:w="40"/>
              <w:right w:type="dxa" w:w="80"/>
            </w:tcMar>
          </w:tcPr>
          <w:p>
            <w:pPr>
              <w:jc w:val="right"/>
            </w:pPr>
            <w:r>
              <w:rPr>
                <w:rFonts w:ascii="Calibri" w:cs="Calibri" w:eastAsia="Calibri" w:hAnsi="Calibri"/>
                <w:b/>
                <w:bCs/>
                <w:color w:val="334155"/>
                <w:sz w:val="17"/>
                <w:szCs w:val="17"/>
              </w:rPr>
              <w:t xml:space="preserve">505,5</w:t>
            </w:r>
          </w:p>
        </w:tc>
        <w:tc>
          <w:tcPr>
            <w:tcW w:type="dxa" w:w="477"/>
            <w:tcBorders>
              <w:top w:val="single" w:color="94A3B8" w:sz="4"/>
              <w:bottom w:val="single" w:color="64748B" w:sz="8"/>
            </w:tcBorders>
            <w:tcMar>
              <w:top w:type="dxa" w:w="40"/>
              <w:left w:type="dxa" w:w="80"/>
              <w:bottom w:type="dxa" w:w="40"/>
              <w:right w:type="dxa" w:w="80"/>
            </w:tcMar>
          </w:tcPr>
          <w:p>
            <w:pPr>
              <w:jc w:val="right"/>
            </w:pPr>
            <w:r>
              <w:rPr>
                <w:rFonts w:ascii="Calibri" w:cs="Calibri" w:eastAsia="Calibri" w:hAnsi="Calibri"/>
                <w:b/>
                <w:bCs/>
                <w:color w:val="334155"/>
                <w:sz w:val="17"/>
                <w:szCs w:val="17"/>
              </w:rPr>
              <w:t xml:space="preserve">542,9</w:t>
            </w:r>
          </w:p>
        </w:tc>
        <w:tc>
          <w:tcPr>
            <w:tcW w:type="dxa" w:w="477"/>
            <w:tcBorders>
              <w:top w:val="single" w:color="94A3B8" w:sz="4"/>
              <w:bottom w:val="single" w:color="64748B" w:sz="8"/>
            </w:tcBorders>
            <w:tcMar>
              <w:top w:type="dxa" w:w="40"/>
              <w:left w:type="dxa" w:w="80"/>
              <w:bottom w:type="dxa" w:w="40"/>
              <w:right w:type="dxa" w:w="80"/>
            </w:tcMar>
          </w:tcPr>
          <w:p>
            <w:pPr>
              <w:jc w:val="right"/>
            </w:pPr>
            <w:r>
              <w:rPr>
                <w:rFonts w:ascii="Calibri" w:cs="Calibri" w:eastAsia="Calibri" w:hAnsi="Calibri"/>
                <w:b/>
                <w:bCs/>
                <w:color w:val="334155"/>
                <w:sz w:val="17"/>
                <w:szCs w:val="17"/>
              </w:rPr>
              <w:t xml:space="preserve">593,9</w:t>
            </w:r>
          </w:p>
        </w:tc>
        <w:tc>
          <w:tcPr>
            <w:tcW w:type="dxa" w:w="477"/>
            <w:tcBorders>
              <w:top w:val="single" w:color="94A3B8" w:sz="4"/>
              <w:bottom w:val="single" w:color="64748B" w:sz="8"/>
            </w:tcBorders>
            <w:tcMar>
              <w:top w:type="dxa" w:w="40"/>
              <w:left w:type="dxa" w:w="80"/>
              <w:bottom w:type="dxa" w:w="40"/>
              <w:right w:type="dxa" w:w="80"/>
            </w:tcMar>
          </w:tcPr>
          <w:p>
            <w:pPr>
              <w:jc w:val="right"/>
            </w:pPr>
            <w:r>
              <w:rPr>
                <w:rFonts w:ascii="Calibri" w:cs="Calibri" w:eastAsia="Calibri" w:hAnsi="Calibri"/>
                <w:b/>
                <w:bCs/>
                <w:color w:val="334155"/>
                <w:sz w:val="17"/>
                <w:szCs w:val="17"/>
              </w:rPr>
              <w:t xml:space="preserve">644,9</w:t>
            </w:r>
          </w:p>
        </w:tc>
        <w:tc>
          <w:tcPr>
            <w:tcW w:type="dxa" w:w="557"/>
            <w:tcBorders>
              <w:top w:val="single" w:color="94A3B8" w:sz="4"/>
              <w:bottom w:val="single" w:color="64748B" w:sz="8"/>
            </w:tcBorders>
            <w:tcMar>
              <w:top w:type="dxa" w:w="40"/>
              <w:left w:type="dxa" w:w="80"/>
              <w:bottom w:type="dxa" w:w="40"/>
              <w:right w:type="dxa" w:w="80"/>
            </w:tcMar>
          </w:tcPr>
          <w:p>
            <w:pPr>
              <w:jc w:val="right"/>
            </w:pPr>
            <w:r>
              <w:rPr>
                <w:rFonts w:ascii="Calibri" w:cs="Calibri" w:eastAsia="Calibri" w:hAnsi="Calibri"/>
                <w:b/>
                <w:bCs/>
                <w:color w:val="334155"/>
                <w:sz w:val="17"/>
                <w:szCs w:val="17"/>
              </w:rPr>
              <w:t xml:space="preserve">4.297,4</w:t>
            </w:r>
          </w:p>
        </w:tc>
      </w:tr>
    </w:tbl>
    <w:p>
      <w:pPr>
        <w:pStyle w:val="NotaTexto"/>
        <w:spacing w:after="60" w:before="60" w:line="276"/>
        <w:jc w:val="both"/>
      </w:pPr>
      <w:r>
        <w:rPr>
          <w:rFonts w:ascii="Calibri" w:cs="Calibri" w:eastAsia="Calibri" w:hAnsi="Calibri"/>
          <w:color w:val="334155"/>
          <w:sz w:val="16"/>
          <w:szCs w:val="16"/>
        </w:rPr>
        <w:t xml:space="preserve">Período de análisis: 10 años de operación, verificando el requisito de contemplar la recuperación más un año. Total acumulado del período completo: 4.297,4 miles de USD (incluye el año 0). Subtotal de la explotación (años 1–10): 4.296,7 miles de USD. Ambos totales provienen del mismo cálculo del motor: resumen, tabla y conclusiones coinciden.</w:t>
      </w:r>
    </w:p>
    <w:p>
      <w:pPr>
        <w:pStyle w:val="AnalisisPlanex"/>
        <w:pBdr>
          <w:left w:val="single" w:color="B45309" w:sz="18" w:space="4"/>
        </w:pBdr>
        <w:shd w:fill="FFF7E6" w:color="auto" w:val="clear"/>
        <w:spacing w:after="20" w:before="160"/>
      </w:pPr>
      <w:r>
        <w:rPr>
          <w:rFonts w:ascii="Calibri" w:cs="Calibri" w:eastAsia="Calibri" w:hAnsi="Calibri"/>
          <w:b/>
          <w:bCs/>
          <w:color w:val="B45309"/>
          <w:sz w:val="18"/>
          <w:szCs w:val="18"/>
        </w:rPr>
        <w:t xml:space="preserve">Análisis de los beneficios directos al país</w:t>
      </w:r>
      <w:r>
        <w:rPr>
          <w:rFonts w:ascii="Calibri" w:cs="Calibri" w:eastAsia="Calibri" w:hAnsi="Calibri"/>
          <w:color w:val="8C6428"/>
          <w:sz w:val="14"/>
          <w:szCs w:val="14"/>
        </w:rPr>
        <w:t xml:space="preserve">  ·  ANÁLISIS GENERADO POR EL MODELO</w:t>
      </w:r>
    </w:p>
    <w:p>
      <w:pPr>
        <w:pStyle w:val="AnalisisCuerpo"/>
        <w:pBdr>
          <w:left w:val="single" w:color="B45309" w:sz="18" w:space="4"/>
          <w:bottom w:val="single" w:color="FFF7E6" w:sz="2" w:space="1"/>
        </w:pBdr>
        <w:shd w:fill="FFF7E6" w:color="auto" w:val="clear"/>
        <w:spacing w:after="160" w:before="0"/>
        <w:jc w:val="both"/>
      </w:pPr>
      <w:r>
        <w:rPr>
          <w:rFonts w:ascii="Calibri" w:cs="Calibri" w:eastAsia="Calibri" w:hAnsi="Calibri"/>
          <w:color w:val="334155"/>
          <w:sz w:val="18"/>
          <w:szCs w:val="18"/>
        </w:rPr>
        <w:t xml:space="preserve">Los beneficios directos al país acumulan 4.297,4 miles de USD en el período completo del análisis (años 0 a 10). El subtotal de la explotación (años 1 a 10) es 4.296,7 miles de USD y el año 0 aporta 0,8 (pagos por la fuerza de trabajo de montaje, único concepto activo en esa fase). Ambos totales provienen del mismo cálculo del motor: resumen, tabla y conclusiones coinciden por construcción. Composición del período: impuestos sobre utilidades 2.387,2, pagos por la fuerza de trabajo 260,0, dividendos de la parte cubana 1.220,3, canon 300,0, aranceles 80,0 y otros impuestos y tasas 50,0 miles de USD. Los pagos por la fuerza de trabajo referencian el costo laboral del modelo (sin doble contabilización con los salarios ya deducidos en el estado de resultados); los dividendos cubanos provienen del módulo de dividendos (limitado por resultados acumulados, reservas y caja disponible) y no de un porcentaje aplicado en paralelo. El acumulado (4.297,4 kUSD) supera la inversión total del proyecto (1.480,0 kUSD) dentro del horizonte; aun así, estos son beneficios PROYECTADOS, no ingresos estatales efectivos, y dependen de que la operación ocurra según lo modelado.</w:t>
      </w:r>
    </w:p>
    <w:p>
      <w:pPr>
        <w:pStyle w:val="Heading1"/>
        <w:pageBreakBefore/>
      </w:pPr>
      <w:bookmarkStart w:name="_Toc26" w:id="26"/>
      <w:r>
        <w:rPr>
          <w:rFonts w:ascii="Calibri" w:cs="Calibri" w:eastAsia="Calibri" w:hAnsi="Calibri"/>
          <w:b/>
          <w:bCs/>
          <w:color w:val="1E3A5F"/>
          <w:sz w:val="30"/>
          <w:szCs w:val="30"/>
        </w:rPr>
        <w:t xml:space="preserve">4.12  Conclusiones</w:t>
      </w:r>
      <w:bookmarkEnd w:id="26"/>
    </w:p>
    <w:p>
      <w:pPr>
        <w:spacing w:after="60" w:before="60" w:line="276"/>
        <w:jc w:val="both"/>
      </w:pPr>
      <w:r>
        <w:rPr>
          <w:rFonts w:ascii="Calibri" w:cs="Calibri" w:eastAsia="Calibri" w:hAnsi="Calibri"/>
          <w:color w:val="334155"/>
          <w:sz w:val="20"/>
          <w:szCs w:val="20"/>
        </w:rPr>
        <w:t xml:space="preserve">CONCLUSIONES (marco de lectura del ejemplo ilustrativo): la síntesis cuantitativa de este apartado se GENERA a partir del modelo de cálculo activo y acompaña a este texto en la vista documental y en el PDF; no está escrita de antemano y se recalcula con cada cambio de datos, parámetros o fórmulas. En consecuencia, el lector debe interpretar la inversión, los ingresos, la utilidad, la recuperación de la inversión total y del capital aportado, los dividendos y los beneficios directos al país a partir de la sección «Conclusiones (análisis dinámico)», no de este párrafo. ADVERTENCIA: este ejemplo se basa íntegramente en datos ficticios de demostración y no constituye una evaluación de viabilidad real. Una propuesta seria exige validar la demanda solvente, los precios, los costos, la tasa tributaria aplicable, las licencias sanitarias y los requisitos legales y de inversión, y debe reconocer expresamente cualquier limitación pendiente que el diagnóstico del modelo señale.</w:t>
      </w:r>
    </w:p>
    <w:p>
      <w:pPr>
        <w:pStyle w:val="AnalisisPlanex"/>
        <w:pBdr>
          <w:left w:val="single" w:color="B45309" w:sz="18" w:space="4"/>
        </w:pBdr>
        <w:shd w:fill="FFF7E6" w:color="auto" w:val="clear"/>
        <w:spacing w:after="20" w:before="160"/>
      </w:pPr>
      <w:r>
        <w:rPr>
          <w:rFonts w:ascii="Calibri" w:cs="Calibri" w:eastAsia="Calibri" w:hAnsi="Calibri"/>
          <w:b/>
          <w:bCs/>
          <w:color w:val="B45309"/>
          <w:sz w:val="18"/>
          <w:szCs w:val="18"/>
        </w:rPr>
        <w:t xml:space="preserve">Conclusiones (análisis dinámico del modelo)</w:t>
      </w:r>
      <w:r>
        <w:rPr>
          <w:rFonts w:ascii="Calibri" w:cs="Calibri" w:eastAsia="Calibri" w:hAnsi="Calibri"/>
          <w:color w:val="8C6428"/>
          <w:sz w:val="14"/>
          <w:szCs w:val="14"/>
        </w:rPr>
        <w:t xml:space="preserve">  ·  ANÁLISIS GENERADO POR EL MODELO</w:t>
      </w:r>
    </w:p>
    <w:p>
      <w:pPr>
        <w:pStyle w:val="AnalisisCuerpo"/>
        <w:pBdr>
          <w:left w:val="single" w:color="B45309" w:sz="18" w:space="4"/>
          <w:bottom w:val="single" w:color="FFF7E6" w:sz="2" w:space="1"/>
        </w:pBdr>
        <w:shd w:fill="FFF7E6" w:color="auto" w:val="clear"/>
        <w:spacing w:after="160" w:before="0"/>
        <w:jc w:val="both"/>
      </w:pPr>
      <w:r>
        <w:rPr>
          <w:rFonts w:ascii="Calibri" w:cs="Calibri" w:eastAsia="Calibri" w:hAnsi="Calibri"/>
          <w:color w:val="334155"/>
          <w:sz w:val="18"/>
          <w:szCs w:val="18"/>
        </w:rPr>
        <w:t xml:space="preserve">Sobre los resultados económicos preliminares del modelo: inversión total de 1.480,0 miles de USD, ingresos del año 1 de 967,8 kUSD, utilidad después de impuestos de 251,5 kUSD y beneficios directos al país acumulados de 4.297,4 kUSD en 10 años. El flujo de caja del proyecto recupera la inversión total en 3,5 años (recuperación simple, sin descontar), y el flujo de los socios recupera el capital aportado en 3,2 años. Estos períodos derivan de los flujos vigentes y pueden cambiar al cambiar cualquier supuesto. Con los supuestos vigentes, el modelo no presenta errores de cálculo ni insuficiencias operativas conocidas; las advertencias restantes figuran en el panel de diagnóstico. Estas conclusiones se generan desde el estado actual del modelo de cálculo. Persisten 1 advertencia(s) de consistencia; además, la tasa de impuesto es un supuesto de demostración que CONDICIONA estas conclusiones: debe validarse normativamente antes de cualquier uso oficial. En todo caso, la viabilidad jurídica, sanitaria y de mercado de la propuesta queda sujeta a validaciones externas que este documento no sustituye.</w:t>
      </w:r>
    </w:p>
    <w:p>
      <w:pPr>
        <w:pStyle w:val="Heading1"/>
        <w:pageBreakBefore/>
      </w:pPr>
      <w:bookmarkStart w:name="_Toc27" w:id="27"/>
      <w:r>
        <w:rPr>
          <w:rFonts w:ascii="Calibri" w:cs="Calibri" w:eastAsia="Calibri" w:hAnsi="Calibri"/>
          <w:b/>
          <w:bCs/>
          <w:color w:val="1E3A5F"/>
          <w:sz w:val="30"/>
          <w:szCs w:val="30"/>
        </w:rPr>
        <w:t xml:space="preserve">Diagnóstico y controles de consistencia</w:t>
      </w:r>
      <w:bookmarkEnd w:id="27"/>
    </w:p>
    <w:p>
      <w:pPr>
        <w:spacing w:after="60" w:before="60" w:line="276"/>
        <w:jc w:val="both"/>
      </w:pPr>
      <w:r>
        <w:rPr>
          <w:rFonts w:ascii="Calibri" w:cs="Calibri" w:eastAsia="Calibri" w:hAnsi="Calibri"/>
          <w:color w:val="334155"/>
          <w:sz w:val="20"/>
          <w:szCs w:val="20"/>
        </w:rPr>
        <w:t xml:space="preserve">ESTADO GENERAL DEL PLAN: Borrador de demostración (datos ficticios). Plantilla de demostración con datos ficticios: sus cifras NO son datos reales y el informe no está en condiciones de presentarse a un cliente o inversionista.</w:t>
      </w:r>
    </w:p>
    <w:p>
      <w:pPr>
        <w:spacing w:after="60" w:before="60" w:line="276"/>
        <w:jc w:val="both"/>
      </w:pPr>
      <w:r>
        <w:rPr>
          <w:rFonts w:ascii="Calibri" w:cs="Calibri" w:eastAsia="Calibri" w:hAnsi="Calibri"/>
          <w:color w:val="334155"/>
          <w:sz w:val="20"/>
          <w:szCs w:val="20"/>
        </w:rPr>
        <w:t xml:space="preserve">Resumen de control — conteo: 0 error(es) bloqueante(s), 1 advertencia(s) importante(s), 4 información pendiente, 8 observación(es) de calidad. Existen hallazgos que condicionan las conclusiones del plan. Las seis dimensiones se evalúan DE FORMA INDEPENDIENTE: un plan no se clasifica como globalmente «correcto» porque las sumas cuadren, y la completitud formal no se usa como prueba de calidad; la validación legal, tributaria, sanitaria y de mercado queda sujeta a verificación externa que esta aplicación no realiza.</w:t>
      </w:r>
    </w:p>
    <w:p>
      <w:pPr>
        <w:pStyle w:val="NotaTabla"/>
        <w:keepNext/>
        <w:keepLines/>
        <w:spacing w:after="80" w:before="200"/>
      </w:pPr>
      <w:r>
        <w:rPr>
          <w:rFonts w:ascii="Calibri" w:cs="Calibri" w:eastAsia="Calibri" w:hAnsi="Calibri"/>
          <w:b/>
          <w:bCs/>
          <w:color w:val="1E3A5F"/>
          <w:sz w:val="18"/>
          <w:szCs w:val="18"/>
        </w:rPr>
        <w:t xml:space="preserve">Tabla 24. Resumen de control por dimensiones independientes (DOC-002 §5)</w:t>
      </w:r>
    </w:p>
    <w:tbl>
      <w:tblPr>
        <w:tblW w:type="dxa" w:w="9026"/>
        <w:tblBorders>
          <w:top w:val="none" w:color="auto" w:sz="0"/>
          <w:left w:val="none" w:color="auto" w:sz="0"/>
          <w:bottom w:val="none" w:color="auto" w:sz="0"/>
          <w:right w:val="none" w:color="auto" w:sz="0"/>
          <w:insideH w:val="none" w:color="auto" w:sz="0"/>
          <w:insideV w:val="none" w:color="auto" w:sz="0"/>
        </w:tblBorders>
      </w:tblPr>
      <w:tblGrid>
        <w:gridCol w:w="4541"/>
        <w:gridCol w:w="1121"/>
        <w:gridCol w:w="3364"/>
      </w:tblGrid>
      <w:tr>
        <w:trPr>
          <w:cantSplit/>
          <w:tblHeader/>
        </w:trPr>
        <w:tc>
          <w:tcPr>
            <w:tcW w:type="dxa" w:w="4541"/>
            <w:tcBorders>
              <w:top w:val="single" w:color="64748B" w:sz="8"/>
              <w:bottom w:val="single" w:color="94A3B8" w:sz="4"/>
            </w:tcBorders>
            <w:shd w:fill="EEF2F7" w:color="auto" w:val="clear"/>
            <w:tcMar>
              <w:top w:type="dxa" w:w="40"/>
              <w:left w:type="dxa" w:w="80"/>
              <w:bottom w:type="dxa" w:w="40"/>
              <w:right w:type="dxa" w:w="80"/>
            </w:tcMar>
          </w:tcPr>
          <w:p>
            <w:pPr>
              <w:jc w:val="left"/>
            </w:pPr>
            <w:r>
              <w:rPr>
                <w:rFonts w:ascii="Calibri" w:cs="Calibri" w:eastAsia="Calibri" w:hAnsi="Calibri"/>
                <w:b/>
                <w:bCs/>
                <w:color w:val="1E3A5F"/>
                <w:sz w:val="17"/>
                <w:szCs w:val="17"/>
              </w:rPr>
              <w:t xml:space="preserve">Dimensión</w:t>
            </w:r>
          </w:p>
        </w:tc>
        <w:tc>
          <w:tcPr>
            <w:tcW w:type="dxa" w:w="1121"/>
            <w:tcBorders>
              <w:top w:val="single" w:color="64748B" w:sz="8"/>
              <w:bottom w:val="single" w:color="94A3B8" w:sz="4"/>
            </w:tcBorders>
            <w:shd w:fill="EEF2F7" w:color="auto" w:val="clear"/>
            <w:tcMar>
              <w:top w:type="dxa" w:w="40"/>
              <w:left w:type="dxa" w:w="80"/>
              <w:bottom w:type="dxa" w:w="40"/>
              <w:right w:type="dxa" w:w="80"/>
            </w:tcMar>
          </w:tcPr>
          <w:p>
            <w:pPr>
              <w:jc w:val="left"/>
            </w:pPr>
            <w:r>
              <w:rPr>
                <w:rFonts w:ascii="Calibri" w:cs="Calibri" w:eastAsia="Calibri" w:hAnsi="Calibri"/>
                <w:b/>
                <w:bCs/>
                <w:color w:val="1E3A5F"/>
                <w:sz w:val="17"/>
                <w:szCs w:val="17"/>
              </w:rPr>
              <w:t xml:space="preserve">Estado</w:t>
            </w:r>
          </w:p>
        </w:tc>
        <w:tc>
          <w:tcPr>
            <w:tcW w:type="dxa" w:w="3364"/>
            <w:tcBorders>
              <w:top w:val="single" w:color="64748B" w:sz="8"/>
              <w:bottom w:val="single" w:color="94A3B8" w:sz="4"/>
            </w:tcBorders>
            <w:shd w:fill="EEF2F7" w:color="auto" w:val="clear"/>
            <w:tcMar>
              <w:top w:type="dxa" w:w="40"/>
              <w:left w:type="dxa" w:w="80"/>
              <w:bottom w:type="dxa" w:w="40"/>
              <w:right w:type="dxa" w:w="80"/>
            </w:tcMar>
          </w:tcPr>
          <w:p>
            <w:pPr>
              <w:jc w:val="left"/>
            </w:pPr>
            <w:r>
              <w:rPr>
                <w:rFonts w:ascii="Calibri" w:cs="Calibri" w:eastAsia="Calibri" w:hAnsi="Calibri"/>
                <w:b/>
                <w:bCs/>
                <w:color w:val="1E3A5F"/>
                <w:sz w:val="17"/>
                <w:szCs w:val="17"/>
              </w:rPr>
              <w:t xml:space="preserve">Detalle</w:t>
            </w:r>
          </w:p>
        </w:tc>
      </w:tr>
      <w:tr>
        <w:trPr>
          <w:cantSplit/>
        </w:trPr>
        <w:tc>
          <w:tcPr>
            <w:tcW w:type="dxa" w:w="4541"/>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Integridad aritmética</w:t>
            </w:r>
          </w:p>
        </w:tc>
        <w:tc>
          <w:tcPr>
            <w:tcW w:type="dxa" w:w="1121"/>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Correcto</w:t>
            </w:r>
          </w:p>
        </w:tc>
        <w:tc>
          <w:tcPr>
            <w:tcW w:type="dxa" w:w="3364"/>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Las reglas evalúan sin errores, la deuda reconcilia saldo a saldo, la depreciación no excede las bases y FCFF/FCFE cumplen la identidad algebraica.</w:t>
            </w:r>
          </w:p>
        </w:tc>
      </w:tr>
      <w:tr>
        <w:trPr>
          <w:cantSplit/>
        </w:trPr>
        <w:tc>
          <w:tcPr>
            <w:tcW w:type="dxa" w:w="4541"/>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Coherencia financiera y contable</w:t>
            </w:r>
          </w:p>
        </w:tc>
        <w:tc>
          <w:tcPr>
            <w:tcW w:type="dxa" w:w="1121"/>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Deficiente</w:t>
            </w:r>
          </w:p>
        </w:tc>
        <w:tc>
          <w:tcPr>
            <w:tcW w:type="dxa" w:w="3364"/>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Inversión 1.480,0 kUSD vs financiación comprometida 1.480,0 kUSD (conciliación total) y fuentes con desembolso en el año 0 1.480,0 kUSD (conciliación temporal, incluida en el informe); recuperación simple del proyecto 3,5 años; del capital aportado 3,2 años; capacidad verificada contra los recursos operativos.</w:t>
            </w:r>
          </w:p>
        </w:tc>
      </w:tr>
      <w:tr>
        <w:trPr>
          <w:cantSplit/>
        </w:trPr>
        <w:tc>
          <w:tcPr>
            <w:tcW w:type="dxa" w:w="4541"/>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Evidencia y trazabilidad de los supuestos</w:t>
            </w:r>
          </w:p>
        </w:tc>
        <w:tc>
          <w:tcPr>
            <w:tcW w:type="dxa" w:w="1121"/>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Deficiente</w:t>
            </w:r>
          </w:p>
        </w:tc>
        <w:tc>
          <w:tcPr>
            <w:tcW w:type="dxa" w:w="3364"/>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4 parámetro(s) de demostración sin validación normativa; 5 aportación(es) sin referencia documental IDENTIFICABLE (vacía o hipótesis); 0 con referencia declarada. Las referencias hipotéticas NO cuentan como fuentes validadas.</w:t>
            </w:r>
          </w:p>
        </w:tc>
      </w:tr>
      <w:tr>
        <w:trPr>
          <w:cantSplit/>
        </w:trPr>
        <w:tc>
          <w:tcPr>
            <w:tcW w:type="dxa" w:w="4541"/>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Cumplimiento de la estructura metodológica</w:t>
            </w:r>
          </w:p>
        </w:tc>
        <w:tc>
          <w:tcPr>
            <w:tcW w:type="dxa" w:w="1121"/>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Deficiente</w:t>
            </w:r>
          </w:p>
        </w:tc>
        <w:tc>
          <w:tcPr>
            <w:tcW w:type="dxa" w:w="3364"/>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Apartados 4.1–4.12 con 4 elemento(s) pendiente(s). Pendientes: 4.1, aportaciones. La completitud formal no equivale a validación de contenido.</w:t>
            </w:r>
          </w:p>
        </w:tc>
      </w:tr>
      <w:tr>
        <w:trPr>
          <w:cantSplit/>
        </w:trPr>
        <w:tc>
          <w:tcPr>
            <w:tcW w:type="dxa" w:w="4541"/>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Estado de validación normativa y comercial</w:t>
            </w:r>
          </w:p>
        </w:tc>
        <w:tc>
          <w:tcPr>
            <w:tcW w:type="dxa" w:w="1121"/>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Aceptable</w:t>
            </w:r>
          </w:p>
        </w:tc>
        <w:tc>
          <w:tcPr>
            <w:tcW w:type="dxa" w:w="3364"/>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La aplicación NO valida el cumplimiento legal, tributario, sanitario ni de mercado: la estructura documental no equivale a validación normativa. Los requisitos regulatorios declarados están LISTADOS, no VERIFICADOS: cada autorización exige evidencia externa comprobable (número, emisor, fecha). La demanda solvente y los precios requieren fuentes con fecha.</w:t>
            </w:r>
          </w:p>
        </w:tc>
      </w:tr>
      <w:tr>
        <w:trPr>
          <w:cantSplit/>
        </w:trPr>
        <w:tc>
          <w:tcPr>
            <w:tcW w:type="dxa" w:w="4541"/>
            <w:tcBorders>
              <w:bottom w:val="single" w:color="64748B" w:sz="8"/>
            </w:tcBorders>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Calidad documental</w:t>
            </w:r>
          </w:p>
        </w:tc>
        <w:tc>
          <w:tcPr>
            <w:tcW w:type="dxa" w:w="1121"/>
            <w:tcBorders>
              <w:bottom w:val="single" w:color="64748B" w:sz="8"/>
            </w:tcBorders>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Aceptable</w:t>
            </w:r>
          </w:p>
        </w:tc>
        <w:tc>
          <w:tcPr>
            <w:tcW w:type="dxa" w:w="3364"/>
            <w:tcBorders>
              <w:bottom w:val="single" w:color="64748B" w:sz="8"/>
            </w:tcBorders>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Observaciones de calidad: 6; 0 análisis editados por revisar frente al modelo; campos obligatorios pendientes en 4.1: 3.</w:t>
            </w:r>
          </w:p>
        </w:tc>
      </w:tr>
    </w:tbl>
    <w:p>
      <w:pPr>
        <w:pStyle w:val="NotaTabla"/>
        <w:keepNext/>
        <w:keepLines/>
        <w:spacing w:after="80" w:before="200"/>
      </w:pPr>
      <w:r>
        <w:rPr>
          <w:rFonts w:ascii="Calibri" w:cs="Calibri" w:eastAsia="Calibri" w:hAnsi="Calibri"/>
          <w:b/>
          <w:bCs/>
          <w:color w:val="1E3A5F"/>
          <w:sz w:val="18"/>
          <w:szCs w:val="18"/>
        </w:rPr>
        <w:t xml:space="preserve">Tabla 25. Conciliación del desembolso inicial (miles de USD; años 0 y 1 con el mismo significado en aportaciones, fuentes y flujos)</w:t>
      </w:r>
    </w:p>
    <w:tbl>
      <w:tblPr>
        <w:tblW w:type="dxa" w:w="9026"/>
        <w:tblBorders>
          <w:top w:val="none" w:color="auto" w:sz="0"/>
          <w:left w:val="none" w:color="auto" w:sz="0"/>
          <w:bottom w:val="none" w:color="auto" w:sz="0"/>
          <w:right w:val="none" w:color="auto" w:sz="0"/>
          <w:insideH w:val="none" w:color="auto" w:sz="0"/>
          <w:insideV w:val="none" w:color="auto" w:sz="0"/>
        </w:tblBorders>
      </w:tblPr>
      <w:tblGrid>
        <w:gridCol w:w="6447"/>
        <w:gridCol w:w="2579"/>
      </w:tblGrid>
      <w:tr>
        <w:trPr>
          <w:cantSplit/>
          <w:tblHeader/>
        </w:trPr>
        <w:tc>
          <w:tcPr>
            <w:tcW w:type="dxa" w:w="6447"/>
            <w:tcBorders>
              <w:top w:val="single" w:color="64748B" w:sz="8"/>
              <w:bottom w:val="single" w:color="94A3B8" w:sz="4"/>
            </w:tcBorders>
            <w:shd w:fill="EEF2F7" w:color="auto" w:val="clear"/>
            <w:tcMar>
              <w:top w:type="dxa" w:w="40"/>
              <w:left w:type="dxa" w:w="80"/>
              <w:bottom w:type="dxa" w:w="40"/>
              <w:right w:type="dxa" w:w="80"/>
            </w:tcMar>
          </w:tcPr>
          <w:p>
            <w:pPr>
              <w:jc w:val="left"/>
            </w:pPr>
            <w:r>
              <w:rPr>
                <w:rFonts w:ascii="Calibri" w:cs="Calibri" w:eastAsia="Calibri" w:hAnsi="Calibri"/>
                <w:b/>
                <w:bCs/>
                <w:color w:val="1E3A5F"/>
                <w:sz w:val="17"/>
                <w:szCs w:val="17"/>
              </w:rPr>
              <w:t xml:space="preserve">Concepto</w:t>
            </w:r>
          </w:p>
        </w:tc>
        <w:tc>
          <w:tcPr>
            <w:tcW w:type="dxa" w:w="2579"/>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7"/>
                <w:szCs w:val="17"/>
              </w:rPr>
              <w:t xml:space="preserve">Monto (kUSD)</w:t>
            </w:r>
          </w:p>
        </w:tc>
      </w:tr>
      <w:tr>
        <w:trPr>
          <w:cantSplit/>
        </w:trPr>
        <w:tc>
          <w:tcPr>
            <w:tcW w:type="dxa" w:w="6447"/>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Inversión total (incluye el capital de trabajo: no se duplica)</w:t>
            </w:r>
          </w:p>
        </w:tc>
        <w:tc>
          <w:tcPr>
            <w:tcW w:type="dxa" w:w="2579"/>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1.480,0</w:t>
            </w:r>
          </w:p>
        </w:tc>
      </w:tr>
      <w:tr>
        <w:trPr>
          <w:cantSplit/>
        </w:trPr>
        <w:tc>
          <w:tcPr>
            <w:tcW w:type="dxa" w:w="6447"/>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Nómina de montaje del año 0 (regla «costo_laboral_k»: gasto del período, no capitalizable)</w:t>
            </w:r>
          </w:p>
        </w:tc>
        <w:tc>
          <w:tcPr>
            <w:tcW w:type="dxa" w:w="2579"/>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0,8</w:t>
            </w:r>
          </w:p>
        </w:tc>
      </w:tr>
      <w:tr>
        <w:trPr>
          <w:cantSplit/>
        </w:trPr>
        <w:tc>
          <w:tcPr>
            <w:tcW w:type="dxa" w:w="6447"/>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Interés PAGADO del año 0 según el calendario de deuda (lo capitalizado no es salida de caja)</w:t>
            </w:r>
          </w:p>
        </w:tc>
        <w:tc>
          <w:tcPr>
            <w:tcW w:type="dxa" w:w="2579"/>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0,0</w:t>
            </w:r>
          </w:p>
        </w:tc>
      </w:tr>
      <w:tr>
        <w:trPr>
          <w:cantSplit/>
        </w:trPr>
        <w:tc>
          <w:tcPr>
            <w:tcW w:type="dxa" w:w="6447"/>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Impuesto sobre utilidades DEVENGADO del año 0 (regla contable; supuesto del modelo simplificado: pagado en el mismo período — no es un pago verificado)</w:t>
            </w:r>
          </w:p>
        </w:tc>
        <w:tc>
          <w:tcPr>
            <w:tcW w:type="dxa" w:w="2579"/>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0,0</w:t>
            </w:r>
          </w:p>
        </w:tc>
      </w:tr>
      <w:tr>
        <w:trPr>
          <w:cantSplit/>
        </w:trPr>
        <w:tc>
          <w:tcPr>
            <w:tcW w:type="dxa" w:w="6447"/>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Menos: ingresos explícitos del año 0</w:t>
            </w:r>
          </w:p>
        </w:tc>
        <w:tc>
          <w:tcPr>
            <w:tcW w:type="dxa" w:w="2579"/>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0,0</w:t>
            </w:r>
          </w:p>
        </w:tc>
      </w:tr>
      <w:tr>
        <w:trPr>
          <w:cantSplit/>
        </w:trPr>
        <w:tc>
          <w:tcPr>
            <w:tcW w:type="dxa" w:w="6447"/>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Salidas netas de caja del año 0 explícitamente identificadas</w:t>
            </w:r>
          </w:p>
        </w:tc>
        <w:tc>
          <w:tcPr>
            <w:tcW w:type="dxa" w:w="2579"/>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0,8</w:t>
            </w:r>
          </w:p>
        </w:tc>
      </w:tr>
      <w:tr>
        <w:trPr>
          <w:cantSplit/>
        </w:trPr>
        <w:tc>
          <w:tcPr>
            <w:tcW w:type="dxa" w:w="6447"/>
            <w:tcBorders>
              <w:top w:val="single" w:color="94A3B8" w:sz="4"/>
            </w:tcBorders>
            <w:tcMar>
              <w:top w:type="dxa" w:w="40"/>
              <w:left w:type="dxa" w:w="80"/>
              <w:bottom w:type="dxa" w:w="40"/>
              <w:right w:type="dxa" w:w="80"/>
            </w:tcMar>
          </w:tcPr>
          <w:p>
            <w:pPr>
              <w:jc w:val="left"/>
            </w:pPr>
            <w:r>
              <w:rPr>
                <w:rFonts w:ascii="Calibri" w:cs="Calibri" w:eastAsia="Calibri" w:hAnsi="Calibri"/>
                <w:b/>
                <w:bCs/>
                <w:color w:val="334155"/>
                <w:sz w:val="17"/>
                <w:szCs w:val="17"/>
              </w:rPr>
              <w:t xml:space="preserve">Necesidad total de arranque (inversión total + salidas netas del año 0)</w:t>
            </w:r>
          </w:p>
        </w:tc>
        <w:tc>
          <w:tcPr>
            <w:tcW w:type="dxa" w:w="2579"/>
            <w:tcBorders>
              <w:top w:val="single" w:color="94A3B8" w:sz="4"/>
            </w:tcBorders>
            <w:tcMar>
              <w:top w:type="dxa" w:w="40"/>
              <w:left w:type="dxa" w:w="80"/>
              <w:bottom w:type="dxa" w:w="40"/>
              <w:right w:type="dxa" w:w="80"/>
            </w:tcMar>
          </w:tcPr>
          <w:p>
            <w:pPr>
              <w:jc w:val="right"/>
            </w:pPr>
            <w:r>
              <w:rPr>
                <w:rFonts w:ascii="Calibri" w:cs="Calibri" w:eastAsia="Calibri" w:hAnsi="Calibri"/>
                <w:b/>
                <w:bCs/>
                <w:color w:val="334155"/>
                <w:sz w:val="17"/>
                <w:szCs w:val="17"/>
              </w:rPr>
              <w:t xml:space="preserve">1.480,8</w:t>
            </w:r>
          </w:p>
        </w:tc>
      </w:tr>
      <w:tr>
        <w:trPr>
          <w:cantSplit/>
        </w:trPr>
        <w:tc>
          <w:tcPr>
            <w:tcW w:type="dxa" w:w="6447"/>
            <w:tcBorders>
              <w:top w:val="single" w:color="94A3B8" w:sz="4"/>
            </w:tcBorders>
            <w:tcMar>
              <w:top w:type="dxa" w:w="40"/>
              <w:left w:type="dxa" w:w="80"/>
              <w:bottom w:type="dxa" w:w="40"/>
              <w:right w:type="dxa" w:w="80"/>
            </w:tcMar>
          </w:tcPr>
          <w:p>
            <w:pPr>
              <w:jc w:val="left"/>
            </w:pPr>
            <w:r>
              <w:rPr>
                <w:rFonts w:ascii="Calibri" w:cs="Calibri" w:eastAsia="Calibri" w:hAnsi="Calibri"/>
                <w:b/>
                <w:bCs/>
                <w:color w:val="334155"/>
                <w:sz w:val="17"/>
                <w:szCs w:val="17"/>
              </w:rPr>
              <w:t xml:space="preserve">Fuentes con desembolso EFECTIVO en el año 0 (aportaciones del año 0 + otras fuentes + principal del crédito desembolsado en el año 0)</w:t>
            </w:r>
          </w:p>
        </w:tc>
        <w:tc>
          <w:tcPr>
            <w:tcW w:type="dxa" w:w="2579"/>
            <w:tcBorders>
              <w:top w:val="single" w:color="94A3B8" w:sz="4"/>
            </w:tcBorders>
            <w:tcMar>
              <w:top w:type="dxa" w:w="40"/>
              <w:left w:type="dxa" w:w="80"/>
              <w:bottom w:type="dxa" w:w="40"/>
              <w:right w:type="dxa" w:w="80"/>
            </w:tcMar>
          </w:tcPr>
          <w:p>
            <w:pPr>
              <w:jc w:val="right"/>
            </w:pPr>
            <w:r>
              <w:rPr>
                <w:rFonts w:ascii="Calibri" w:cs="Calibri" w:eastAsia="Calibri" w:hAnsi="Calibri"/>
                <w:b/>
                <w:bCs/>
                <w:color w:val="334155"/>
                <w:sz w:val="17"/>
                <w:szCs w:val="17"/>
              </w:rPr>
              <w:t xml:space="preserve">1.480,0</w:t>
            </w:r>
          </w:p>
        </w:tc>
      </w:tr>
      <w:tr>
        <w:trPr>
          <w:cantSplit/>
        </w:trPr>
        <w:tc>
          <w:tcPr>
            <w:tcW w:type="dxa" w:w="6447"/>
            <w:tcBorders>
              <w:top w:val="single" w:color="94A3B8" w:sz="4"/>
            </w:tcBorders>
            <w:tcMar>
              <w:top w:type="dxa" w:w="40"/>
              <w:left w:type="dxa" w:w="80"/>
              <w:bottom w:type="dxa" w:w="40"/>
              <w:right w:type="dxa" w:w="80"/>
            </w:tcMar>
          </w:tcPr>
          <w:p>
            <w:pPr>
              <w:jc w:val="left"/>
            </w:pPr>
            <w:r>
              <w:rPr>
                <w:rFonts w:ascii="Calibri" w:cs="Calibri" w:eastAsia="Calibri" w:hAnsi="Calibri"/>
                <w:b/>
                <w:bCs/>
                <w:color w:val="334155"/>
                <w:sz w:val="17"/>
                <w:szCs w:val="17"/>
              </w:rPr>
              <w:t xml:space="preserve">BRECHA TEMPORAL del arranque (fuentes del año 0 - necesidad total)</w:t>
            </w:r>
          </w:p>
        </w:tc>
        <w:tc>
          <w:tcPr>
            <w:tcW w:type="dxa" w:w="2579"/>
            <w:tcBorders>
              <w:top w:val="single" w:color="94A3B8" w:sz="4"/>
            </w:tcBorders>
            <w:tcMar>
              <w:top w:type="dxa" w:w="40"/>
              <w:left w:type="dxa" w:w="80"/>
              <w:bottom w:type="dxa" w:w="40"/>
              <w:right w:type="dxa" w:w="80"/>
            </w:tcMar>
          </w:tcPr>
          <w:p>
            <w:pPr>
              <w:jc w:val="right"/>
            </w:pPr>
            <w:r>
              <w:rPr>
                <w:rFonts w:ascii="Calibri" w:cs="Calibri" w:eastAsia="Calibri" w:hAnsi="Calibri"/>
                <w:b/>
                <w:bCs/>
                <w:color w:val="334155"/>
                <w:sz w:val="17"/>
                <w:szCs w:val="17"/>
              </w:rPr>
              <w:t xml:space="preserve">-0,8</w:t>
            </w:r>
          </w:p>
        </w:tc>
      </w:tr>
      <w:tr>
        <w:trPr>
          <w:cantSplit/>
        </w:trPr>
        <w:tc>
          <w:tcPr>
            <w:tcW w:type="dxa" w:w="6447"/>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Referencia: financiación COMPROMETIDA para todo el proyecto (conciliación total)</w:t>
            </w:r>
          </w:p>
        </w:tc>
        <w:tc>
          <w:tcPr>
            <w:tcW w:type="dxa" w:w="2579"/>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1.480,0</w:t>
            </w:r>
          </w:p>
        </w:tc>
      </w:tr>
      <w:tr>
        <w:trPr>
          <w:cantSplit/>
        </w:trPr>
        <w:tc>
          <w:tcPr>
            <w:tcW w:type="dxa" w:w="6447"/>
            <w:tcBorders>
              <w:bottom w:val="single" w:color="64748B" w:sz="8"/>
            </w:tcBorders>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Referencia: brecha según el total nominal comprometido</w:t>
            </w:r>
          </w:p>
        </w:tc>
        <w:tc>
          <w:tcPr>
            <w:tcW w:type="dxa" w:w="2579"/>
            <w:tcBorders>
              <w:bottom w:val="single" w:color="64748B" w:sz="8"/>
            </w:tcBorders>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-0,8</w:t>
            </w:r>
          </w:p>
        </w:tc>
      </w:tr>
    </w:tbl>
    <w:p>
      <w:pPr>
        <w:pStyle w:val="NotaTexto"/>
        <w:spacing w:after="160" w:before="40"/>
      </w:pPr>
      <w:r>
        <w:rPr>
          <w:rFonts w:ascii="Calibri" w:cs="Calibri" w:eastAsia="Calibri" w:hAnsi="Calibri"/>
          <w:i/>
          <w:iCs/>
          <w:color w:val="64748B"/>
          <w:sz w:val="15"/>
          <w:szCs w:val="15"/>
        </w:rPr>
        <w:t xml:space="preserve">Nota. Devengado &lt;&gt; pagado: el impuesto del año 0 es una regla contable con supuesto de pago simultáneo (no un pago verificado); el interés capitalizado no es salida de caja. Las partidas se inventarían una a una en la tabla siguiente.</w:t>
      </w:r>
    </w:p>
    <w:p>
      <w:pPr>
        <w:pStyle w:val="NotaTexto"/>
        <w:spacing w:after="60" w:before="60" w:line="276"/>
        <w:jc w:val="both"/>
      </w:pPr>
      <w:r>
        <w:rPr>
          <w:rFonts w:ascii="Calibri" w:cs="Calibri" w:eastAsia="Calibri" w:hAnsi="Calibri"/>
          <w:color w:val="334155"/>
          <w:sz w:val="16"/>
          <w:szCs w:val="16"/>
        </w:rPr>
        <w:t xml:space="preserve">La brecha del arranque se cuantifica desde partidas de salida de caja del año 0 explícitamente identificadas e inventariadas como no capitalizables y no incluidas en la inversión total; NO se deduce del resultado contable después de impuestos del año 0, que puede contener pérdidas no monetarias (depreciación), intereses devengados capitalizados (no pagados) u otros efectos que no representan caja. La brecha TEMPORAL se mide contra las fuentes con desembolso efectivo en el año 0: unas aportaciones o un crédito que entran en años posteriores no pueden financiar las necesidades del arranque, aunque la conciliación total del horizonte cuadre.</w:t>
      </w:r>
    </w:p>
    <w:p>
      <w:pPr>
        <w:pStyle w:val="NotaTabla"/>
        <w:keepNext/>
        <w:keepLines/>
        <w:spacing w:after="80" w:before="200"/>
      </w:pPr>
      <w:r>
        <w:rPr>
          <w:rFonts w:ascii="Calibri" w:cs="Calibri" w:eastAsia="Calibri" w:hAnsi="Calibri"/>
          <w:b/>
          <w:bCs/>
          <w:color w:val="1E3A5F"/>
          <w:sz w:val="18"/>
          <w:szCs w:val="18"/>
        </w:rPr>
        <w:t xml:space="preserve">Tabla 26. Inventario de partidas de caja del año 0 (miles de USD; período = año 0 de montaje; mecanismo trazable con barrido de reglas de gasto)</w:t>
      </w:r>
    </w:p>
    <w:tbl>
      <w:tblPr>
        <w:tblW w:type="dxa" w:w="9026"/>
        <w:tblBorders>
          <w:top w:val="none" w:color="auto" w:sz="0"/>
          <w:left w:val="none" w:color="auto" w:sz="0"/>
          <w:bottom w:val="none" w:color="auto" w:sz="0"/>
          <w:right w:val="none" w:color="auto" w:sz="0"/>
          <w:insideH w:val="none" w:color="auto" w:sz="0"/>
          <w:insideV w:val="none" w:color="auto" w:sz="0"/>
        </w:tblBorders>
      </w:tblPr>
      <w:tblGrid>
        <w:gridCol w:w="2583"/>
        <w:gridCol w:w="765"/>
        <w:gridCol w:w="1595"/>
        <w:gridCol w:w="1914"/>
        <w:gridCol w:w="2169"/>
      </w:tblGrid>
      <w:tr>
        <w:trPr>
          <w:cantSplit/>
          <w:tblHeader/>
        </w:trPr>
        <w:tc>
          <w:tcPr>
            <w:tcW w:type="dxa" w:w="2583"/>
            <w:tcBorders>
              <w:top w:val="single" w:color="64748B" w:sz="8"/>
              <w:bottom w:val="single" w:color="94A3B8" w:sz="4"/>
            </w:tcBorders>
            <w:shd w:fill="EEF2F7" w:color="auto" w:val="clear"/>
            <w:tcMar>
              <w:top w:type="dxa" w:w="40"/>
              <w:left w:type="dxa" w:w="80"/>
              <w:bottom w:type="dxa" w:w="40"/>
              <w:right w:type="dxa" w:w="80"/>
            </w:tcMar>
          </w:tcPr>
          <w:p>
            <w:pPr>
              <w:jc w:val="left"/>
            </w:pPr>
            <w:r>
              <w:rPr>
                <w:rFonts w:ascii="Calibri" w:cs="Calibri" w:eastAsia="Calibri" w:hAnsi="Calibri"/>
                <w:b/>
                <w:bCs/>
                <w:color w:val="1E3A5F"/>
                <w:sz w:val="17"/>
                <w:szCs w:val="17"/>
              </w:rPr>
              <w:t xml:space="preserve">Partida</w:t>
            </w:r>
          </w:p>
        </w:tc>
        <w:tc>
          <w:tcPr>
            <w:tcW w:type="dxa" w:w="765"/>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7"/>
                <w:szCs w:val="17"/>
              </w:rPr>
              <w:t xml:space="preserve">Monto (kUSD)</w:t>
            </w:r>
          </w:p>
        </w:tc>
        <w:tc>
          <w:tcPr>
            <w:tcW w:type="dxa" w:w="1595"/>
            <w:tcBorders>
              <w:top w:val="single" w:color="64748B" w:sz="8"/>
              <w:bottom w:val="single" w:color="94A3B8" w:sz="4"/>
            </w:tcBorders>
            <w:shd w:fill="EEF2F7" w:color="auto" w:val="clear"/>
            <w:tcMar>
              <w:top w:type="dxa" w:w="40"/>
              <w:left w:type="dxa" w:w="80"/>
              <w:bottom w:type="dxa" w:w="40"/>
              <w:right w:type="dxa" w:w="80"/>
            </w:tcMar>
          </w:tcPr>
          <w:p>
            <w:pPr>
              <w:jc w:val="left"/>
            </w:pPr>
            <w:r>
              <w:rPr>
                <w:rFonts w:ascii="Calibri" w:cs="Calibri" w:eastAsia="Calibri" w:hAnsi="Calibri"/>
                <w:b/>
                <w:bCs/>
                <w:color w:val="1E3A5F"/>
                <w:sz w:val="17"/>
                <w:szCs w:val="17"/>
              </w:rPr>
              <w:t xml:space="preserve">¿Computa en la necesidad?</w:t>
            </w:r>
          </w:p>
        </w:tc>
        <w:tc>
          <w:tcPr>
            <w:tcW w:type="dxa" w:w="1914"/>
            <w:tcBorders>
              <w:top w:val="single" w:color="64748B" w:sz="8"/>
              <w:bottom w:val="single" w:color="94A3B8" w:sz="4"/>
            </w:tcBorders>
            <w:shd w:fill="EEF2F7" w:color="auto" w:val="clear"/>
            <w:tcMar>
              <w:top w:type="dxa" w:w="40"/>
              <w:left w:type="dxa" w:w="80"/>
              <w:bottom w:type="dxa" w:w="40"/>
              <w:right w:type="dxa" w:w="80"/>
            </w:tcMar>
          </w:tcPr>
          <w:p>
            <w:pPr>
              <w:jc w:val="left"/>
            </w:pPr>
            <w:r>
              <w:rPr>
                <w:rFonts w:ascii="Calibri" w:cs="Calibri" w:eastAsia="Calibri" w:hAnsi="Calibri"/>
                <w:b/>
                <w:bCs/>
                <w:color w:val="1E3A5F"/>
                <w:sz w:val="17"/>
                <w:szCs w:val="17"/>
              </w:rPr>
              <w:t xml:space="preserve">Estado de pago</w:t>
            </w:r>
          </w:p>
        </w:tc>
        <w:tc>
          <w:tcPr>
            <w:tcW w:type="dxa" w:w="2169"/>
            <w:tcBorders>
              <w:top w:val="single" w:color="64748B" w:sz="8"/>
              <w:bottom w:val="single" w:color="94A3B8" w:sz="4"/>
            </w:tcBorders>
            <w:shd w:fill="EEF2F7" w:color="auto" w:val="clear"/>
            <w:tcMar>
              <w:top w:type="dxa" w:w="40"/>
              <w:left w:type="dxa" w:w="80"/>
              <w:bottom w:type="dxa" w:w="40"/>
              <w:right w:type="dxa" w:w="80"/>
            </w:tcMar>
          </w:tcPr>
          <w:p>
            <w:pPr>
              <w:jc w:val="left"/>
            </w:pPr>
            <w:r>
              <w:rPr>
                <w:rFonts w:ascii="Calibri" w:cs="Calibri" w:eastAsia="Calibri" w:hAnsi="Calibri"/>
                <w:b/>
                <w:bCs/>
                <w:color w:val="1E3A5F"/>
                <w:sz w:val="17"/>
                <w:szCs w:val="17"/>
              </w:rPr>
              <w:t xml:space="preserve">Tratamiento dentro de la inversión</w:t>
            </w:r>
          </w:p>
        </w:tc>
      </w:tr>
      <w:tr>
        <w:trPr>
          <w:cantSplit/>
        </w:trPr>
        <w:tc>
          <w:tcPr>
            <w:tcW w:type="dxa" w:w="258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Nómina de montaje del año 0</w:t>
            </w:r>
          </w:p>
        </w:tc>
        <w:tc>
          <w:tcPr>
            <w:tcW w:type="dxa" w:w="765"/>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0,8</w:t>
            </w:r>
          </w:p>
        </w:tc>
        <w:tc>
          <w:tcPr>
            <w:tcW w:type="dxa" w:w="1595"/>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SÍ</w:t>
            </w:r>
          </w:p>
        </w:tc>
        <w:tc>
          <w:tcPr>
            <w:tcW w:type="dxa" w:w="1914"/>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pagadera en el año 0 (nómina de la fase de montaje)</w:t>
            </w:r>
          </w:p>
        </w:tc>
        <w:tc>
          <w:tcPr>
            <w:tcW w:type="dxa" w:w="2169"/>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Gasto del período NO capitalizable y NO incluido en la inversión total: financia con caja del arranque. No es gasto previo capitalizable ni duplica el capital de trabajo.</w:t>
            </w:r>
          </w:p>
        </w:tc>
      </w:tr>
      <w:tr>
        <w:trPr>
          <w:cantSplit/>
        </w:trPr>
        <w:tc>
          <w:tcPr>
            <w:tcW w:type="dxa" w:w="258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Interés PAGADO del año 0</w:t>
            </w:r>
          </w:p>
        </w:tc>
        <w:tc>
          <w:tcPr>
            <w:tcW w:type="dxa" w:w="765"/>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0,0</w:t>
            </w:r>
          </w:p>
        </w:tc>
        <w:tc>
          <w:tcPr>
            <w:tcW w:type="dxa" w:w="1595"/>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no</w:t>
            </w:r>
          </w:p>
        </w:tc>
        <w:tc>
          <w:tcPr>
            <w:tcW w:type="dxa" w:w="1914"/>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pagado en el año 0 según el calendario de deuda</w:t>
            </w:r>
          </w:p>
        </w:tc>
        <w:tc>
          <w:tcPr>
            <w:tcW w:type="dxa" w:w="2169"/>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Servicio corriente de la deuda: salida de caja del arranque, no capitalizable. Solo computa si el calendario lo sitúa en el año 0.</w:t>
            </w:r>
          </w:p>
        </w:tc>
      </w:tr>
      <w:tr>
        <w:trPr>
          <w:cantSplit/>
        </w:trPr>
        <w:tc>
          <w:tcPr>
            <w:tcW w:type="dxa" w:w="258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Impuesto sobre utilidades DEVENGADO del año 0</w:t>
            </w:r>
          </w:p>
        </w:tc>
        <w:tc>
          <w:tcPr>
            <w:tcW w:type="dxa" w:w="765"/>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0,0</w:t>
            </w:r>
          </w:p>
        </w:tc>
        <w:tc>
          <w:tcPr>
            <w:tcW w:type="dxa" w:w="1595"/>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no</w:t>
            </w:r>
          </w:p>
        </w:tc>
        <w:tc>
          <w:tcPr>
            <w:tcW w:type="dxa" w:w="1914"/>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DEVENGADO según la regla contable; SUPUESTO del modelo simplificado: pagado en el mismo período (NO es un pago verificado: no existe calendario de pagos tributario)</w:t>
            </w:r>
          </w:p>
        </w:tc>
        <w:tc>
          <w:tcPr>
            <w:tcW w:type="dxa" w:w="2169"/>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Valor de una regla contable, no un pago observado. Con pérdidas de montaje la regla plana devuelve cero. Documentar el supuesto y su diferencia frente a un calendario tributario real.</w:t>
            </w:r>
          </w:p>
        </w:tc>
      </w:tr>
      <w:tr>
        <w:trPr>
          <w:cantSplit/>
        </w:trPr>
        <w:tc>
          <w:tcPr>
            <w:tcW w:type="dxa" w:w="2583"/>
            <w:tcBorders>
              <w:bottom w:val="single" w:color="64748B" w:sz="8"/>
            </w:tcBorders>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Ingresos explícitos del año 0</w:t>
            </w:r>
          </w:p>
        </w:tc>
        <w:tc>
          <w:tcPr>
            <w:tcW w:type="dxa" w:w="765"/>
            <w:tcBorders>
              <w:bottom w:val="single" w:color="64748B" w:sz="8"/>
            </w:tcBorders>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0,0</w:t>
            </w:r>
          </w:p>
        </w:tc>
        <w:tc>
          <w:tcPr>
            <w:tcW w:type="dxa" w:w="1595"/>
            <w:tcBorders>
              <w:bottom w:val="single" w:color="64748B" w:sz="8"/>
            </w:tcBorders>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no</w:t>
            </w:r>
          </w:p>
        </w:tc>
        <w:tc>
          <w:tcPr>
            <w:tcW w:type="dxa" w:w="1914"/>
            <w:tcBorders>
              <w:bottom w:val="single" w:color="64748B" w:sz="8"/>
            </w:tcBorders>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cobro supuesto en el mismo período</w:t>
            </w:r>
          </w:p>
        </w:tc>
        <w:tc>
          <w:tcPr>
            <w:tcW w:type="dxa" w:w="2169"/>
            <w:tcBorders>
              <w:bottom w:val="single" w:color="64748B" w:sz="8"/>
            </w:tcBorders>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Reduce la necesidad de caja del arranque. No incluye ingresos de servicios de operación (año 0 = montaje sin servicios).</w:t>
            </w:r>
          </w:p>
        </w:tc>
      </w:tr>
    </w:tbl>
    <w:p>
      <w:pPr>
        <w:pStyle w:val="NotaTabla"/>
        <w:keepNext/>
        <w:keepLines/>
        <w:spacing w:after="80" w:before="200"/>
      </w:pPr>
      <w:r>
        <w:rPr>
          <w:rFonts w:ascii="Calibri" w:cs="Calibri" w:eastAsia="Calibri" w:hAnsi="Calibri"/>
          <w:b/>
          <w:bCs/>
          <w:color w:val="1E3A5F"/>
          <w:sz w:val="18"/>
          <w:szCs w:val="18"/>
        </w:rPr>
        <w:t xml:space="preserve">Tabla 27. Hallazgos del diagnóstico</w:t>
      </w:r>
    </w:p>
    <w:tbl>
      <w:tblPr>
        <w:tblW w:type="dxa" w:w="9026"/>
        <w:tblBorders>
          <w:top w:val="none" w:color="auto" w:sz="0"/>
          <w:left w:val="none" w:color="auto" w:sz="0"/>
          <w:bottom w:val="none" w:color="auto" w:sz="0"/>
          <w:right w:val="none" w:color="auto" w:sz="0"/>
          <w:insideH w:val="none" w:color="auto" w:sz="0"/>
          <w:insideV w:val="none" w:color="auto" w:sz="0"/>
        </w:tblBorders>
      </w:tblPr>
      <w:tblGrid>
        <w:gridCol w:w="2422"/>
        <w:gridCol w:w="2446"/>
        <w:gridCol w:w="2446"/>
        <w:gridCol w:w="1712"/>
      </w:tblGrid>
      <w:tr>
        <w:trPr>
          <w:cantSplit/>
          <w:tblHeader/>
        </w:trPr>
        <w:tc>
          <w:tcPr>
            <w:tcW w:type="dxa" w:w="2422"/>
            <w:tcBorders>
              <w:top w:val="single" w:color="64748B" w:sz="8"/>
              <w:bottom w:val="single" w:color="94A3B8" w:sz="4"/>
            </w:tcBorders>
            <w:shd w:fill="EEF2F7" w:color="auto" w:val="clear"/>
            <w:tcMar>
              <w:top w:type="dxa" w:w="40"/>
              <w:left w:type="dxa" w:w="80"/>
              <w:bottom w:type="dxa" w:w="40"/>
              <w:right w:type="dxa" w:w="80"/>
            </w:tcMar>
          </w:tcPr>
          <w:p>
            <w:pPr>
              <w:jc w:val="left"/>
            </w:pPr>
            <w:r>
              <w:rPr>
                <w:rFonts w:ascii="Calibri" w:cs="Calibri" w:eastAsia="Calibri" w:hAnsi="Calibri"/>
                <w:b/>
                <w:bCs/>
                <w:color w:val="1E3A5F"/>
                <w:sz w:val="17"/>
                <w:szCs w:val="17"/>
              </w:rPr>
              <w:t xml:space="preserve">Nivel</w:t>
            </w:r>
          </w:p>
        </w:tc>
        <w:tc>
          <w:tcPr>
            <w:tcW w:type="dxa" w:w="2446"/>
            <w:tcBorders>
              <w:top w:val="single" w:color="64748B" w:sz="8"/>
              <w:bottom w:val="single" w:color="94A3B8" w:sz="4"/>
            </w:tcBorders>
            <w:shd w:fill="EEF2F7" w:color="auto" w:val="clear"/>
            <w:tcMar>
              <w:top w:type="dxa" w:w="40"/>
              <w:left w:type="dxa" w:w="80"/>
              <w:bottom w:type="dxa" w:w="40"/>
              <w:right w:type="dxa" w:w="80"/>
            </w:tcMar>
          </w:tcPr>
          <w:p>
            <w:pPr>
              <w:jc w:val="left"/>
            </w:pPr>
            <w:r>
              <w:rPr>
                <w:rFonts w:ascii="Calibri" w:cs="Calibri" w:eastAsia="Calibri" w:hAnsi="Calibri"/>
                <w:b/>
                <w:bCs/>
                <w:color w:val="1E3A5F"/>
                <w:sz w:val="17"/>
                <w:szCs w:val="17"/>
              </w:rPr>
              <w:t xml:space="preserve">Código</w:t>
            </w:r>
          </w:p>
        </w:tc>
        <w:tc>
          <w:tcPr>
            <w:tcW w:type="dxa" w:w="2446"/>
            <w:tcBorders>
              <w:top w:val="single" w:color="64748B" w:sz="8"/>
              <w:bottom w:val="single" w:color="94A3B8" w:sz="4"/>
            </w:tcBorders>
            <w:shd w:fill="EEF2F7" w:color="auto" w:val="clear"/>
            <w:tcMar>
              <w:top w:type="dxa" w:w="40"/>
              <w:left w:type="dxa" w:w="80"/>
              <w:bottom w:type="dxa" w:w="40"/>
              <w:right w:type="dxa" w:w="80"/>
            </w:tcMar>
          </w:tcPr>
          <w:p>
            <w:pPr>
              <w:jc w:val="left"/>
            </w:pPr>
            <w:r>
              <w:rPr>
                <w:rFonts w:ascii="Calibri" w:cs="Calibri" w:eastAsia="Calibri" w:hAnsi="Calibri"/>
                <w:b/>
                <w:bCs/>
                <w:color w:val="1E3A5F"/>
                <w:sz w:val="17"/>
                <w:szCs w:val="17"/>
              </w:rPr>
              <w:t xml:space="preserve">Hallazgo</w:t>
            </w:r>
          </w:p>
        </w:tc>
        <w:tc>
          <w:tcPr>
            <w:tcW w:type="dxa" w:w="1712"/>
            <w:tcBorders>
              <w:top w:val="single" w:color="64748B" w:sz="8"/>
              <w:bottom w:val="single" w:color="94A3B8" w:sz="4"/>
            </w:tcBorders>
            <w:shd w:fill="EEF2F7" w:color="auto" w:val="clear"/>
            <w:tcMar>
              <w:top w:type="dxa" w:w="40"/>
              <w:left w:type="dxa" w:w="80"/>
              <w:bottom w:type="dxa" w:w="40"/>
              <w:right w:type="dxa" w:w="80"/>
            </w:tcMar>
          </w:tcPr>
          <w:p>
            <w:pPr>
              <w:jc w:val="left"/>
            </w:pPr>
            <w:r>
              <w:rPr>
                <w:rFonts w:ascii="Calibri" w:cs="Calibri" w:eastAsia="Calibri" w:hAnsi="Calibri"/>
                <w:b/>
                <w:bCs/>
                <w:color w:val="1E3A5F"/>
                <w:sz w:val="17"/>
                <w:szCs w:val="17"/>
              </w:rPr>
              <w:t xml:space="preserve">¿Afecta conclusiones?</w:t>
            </w:r>
          </w:p>
        </w:tc>
      </w:tr>
      <w:tr>
        <w:trPr>
          <w:cantSplit/>
        </w:trPr>
        <w:tc>
          <w:tcPr>
            <w:tcW w:type="dxa" w:w="2422"/>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advertencia_importante</w:t>
            </w:r>
          </w:p>
        </w:tc>
        <w:tc>
          <w:tcPr>
            <w:tcW w:type="dxa" w:w="2446"/>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FINANCIACION_ANO0</w:t>
            </w:r>
          </w:p>
        </w:tc>
        <w:tc>
          <w:tcPr>
            <w:tcW w:type="dxa" w:w="2446"/>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Arranque del año 0 — salidas de caja explícitas no capitalizables y NO incluidas en la inversión total (nómina de montaje 0,8: total 0,8 kUSD) — queda SIN cobertura temporal: la necesidad total del arranque (inversión 1.480,0 + salidas netas del año 0 = 1.480,8 kUSD) excede las fuentes con desembolso efectivo en el año 0 (1.480,0 kUSD) en 0,8 kUSD. La financiación comprometida total (1.480,0 kUSD) tampoco cubre la necesidad total (1.480,8 kUSD): brecha nominal de 0,8 kUSD. Financie esa brecha (mayor capital de trabajo, aporte anticipado o crédito con desembolso en el año 0) o declárela expresamente como supuesto pendiente. El gasto NO se deduce del resultado contable después de impuestos del año 0.</w:t>
            </w:r>
          </w:p>
        </w:tc>
        <w:tc>
          <w:tcPr>
            <w:tcW w:type="dxa" w:w="1712"/>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SÍ</w:t>
            </w:r>
          </w:p>
        </w:tc>
      </w:tr>
      <w:tr>
        <w:trPr>
          <w:cantSplit/>
        </w:trPr>
        <w:tc>
          <w:tcPr>
            <w:tcW w:type="dxa" w:w="2422"/>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observacion_calidad</w:t>
            </w:r>
          </w:p>
        </w:tc>
        <w:tc>
          <w:tcPr>
            <w:tcW w:type="dxa" w:w="2446"/>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DEP_FUERA_HORIZONTE</w:t>
            </w:r>
          </w:p>
        </w:tc>
        <w:tc>
          <w:tcPr>
            <w:tcW w:type="dxa" w:w="2446"/>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El activo «Adecuación y montaje de instalaciones» (vida útil 20 años, disponible en el año 1) no termina de depreciarse dentro del horizonte de 10 años: quedará un valor neto en libros al final del análisis.</w:t>
            </w:r>
          </w:p>
        </w:tc>
        <w:tc>
          <w:tcPr>
            <w:tcW w:type="dxa" w:w="1712"/>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No</w:t>
            </w:r>
          </w:p>
        </w:tc>
      </w:tr>
      <w:tr>
        <w:trPr>
          <w:cantSplit/>
        </w:trPr>
        <w:tc>
          <w:tcPr>
            <w:tcW w:type="dxa" w:w="2422"/>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observacion_calidad</w:t>
            </w:r>
          </w:p>
        </w:tc>
        <w:tc>
          <w:tcPr>
            <w:tcW w:type="dxa" w:w="2446"/>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DEP_FUERA_HORIZONTE</w:t>
            </w:r>
          </w:p>
        </w:tc>
        <w:tc>
          <w:tcPr>
            <w:tcW w:type="dxa" w:w="2446"/>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El activo «Ampliación de Gabinetes de atención (sillones) (+2 uds., año 7)» (vida útil 10 años, disponible en el año 7) no termina de depreciarse dentro del horizonte de 10 años: quedará un valor neto en libros al final del análisis.</w:t>
            </w:r>
          </w:p>
        </w:tc>
        <w:tc>
          <w:tcPr>
            <w:tcW w:type="dxa" w:w="1712"/>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No</w:t>
            </w:r>
          </w:p>
        </w:tc>
      </w:tr>
      <w:tr>
        <w:trPr>
          <w:cantSplit/>
        </w:trPr>
        <w:tc>
          <w:tcPr>
            <w:tcW w:type="dxa" w:w="2422"/>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observacion_calidad</w:t>
            </w:r>
          </w:p>
        </w:tc>
        <w:tc>
          <w:tcPr>
            <w:tcW w:type="dxa" w:w="2446"/>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DIVIDENDOS_RESTRINGIDOS</w:t>
            </w:r>
          </w:p>
        </w:tc>
        <w:tc>
          <w:tcPr>
            <w:tcW w:type="dxa" w:w="2446"/>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En el año 1 los dividendos propuestos (112,8 kUSD) superan la caja disponible (-812,2 kUSD): solo se consideran pagables 0,0 kUSD. La política de distribución está limitada por la liquidez modelada.</w:t>
            </w:r>
          </w:p>
        </w:tc>
        <w:tc>
          <w:tcPr>
            <w:tcW w:type="dxa" w:w="1712"/>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No</w:t>
            </w:r>
          </w:p>
        </w:tc>
      </w:tr>
      <w:tr>
        <w:trPr>
          <w:cantSplit/>
        </w:trPr>
        <w:tc>
          <w:tcPr>
            <w:tcW w:type="dxa" w:w="2422"/>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observacion_calidad</w:t>
            </w:r>
          </w:p>
        </w:tc>
        <w:tc>
          <w:tcPr>
            <w:tcW w:type="dxa" w:w="2446"/>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ESCENARIO_B</w:t>
            </w:r>
          </w:p>
        </w:tc>
        <w:tc>
          <w:tcPr>
            <w:tcW w:type="dxa" w:w="2446"/>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Escenario activo: B (ampliación de capacidad). Las ampliaciones programadas (1) generan CAPEX y nueva capacidad en sus años de ejecución; sus cifras provienen de la tabla de recursos operativos.</w:t>
            </w:r>
          </w:p>
        </w:tc>
        <w:tc>
          <w:tcPr>
            <w:tcW w:type="dxa" w:w="1712"/>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No</w:t>
            </w:r>
          </w:p>
        </w:tc>
      </w:tr>
      <w:tr>
        <w:trPr>
          <w:cantSplit/>
        </w:trPr>
        <w:tc>
          <w:tcPr>
            <w:tcW w:type="dxa" w:w="2422"/>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observacion_calidad</w:t>
            </w:r>
          </w:p>
        </w:tc>
        <w:tc>
          <w:tcPr>
            <w:tcW w:type="dxa" w:w="2446"/>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DATOS_FICTICIOS</w:t>
            </w:r>
          </w:p>
        </w:tc>
        <w:tc>
          <w:tcPr>
            <w:tcW w:type="dxa" w:w="2446"/>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EJEMPLO ILUSTRATIVO CON DATOS FICTICIOS. No constituye una propuesta aprobada ni acredita el cumplimiento de requisitos legales, tributarios, sanitarios o de inversión. Validar las cifras, supuestos, autorizaciones y requisitos aplicables antes de su presentación oficial.</w:t>
            </w:r>
          </w:p>
        </w:tc>
        <w:tc>
          <w:tcPr>
            <w:tcW w:type="dxa" w:w="1712"/>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No</w:t>
            </w:r>
          </w:p>
        </w:tc>
      </w:tr>
      <w:tr>
        <w:trPr>
          <w:cantSplit/>
        </w:trPr>
        <w:tc>
          <w:tcPr>
            <w:tcW w:type="dxa" w:w="2422"/>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observacion_calidad</w:t>
            </w:r>
          </w:p>
        </w:tc>
        <w:tc>
          <w:tcPr>
            <w:tcW w:type="dxa" w:w="2446"/>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TASA_DEMO</w:t>
            </w:r>
          </w:p>
        </w:tc>
        <w:tc>
          <w:tcPr>
            <w:tcW w:type="dxa" w:w="2446"/>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La tasa de impuesto sobre utilidades (35,0 %) es un supuesto de demostración editable. No constituye la tasa legal aplicable: documente la fuente normativa antes de un uso oficial.</w:t>
            </w:r>
          </w:p>
        </w:tc>
        <w:tc>
          <w:tcPr>
            <w:tcW w:type="dxa" w:w="1712"/>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SÍ</w:t>
            </w:r>
          </w:p>
        </w:tc>
      </w:tr>
      <w:tr>
        <w:trPr>
          <w:cantSplit/>
        </w:trPr>
        <w:tc>
          <w:tcPr>
            <w:tcW w:type="dxa" w:w="2422"/>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observacion_calidad</w:t>
            </w:r>
          </w:p>
        </w:tc>
        <w:tc>
          <w:tcPr>
            <w:tcW w:type="dxa" w:w="2446"/>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SUPUESTO_IMPUESTO_MISMO_PERIODO</w:t>
            </w:r>
          </w:p>
        </w:tc>
        <w:tc>
          <w:tcPr>
            <w:tcW w:type="dxa" w:w="2446"/>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El impuesto sobre utilidades del modelo es un DEVENGADO contable (regla editable): el modelo simplificado SUPONE que se paga dentro del mismo período, sin calendario tributario. Ese supuesto se distingue expresamente de un pago verificado: con un calendario de pagos real (fracciones, diferimientos, pago al año siguiente) la tesorería proyectada y la necesidad de caja del arranque cambiarían.</w:t>
            </w:r>
          </w:p>
        </w:tc>
        <w:tc>
          <w:tcPr>
            <w:tcW w:type="dxa" w:w="1712"/>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No</w:t>
            </w:r>
          </w:p>
        </w:tc>
      </w:tr>
      <w:tr>
        <w:trPr>
          <w:cantSplit/>
        </w:trPr>
        <w:tc>
          <w:tcPr>
            <w:tcW w:type="dxa" w:w="2422"/>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observacion_calidad</w:t>
            </w:r>
          </w:p>
        </w:tc>
        <w:tc>
          <w:tcPr>
            <w:tcW w:type="dxa" w:w="2446"/>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ESCUDO_FISCAL_CLASE</w:t>
            </w:r>
          </w:p>
        </w:tc>
        <w:tc>
          <w:tcPr>
            <w:tcW w:type="dxa" w:w="2446"/>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Escudo fiscal — clasificación de la regla de impuestos activa: base directa. La regla de impuestos grava directamente la utilidad antes de intereses (referencia directa a «utilidad_antes_impuestos_k»): el escudo se calcula reevaluando la MISMA regla con la base hipotética sin intereses, respetando topes, mínimos y condiciones de su fórmula.</w:t>
            </w:r>
          </w:p>
        </w:tc>
        <w:tc>
          <w:tcPr>
            <w:tcW w:type="dxa" w:w="1712"/>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No</w:t>
            </w:r>
          </w:p>
        </w:tc>
      </w:tr>
      <w:tr>
        <w:trPr>
          <w:cantSplit/>
        </w:trPr>
        <w:tc>
          <w:tcPr>
            <w:tcW w:type="dxa" w:w="2422"/>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informacion_pendiente</w:t>
            </w:r>
          </w:p>
        </w:tc>
        <w:tc>
          <w:tcPr>
            <w:tcW w:type="dxa" w:w="2446"/>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PENDIENTE</w:t>
            </w:r>
          </w:p>
        </w:tc>
        <w:tc>
          <w:tcPr>
            <w:tcW w:type="dxa" w:w="2446"/>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Falta identificar al elaborador del plan (4.1): el campo está vacío o marcado como pendiente.</w:t>
            </w:r>
          </w:p>
        </w:tc>
        <w:tc>
          <w:tcPr>
            <w:tcW w:type="dxa" w:w="1712"/>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No</w:t>
            </w:r>
          </w:p>
        </w:tc>
      </w:tr>
      <w:tr>
        <w:trPr>
          <w:cantSplit/>
        </w:trPr>
        <w:tc>
          <w:tcPr>
            <w:tcW w:type="dxa" w:w="2422"/>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informacion_pendiente</w:t>
            </w:r>
          </w:p>
        </w:tc>
        <w:tc>
          <w:tcPr>
            <w:tcW w:type="dxa" w:w="2446"/>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PENDIENTE</w:t>
            </w:r>
          </w:p>
        </w:tc>
        <w:tc>
          <w:tcPr>
            <w:tcW w:type="dxa" w:w="2446"/>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Falta la firma o identificación del elaborador (4.1).</w:t>
            </w:r>
          </w:p>
        </w:tc>
        <w:tc>
          <w:tcPr>
            <w:tcW w:type="dxa" w:w="1712"/>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No</w:t>
            </w:r>
          </w:p>
        </w:tc>
      </w:tr>
      <w:tr>
        <w:trPr>
          <w:cantSplit/>
        </w:trPr>
        <w:tc>
          <w:tcPr>
            <w:tcW w:type="dxa" w:w="2422"/>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informacion_pendiente</w:t>
            </w:r>
          </w:p>
        </w:tc>
        <w:tc>
          <w:tcPr>
            <w:tcW w:type="dxa" w:w="2446"/>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PENDIENTE</w:t>
            </w:r>
          </w:p>
        </w:tc>
        <w:tc>
          <w:tcPr>
            <w:tcW w:type="dxa" w:w="2446"/>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La declaración de responsabilidad no ha sido aceptada (4.1): el documento NO está en condiciones de presentarse como definitivo.</w:t>
            </w:r>
          </w:p>
        </w:tc>
        <w:tc>
          <w:tcPr>
            <w:tcW w:type="dxa" w:w="1712"/>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No</w:t>
            </w:r>
          </w:p>
        </w:tc>
      </w:tr>
      <w:tr>
        <w:trPr>
          <w:cantSplit/>
        </w:trPr>
        <w:tc>
          <w:tcPr>
            <w:tcW w:type="dxa" w:w="2422"/>
            <w:tcBorders>
              <w:bottom w:val="single" w:color="64748B" w:sz="8"/>
            </w:tcBorders>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informacion_pendiente</w:t>
            </w:r>
          </w:p>
        </w:tc>
        <w:tc>
          <w:tcPr>
            <w:tcW w:type="dxa" w:w="2446"/>
            <w:tcBorders>
              <w:bottom w:val="single" w:color="64748B" w:sz="8"/>
            </w:tcBorders>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REFERENCIA_HIPOTESIS</w:t>
            </w:r>
          </w:p>
        </w:tc>
        <w:tc>
          <w:tcPr>
            <w:tcW w:type="dxa" w:w="2446"/>
            <w:tcBorders>
              <w:bottom w:val="single" w:color="64748B" w:sz="8"/>
            </w:tcBorders>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5 aportación(es) declaran una «referencia documental» que en realidad es una HIPÓTESIS de demostración (figuran como ficticia, ilustrativa, proforma o pendiente). Una referencia documental exigible debe identificar el documento, su emisor y su fecha, y adjuntar el soporte cuando corresponda.</w:t>
            </w:r>
          </w:p>
        </w:tc>
        <w:tc>
          <w:tcPr>
            <w:tcW w:type="dxa" w:w="1712"/>
            <w:tcBorders>
              <w:bottom w:val="single" w:color="64748B" w:sz="8"/>
            </w:tcBorders>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No</w:t>
            </w:r>
          </w:p>
        </w:tc>
      </w:tr>
    </w:tbl>
    <w:p>
      <w:pPr>
        <w:pStyle w:val="Heading1"/>
        <w:pageBreakBefore/>
      </w:pPr>
      <w:bookmarkStart w:name="_Toc28" w:id="28"/>
      <w:r>
        <w:rPr>
          <w:rFonts w:ascii="Calibri" w:cs="Calibri" w:eastAsia="Calibri" w:hAnsi="Calibri"/>
          <w:b/>
          <w:bCs/>
          <w:color w:val="1E3A5F"/>
          <w:sz w:val="30"/>
          <w:szCs w:val="30"/>
        </w:rPr>
        <w:t xml:space="preserve">Notas, parámetros y supuestos del modelo</w:t>
      </w:r>
      <w:bookmarkEnd w:id="28"/>
    </w:p>
    <w:p>
      <w:pPr>
        <w:spacing w:after="60" w:before="60" w:line="276"/>
        <w:jc w:val="both"/>
      </w:pPr>
      <w:r>
        <w:rPr>
          <w:rFonts w:ascii="Calibri" w:cs="Calibri" w:eastAsia="Calibri" w:hAnsi="Calibri"/>
          <w:color w:val="334155"/>
          <w:sz w:val="20"/>
          <w:szCs w:val="20"/>
        </w:rPr>
        <w:t xml:space="preserve">Estilo editorial: PLANEX adopta un estilo de informe profesional basado en APA 7 para la jerarquía de títulos, numeración y notas de tablas y figuras, citas y referencias. El CUERPO NARRATIVO se presenta con texto justificado como convención editorial propia de PLANEX: el justificado NO se presenta como requisito de APA 7, que alinea el texto a la izquierda. Títulos, encabezados de tabla, etiquetas breves y celdas numéricas no se justifican: los conceptos se alinean a la izquierda y las cifras a la derecha, con unidades explícitas.</w:t>
      </w:r>
    </w:p>
    <w:p>
      <w:pPr>
        <w:pStyle w:val="NotaTabla"/>
        <w:keepNext/>
        <w:keepLines/>
        <w:spacing w:after="80" w:before="200"/>
      </w:pPr>
      <w:r>
        <w:rPr>
          <w:rFonts w:ascii="Calibri" w:cs="Calibri" w:eastAsia="Calibri" w:hAnsi="Calibri"/>
          <w:b/>
          <w:bCs/>
          <w:color w:val="1E3A5F"/>
          <w:sz w:val="18"/>
          <w:szCs w:val="18"/>
        </w:rPr>
        <w:t xml:space="preserve">Tabla 28. Parámetros de cálculo activos (Nivel A — editables en la aplicación)</w:t>
      </w:r>
    </w:p>
    <w:tbl>
      <w:tblPr>
        <w:tblW w:type="dxa" w:w="9026"/>
        <w:tblBorders>
          <w:top w:val="none" w:color="auto" w:sz="0"/>
          <w:left w:val="none" w:color="auto" w:sz="0"/>
          <w:bottom w:val="none" w:color="auto" w:sz="0"/>
          <w:right w:val="none" w:color="auto" w:sz="0"/>
          <w:insideH w:val="none" w:color="auto" w:sz="0"/>
          <w:insideV w:val="none" w:color="auto" w:sz="0"/>
        </w:tblBorders>
      </w:tblPr>
      <w:tblGrid>
        <w:gridCol w:w="4226"/>
        <w:gridCol w:w="1357"/>
        <w:gridCol w:w="2400"/>
        <w:gridCol w:w="1043"/>
      </w:tblGrid>
      <w:tr>
        <w:trPr>
          <w:cantSplit/>
          <w:tblHeader/>
        </w:trPr>
        <w:tc>
          <w:tcPr>
            <w:tcW w:type="dxa" w:w="4226"/>
            <w:tcBorders>
              <w:top w:val="single" w:color="64748B" w:sz="8"/>
              <w:bottom w:val="single" w:color="94A3B8" w:sz="4"/>
            </w:tcBorders>
            <w:shd w:fill="EEF2F7" w:color="auto" w:val="clear"/>
            <w:tcMar>
              <w:top w:type="dxa" w:w="40"/>
              <w:left w:type="dxa" w:w="80"/>
              <w:bottom w:type="dxa" w:w="40"/>
              <w:right w:type="dxa" w:w="80"/>
            </w:tcMar>
          </w:tcPr>
          <w:p>
            <w:pPr>
              <w:jc w:val="left"/>
            </w:pPr>
            <w:r>
              <w:rPr>
                <w:rFonts w:ascii="Calibri" w:cs="Calibri" w:eastAsia="Calibri" w:hAnsi="Calibri"/>
                <w:b/>
                <w:bCs/>
                <w:color w:val="1E3A5F"/>
                <w:sz w:val="17"/>
                <w:szCs w:val="17"/>
              </w:rPr>
              <w:t xml:space="preserve">Parámetro</w:t>
            </w:r>
          </w:p>
        </w:tc>
        <w:tc>
          <w:tcPr>
            <w:tcW w:type="dxa" w:w="1357"/>
            <w:tcBorders>
              <w:top w:val="single" w:color="64748B" w:sz="8"/>
              <w:bottom w:val="single" w:color="94A3B8" w:sz="4"/>
            </w:tcBorders>
            <w:shd w:fill="EEF2F7" w:color="auto" w:val="clear"/>
            <w:tcMar>
              <w:top w:type="dxa" w:w="40"/>
              <w:left w:type="dxa" w:w="80"/>
              <w:bottom w:type="dxa" w:w="40"/>
              <w:right w:type="dxa" w:w="80"/>
            </w:tcMar>
          </w:tcPr>
          <w:p>
            <w:pPr>
              <w:jc w:val="left"/>
            </w:pPr>
            <w:r>
              <w:rPr>
                <w:rFonts w:ascii="Calibri" w:cs="Calibri" w:eastAsia="Calibri" w:hAnsi="Calibri"/>
                <w:b/>
                <w:bCs/>
                <w:color w:val="1E3A5F"/>
                <w:sz w:val="17"/>
                <w:szCs w:val="17"/>
              </w:rPr>
              <w:t xml:space="preserve">Valor</w:t>
            </w:r>
          </w:p>
        </w:tc>
        <w:tc>
          <w:tcPr>
            <w:tcW w:type="dxa" w:w="2400"/>
            <w:tcBorders>
              <w:top w:val="single" w:color="64748B" w:sz="8"/>
              <w:bottom w:val="single" w:color="94A3B8" w:sz="4"/>
            </w:tcBorders>
            <w:shd w:fill="EEF2F7" w:color="auto" w:val="clear"/>
            <w:tcMar>
              <w:top w:type="dxa" w:w="40"/>
              <w:left w:type="dxa" w:w="80"/>
              <w:bottom w:type="dxa" w:w="40"/>
              <w:right w:type="dxa" w:w="80"/>
            </w:tcMar>
          </w:tcPr>
          <w:p>
            <w:pPr>
              <w:jc w:val="left"/>
            </w:pPr>
            <w:r>
              <w:rPr>
                <w:rFonts w:ascii="Calibri" w:cs="Calibri" w:eastAsia="Calibri" w:hAnsi="Calibri"/>
                <w:b/>
                <w:bCs/>
                <w:color w:val="1E3A5F"/>
                <w:sz w:val="17"/>
                <w:szCs w:val="17"/>
              </w:rPr>
              <w:t xml:space="preserve">Naturaleza</w:t>
            </w:r>
          </w:p>
        </w:tc>
        <w:tc>
          <w:tcPr>
            <w:tcW w:type="dxa" w:w="1043"/>
            <w:tcBorders>
              <w:top w:val="single" w:color="64748B" w:sz="8"/>
              <w:bottom w:val="single" w:color="94A3B8" w:sz="4"/>
            </w:tcBorders>
            <w:shd w:fill="EEF2F7" w:color="auto" w:val="clear"/>
            <w:tcMar>
              <w:top w:type="dxa" w:w="40"/>
              <w:left w:type="dxa" w:w="80"/>
              <w:bottom w:type="dxa" w:w="40"/>
              <w:right w:type="dxa" w:w="80"/>
            </w:tcMar>
          </w:tcPr>
          <w:p>
            <w:pPr>
              <w:jc w:val="left"/>
            </w:pPr>
            <w:r>
              <w:rPr>
                <w:rFonts w:ascii="Calibri" w:cs="Calibri" w:eastAsia="Calibri" w:hAnsi="Calibri"/>
                <w:b/>
                <w:bCs/>
                <w:color w:val="1E3A5F"/>
                <w:sz w:val="17"/>
                <w:szCs w:val="17"/>
              </w:rPr>
              <w:t xml:space="preserve">Fecha ref.</w:t>
            </w:r>
          </w:p>
        </w:tc>
      </w:tr>
      <w:tr>
        <w:trPr>
          <w:cantSplit/>
        </w:trPr>
        <w:tc>
          <w:tcPr>
            <w:tcW w:type="dxa" w:w="4226"/>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Tasa del impuesto sobre utilidades (demostrativa)</w:t>
            </w:r>
          </w:p>
        </w:tc>
        <w:tc>
          <w:tcPr>
            <w:tcW w:type="dxa" w:w="1357"/>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35,0 %</w:t>
            </w:r>
          </w:p>
        </w:tc>
        <w:tc>
          <w:tcPr>
            <w:tcW w:type="dxa" w:w="2400"/>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SUPUESTO DEMOSTRATIVO</w:t>
            </w:r>
          </w:p>
        </w:tc>
        <w:tc>
          <w:tcPr>
            <w:tcW w:type="dxa" w:w="104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w:t>
            </w:r>
          </w:p>
        </w:tc>
      </w:tr>
      <w:tr>
        <w:trPr>
          <w:cantSplit/>
        </w:trPr>
        <w:tc>
          <w:tcPr>
            <w:tcW w:type="dxa" w:w="4226"/>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Tipo de cambio (CUP por USD)</w:t>
            </w:r>
          </w:p>
        </w:tc>
        <w:tc>
          <w:tcPr>
            <w:tcW w:type="dxa" w:w="1357"/>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743,0 CUP/USD</w:t>
            </w:r>
          </w:p>
        </w:tc>
        <w:tc>
          <w:tcPr>
            <w:tcW w:type="dxa" w:w="2400"/>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SUPUESTO DEMOSTRATIVO</w:t>
            </w:r>
          </w:p>
        </w:tc>
        <w:tc>
          <w:tcPr>
            <w:tcW w:type="dxa" w:w="104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2026-10-25</w:t>
            </w:r>
          </w:p>
        </w:tc>
      </w:tr>
      <w:tr>
        <w:trPr>
          <w:cantSplit/>
        </w:trPr>
        <w:tc>
          <w:tcPr>
            <w:tcW w:type="dxa" w:w="4226"/>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Tasa de interés anual del crédito</w:t>
            </w:r>
          </w:p>
        </w:tc>
        <w:tc>
          <w:tcPr>
            <w:tcW w:type="dxa" w:w="1357"/>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8,0 %</w:t>
            </w:r>
          </w:p>
        </w:tc>
        <w:tc>
          <w:tcPr>
            <w:tcW w:type="dxa" w:w="2400"/>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Definido por el usuario</w:t>
            </w:r>
          </w:p>
        </w:tc>
        <w:tc>
          <w:tcPr>
            <w:tcW w:type="dxa" w:w="104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w:t>
            </w:r>
          </w:p>
        </w:tc>
      </w:tr>
      <w:tr>
        <w:trPr>
          <w:cantSplit/>
        </w:trPr>
        <w:tc>
          <w:tcPr>
            <w:tcW w:type="dxa" w:w="4226"/>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Plazo de amortización del crédito</w:t>
            </w:r>
          </w:p>
        </w:tc>
        <w:tc>
          <w:tcPr>
            <w:tcW w:type="dxa" w:w="1357"/>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5,0 años</w:t>
            </w:r>
          </w:p>
        </w:tc>
        <w:tc>
          <w:tcPr>
            <w:tcW w:type="dxa" w:w="2400"/>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Definido por el usuario</w:t>
            </w:r>
          </w:p>
        </w:tc>
        <w:tc>
          <w:tcPr>
            <w:tcW w:type="dxa" w:w="104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w:t>
            </w:r>
          </w:p>
        </w:tc>
      </w:tr>
      <w:tr>
        <w:trPr>
          <w:cantSplit/>
        </w:trPr>
        <w:tc>
          <w:tcPr>
            <w:tcW w:type="dxa" w:w="4226"/>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Período de gracia del crédito</w:t>
            </w:r>
          </w:p>
        </w:tc>
        <w:tc>
          <w:tcPr>
            <w:tcW w:type="dxa" w:w="1357"/>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1,0 años</w:t>
            </w:r>
          </w:p>
        </w:tc>
        <w:tc>
          <w:tcPr>
            <w:tcW w:type="dxa" w:w="2400"/>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Definido por el usuario</w:t>
            </w:r>
          </w:p>
        </w:tc>
        <w:tc>
          <w:tcPr>
            <w:tcW w:type="dxa" w:w="104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w:t>
            </w:r>
          </w:p>
        </w:tc>
      </w:tr>
      <w:tr>
        <w:trPr>
          <w:cantSplit/>
        </w:trPr>
        <w:tc>
          <w:tcPr>
            <w:tcW w:type="dxa" w:w="4226"/>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Inflación prevista (costos variables unitarios de servicios)</w:t>
            </w:r>
          </w:p>
        </w:tc>
        <w:tc>
          <w:tcPr>
            <w:tcW w:type="dxa" w:w="1357"/>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4,0 %</w:t>
            </w:r>
          </w:p>
        </w:tc>
        <w:tc>
          <w:tcPr>
            <w:tcW w:type="dxa" w:w="2400"/>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Definido por el usuario</w:t>
            </w:r>
          </w:p>
        </w:tc>
        <w:tc>
          <w:tcPr>
            <w:tcW w:type="dxa" w:w="104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w:t>
            </w:r>
          </w:p>
        </w:tc>
      </w:tr>
      <w:tr>
        <w:trPr>
          <w:cantSplit/>
        </w:trPr>
        <w:tc>
          <w:tcPr>
            <w:tcW w:type="dxa" w:w="4226"/>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Inflación de costos fijos (contratos nominales)</w:t>
            </w:r>
          </w:p>
        </w:tc>
        <w:tc>
          <w:tcPr>
            <w:tcW w:type="dxa" w:w="1357"/>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0,0 %</w:t>
            </w:r>
          </w:p>
        </w:tc>
        <w:tc>
          <w:tcPr>
            <w:tcW w:type="dxa" w:w="2400"/>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Definido por el usuario</w:t>
            </w:r>
          </w:p>
        </w:tc>
        <w:tc>
          <w:tcPr>
            <w:tcW w:type="dxa" w:w="104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w:t>
            </w:r>
          </w:p>
        </w:tc>
      </w:tr>
      <w:tr>
        <w:trPr>
          <w:cantSplit/>
        </w:trPr>
        <w:tc>
          <w:tcPr>
            <w:tcW w:type="dxa" w:w="4226"/>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Crecimiento anual de precios</w:t>
            </w:r>
          </w:p>
        </w:tc>
        <w:tc>
          <w:tcPr>
            <w:tcW w:type="dxa" w:w="1357"/>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3,0 %</w:t>
            </w:r>
          </w:p>
        </w:tc>
        <w:tc>
          <w:tcPr>
            <w:tcW w:type="dxa" w:w="2400"/>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Definido por el usuario</w:t>
            </w:r>
          </w:p>
        </w:tc>
        <w:tc>
          <w:tcPr>
            <w:tcW w:type="dxa" w:w="104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w:t>
            </w:r>
          </w:p>
        </w:tc>
      </w:tr>
      <w:tr>
        <w:trPr>
          <w:cantSplit/>
        </w:trPr>
        <w:tc>
          <w:tcPr>
            <w:tcW w:type="dxa" w:w="4226"/>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Variación anual del volumen (demanda)</w:t>
            </w:r>
          </w:p>
        </w:tc>
        <w:tc>
          <w:tcPr>
            <w:tcW w:type="dxa" w:w="1357"/>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5,0 %</w:t>
            </w:r>
          </w:p>
        </w:tc>
        <w:tc>
          <w:tcPr>
            <w:tcW w:type="dxa" w:w="2400"/>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Definido por el usuario</w:t>
            </w:r>
          </w:p>
        </w:tc>
        <w:tc>
          <w:tcPr>
            <w:tcW w:type="dxa" w:w="104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w:t>
            </w:r>
          </w:p>
        </w:tc>
      </w:tr>
      <w:tr>
        <w:trPr>
          <w:cantSplit/>
        </w:trPr>
        <w:tc>
          <w:tcPr>
            <w:tcW w:type="dxa" w:w="4226"/>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Crecimiento anual de salarios</w:t>
            </w:r>
          </w:p>
        </w:tc>
        <w:tc>
          <w:tcPr>
            <w:tcW w:type="dxa" w:w="1357"/>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5,0 %</w:t>
            </w:r>
          </w:p>
        </w:tc>
        <w:tc>
          <w:tcPr>
            <w:tcW w:type="dxa" w:w="2400"/>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Definido por el usuario</w:t>
            </w:r>
          </w:p>
        </w:tc>
        <w:tc>
          <w:tcPr>
            <w:tcW w:type="dxa" w:w="104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w:t>
            </w:r>
          </w:p>
        </w:tc>
      </w:tr>
      <w:tr>
        <w:trPr>
          <w:cantSplit/>
        </w:trPr>
        <w:tc>
          <w:tcPr>
            <w:tcW w:type="dxa" w:w="4226"/>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Gastos administrativos (% de los ingresos)</w:t>
            </w:r>
          </w:p>
        </w:tc>
        <w:tc>
          <w:tcPr>
            <w:tcW w:type="dxa" w:w="1357"/>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5,0 %</w:t>
            </w:r>
          </w:p>
        </w:tc>
        <w:tc>
          <w:tcPr>
            <w:tcW w:type="dxa" w:w="2400"/>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Definido por el usuario</w:t>
            </w:r>
          </w:p>
        </w:tc>
        <w:tc>
          <w:tcPr>
            <w:tcW w:type="dxa" w:w="104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w:t>
            </w:r>
          </w:p>
        </w:tc>
      </w:tr>
      <w:tr>
        <w:trPr>
          <w:cantSplit/>
        </w:trPr>
        <w:tc>
          <w:tcPr>
            <w:tcW w:type="dxa" w:w="4226"/>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Mantenimiento (% de la inversión fija)</w:t>
            </w:r>
          </w:p>
        </w:tc>
        <w:tc>
          <w:tcPr>
            <w:tcW w:type="dxa" w:w="1357"/>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3,0 %</w:t>
            </w:r>
          </w:p>
        </w:tc>
        <w:tc>
          <w:tcPr>
            <w:tcW w:type="dxa" w:w="2400"/>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Definido por el usuario</w:t>
            </w:r>
          </w:p>
        </w:tc>
        <w:tc>
          <w:tcPr>
            <w:tcW w:type="dxa" w:w="104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w:t>
            </w:r>
          </w:p>
        </w:tc>
      </w:tr>
      <w:tr>
        <w:trPr>
          <w:cantSplit/>
        </w:trPr>
        <w:tc>
          <w:tcPr>
            <w:tcW w:type="dxa" w:w="4226"/>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Factor de costo laboral</w:t>
            </w:r>
          </w:p>
        </w:tc>
        <w:tc>
          <w:tcPr>
            <w:tcW w:type="dxa" w:w="1357"/>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1,0 ×</w:t>
            </w:r>
          </w:p>
        </w:tc>
        <w:tc>
          <w:tcPr>
            <w:tcW w:type="dxa" w:w="2400"/>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Definido por el usuario</w:t>
            </w:r>
          </w:p>
        </w:tc>
        <w:tc>
          <w:tcPr>
            <w:tcW w:type="dxa" w:w="104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w:t>
            </w:r>
          </w:p>
        </w:tc>
      </w:tr>
      <w:tr>
        <w:trPr>
          <w:cantSplit/>
        </w:trPr>
        <w:tc>
          <w:tcPr>
            <w:tcW w:type="dxa" w:w="4226"/>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Participación de la parte cubana en el capital</w:t>
            </w:r>
          </w:p>
        </w:tc>
        <w:tc>
          <w:tcPr>
            <w:tcW w:type="dxa" w:w="1357"/>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40,0 %</w:t>
            </w:r>
          </w:p>
        </w:tc>
        <w:tc>
          <w:tcPr>
            <w:tcW w:type="dxa" w:w="2400"/>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Definido por el usuario</w:t>
            </w:r>
          </w:p>
        </w:tc>
        <w:tc>
          <w:tcPr>
            <w:tcW w:type="dxa" w:w="104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w:t>
            </w:r>
          </w:p>
        </w:tc>
      </w:tr>
      <w:tr>
        <w:trPr>
          <w:cantSplit/>
        </w:trPr>
        <w:tc>
          <w:tcPr>
            <w:tcW w:type="dxa" w:w="4226"/>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Reparto de dividendos (% de la utilidad distribuible)</w:t>
            </w:r>
          </w:p>
        </w:tc>
        <w:tc>
          <w:tcPr>
            <w:tcW w:type="dxa" w:w="1357"/>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50,0 %</w:t>
            </w:r>
          </w:p>
        </w:tc>
        <w:tc>
          <w:tcPr>
            <w:tcW w:type="dxa" w:w="2400"/>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SUPUESTO DEMOSTRATIVO</w:t>
            </w:r>
          </w:p>
        </w:tc>
        <w:tc>
          <w:tcPr>
            <w:tcW w:type="dxa" w:w="104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w:t>
            </w:r>
          </w:p>
        </w:tc>
      </w:tr>
      <w:tr>
        <w:trPr>
          <w:cantSplit/>
        </w:trPr>
        <w:tc>
          <w:tcPr>
            <w:tcW w:type="dxa" w:w="4226"/>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Reserva sobre la base distribuible acumulada</w:t>
            </w:r>
          </w:p>
        </w:tc>
        <w:tc>
          <w:tcPr>
            <w:tcW w:type="dxa" w:w="1357"/>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10,0 %</w:t>
            </w:r>
          </w:p>
        </w:tc>
        <w:tc>
          <w:tcPr>
            <w:tcW w:type="dxa" w:w="2400"/>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SUPUESTO DEMOSTRATIVO</w:t>
            </w:r>
          </w:p>
        </w:tc>
        <w:tc>
          <w:tcPr>
            <w:tcW w:type="dxa" w:w="104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w:t>
            </w:r>
          </w:p>
        </w:tc>
      </w:tr>
      <w:tr>
        <w:trPr>
          <w:cantSplit/>
        </w:trPr>
        <w:tc>
          <w:tcPr>
            <w:tcW w:type="dxa" w:w="4226"/>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Recuperación del capital de trabajo al cierre</w:t>
            </w:r>
          </w:p>
        </w:tc>
        <w:tc>
          <w:tcPr>
            <w:tcW w:type="dxa" w:w="1357"/>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0,0 %</w:t>
            </w:r>
          </w:p>
        </w:tc>
        <w:tc>
          <w:tcPr>
            <w:tcW w:type="dxa" w:w="2400"/>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Definido por el usuario</w:t>
            </w:r>
          </w:p>
        </w:tc>
        <w:tc>
          <w:tcPr>
            <w:tcW w:type="dxa" w:w="104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w:t>
            </w:r>
          </w:p>
        </w:tc>
      </w:tr>
      <w:tr>
        <w:trPr>
          <w:cantSplit/>
        </w:trPr>
        <w:tc>
          <w:tcPr>
            <w:tcW w:type="dxa" w:w="4226"/>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Servicios públicos anuales</w:t>
            </w:r>
          </w:p>
        </w:tc>
        <w:tc>
          <w:tcPr>
            <w:tcW w:type="dxa" w:w="1357"/>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40,0 kUSD/año</w:t>
            </w:r>
          </w:p>
        </w:tc>
        <w:tc>
          <w:tcPr>
            <w:tcW w:type="dxa" w:w="2400"/>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Definido por el usuario</w:t>
            </w:r>
          </w:p>
        </w:tc>
        <w:tc>
          <w:tcPr>
            <w:tcW w:type="dxa" w:w="104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w:t>
            </w:r>
          </w:p>
        </w:tc>
      </w:tr>
      <w:tr>
        <w:trPr>
          <w:cantSplit/>
        </w:trPr>
        <w:tc>
          <w:tcPr>
            <w:tcW w:type="dxa" w:w="4226"/>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Canon anual</w:t>
            </w:r>
          </w:p>
        </w:tc>
        <w:tc>
          <w:tcPr>
            <w:tcW w:type="dxa" w:w="1357"/>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30,0 kUSD/año</w:t>
            </w:r>
          </w:p>
        </w:tc>
        <w:tc>
          <w:tcPr>
            <w:tcW w:type="dxa" w:w="2400"/>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Definido por el usuario</w:t>
            </w:r>
          </w:p>
        </w:tc>
        <w:tc>
          <w:tcPr>
            <w:tcW w:type="dxa" w:w="104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w:t>
            </w:r>
          </w:p>
        </w:tc>
      </w:tr>
      <w:tr>
        <w:trPr>
          <w:cantSplit/>
        </w:trPr>
        <w:tc>
          <w:tcPr>
            <w:tcW w:type="dxa" w:w="4226"/>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Otros gastos fijos anuales</w:t>
            </w:r>
          </w:p>
        </w:tc>
        <w:tc>
          <w:tcPr>
            <w:tcW w:type="dxa" w:w="1357"/>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10,0 kUSD/año</w:t>
            </w:r>
          </w:p>
        </w:tc>
        <w:tc>
          <w:tcPr>
            <w:tcW w:type="dxa" w:w="2400"/>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Definido por el usuario</w:t>
            </w:r>
          </w:p>
        </w:tc>
        <w:tc>
          <w:tcPr>
            <w:tcW w:type="dxa" w:w="104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w:t>
            </w:r>
          </w:p>
        </w:tc>
      </w:tr>
      <w:tr>
        <w:trPr>
          <w:cantSplit/>
        </w:trPr>
        <w:tc>
          <w:tcPr>
            <w:tcW w:type="dxa" w:w="4226"/>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Monto del crédito externo</w:t>
            </w:r>
          </w:p>
        </w:tc>
        <w:tc>
          <w:tcPr>
            <w:tcW w:type="dxa" w:w="1357"/>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300,0 kUSD</w:t>
            </w:r>
          </w:p>
        </w:tc>
        <w:tc>
          <w:tcPr>
            <w:tcW w:type="dxa" w:w="2400"/>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Definido por el usuario</w:t>
            </w:r>
          </w:p>
        </w:tc>
        <w:tc>
          <w:tcPr>
            <w:tcW w:type="dxa" w:w="104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w:t>
            </w:r>
          </w:p>
        </w:tc>
      </w:tr>
      <w:tr>
        <w:trPr>
          <w:cantSplit/>
        </w:trPr>
        <w:tc>
          <w:tcPr>
            <w:tcW w:type="dxa" w:w="4226"/>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Otras fuentes de financiamiento</w:t>
            </w:r>
          </w:p>
        </w:tc>
        <w:tc>
          <w:tcPr>
            <w:tcW w:type="dxa" w:w="1357"/>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0,0 kUSD</w:t>
            </w:r>
          </w:p>
        </w:tc>
        <w:tc>
          <w:tcPr>
            <w:tcW w:type="dxa" w:w="2400"/>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Definido por el usuario</w:t>
            </w:r>
          </w:p>
        </w:tc>
        <w:tc>
          <w:tcPr>
            <w:tcW w:type="dxa" w:w="104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w:t>
            </w:r>
          </w:p>
        </w:tc>
      </w:tr>
      <w:tr>
        <w:trPr>
          <w:cantSplit/>
        </w:trPr>
        <w:tc>
          <w:tcPr>
            <w:tcW w:type="dxa" w:w="4226"/>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Capital de trabajo inicial</w:t>
            </w:r>
          </w:p>
        </w:tc>
        <w:tc>
          <w:tcPr>
            <w:tcW w:type="dxa" w:w="1357"/>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235,0 kUSD</w:t>
            </w:r>
          </w:p>
        </w:tc>
        <w:tc>
          <w:tcPr>
            <w:tcW w:type="dxa" w:w="2400"/>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Definido por el usuario</w:t>
            </w:r>
          </w:p>
        </w:tc>
        <w:tc>
          <w:tcPr>
            <w:tcW w:type="dxa" w:w="104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w:t>
            </w:r>
          </w:p>
        </w:tc>
      </w:tr>
      <w:tr>
        <w:trPr>
          <w:cantSplit/>
        </w:trPr>
        <w:tc>
          <w:tcPr>
            <w:tcW w:type="dxa" w:w="4226"/>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Aranceles anuales</w:t>
            </w:r>
          </w:p>
        </w:tc>
        <w:tc>
          <w:tcPr>
            <w:tcW w:type="dxa" w:w="1357"/>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8,0 kUSD/año</w:t>
            </w:r>
          </w:p>
        </w:tc>
        <w:tc>
          <w:tcPr>
            <w:tcW w:type="dxa" w:w="2400"/>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Definido por el usuario</w:t>
            </w:r>
          </w:p>
        </w:tc>
        <w:tc>
          <w:tcPr>
            <w:tcW w:type="dxa" w:w="104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w:t>
            </w:r>
          </w:p>
        </w:tc>
      </w:tr>
      <w:tr>
        <w:trPr>
          <w:cantSplit/>
        </w:trPr>
        <w:tc>
          <w:tcPr>
            <w:tcW w:type="dxa" w:w="4226"/>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Otros impuestos y tasas anuales</w:t>
            </w:r>
          </w:p>
        </w:tc>
        <w:tc>
          <w:tcPr>
            <w:tcW w:type="dxa" w:w="1357"/>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5,0 kUSD/año</w:t>
            </w:r>
          </w:p>
        </w:tc>
        <w:tc>
          <w:tcPr>
            <w:tcW w:type="dxa" w:w="2400"/>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Definido por el usuario</w:t>
            </w:r>
          </w:p>
        </w:tc>
        <w:tc>
          <w:tcPr>
            <w:tcW w:type="dxa" w:w="104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w:t>
            </w:r>
          </w:p>
        </w:tc>
      </w:tr>
      <w:tr>
        <w:trPr>
          <w:cantSplit/>
        </w:trPr>
        <w:tc>
          <w:tcPr>
            <w:tcW w:type="dxa" w:w="4226"/>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Royalties anuales</w:t>
            </w:r>
          </w:p>
        </w:tc>
        <w:tc>
          <w:tcPr>
            <w:tcW w:type="dxa" w:w="1357"/>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0,0 kUSD/año</w:t>
            </w:r>
          </w:p>
        </w:tc>
        <w:tc>
          <w:tcPr>
            <w:tcW w:type="dxa" w:w="2400"/>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Definido por el usuario</w:t>
            </w:r>
          </w:p>
        </w:tc>
        <w:tc>
          <w:tcPr>
            <w:tcW w:type="dxa" w:w="104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w:t>
            </w:r>
          </w:p>
        </w:tc>
      </w:tr>
      <w:tr>
        <w:trPr>
          <w:cantSplit/>
        </w:trPr>
        <w:tc>
          <w:tcPr>
            <w:tcW w:type="dxa" w:w="4226"/>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Otros ingresos anuales al país</w:t>
            </w:r>
          </w:p>
        </w:tc>
        <w:tc>
          <w:tcPr>
            <w:tcW w:type="dxa" w:w="1357"/>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0,0 kUSD/año</w:t>
            </w:r>
          </w:p>
        </w:tc>
        <w:tc>
          <w:tcPr>
            <w:tcW w:type="dxa" w:w="2400"/>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Definido por el usuario</w:t>
            </w:r>
          </w:p>
        </w:tc>
        <w:tc>
          <w:tcPr>
            <w:tcW w:type="dxa" w:w="104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w:t>
            </w:r>
          </w:p>
        </w:tc>
      </w:tr>
      <w:tr>
        <w:trPr>
          <w:cantSplit/>
        </w:trPr>
        <w:tc>
          <w:tcPr>
            <w:tcW w:type="dxa" w:w="4226"/>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Umbral de utilización de recursos (análisis)</w:t>
            </w:r>
          </w:p>
        </w:tc>
        <w:tc>
          <w:tcPr>
            <w:tcW w:type="dxa" w:w="1357"/>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90,0 %</w:t>
            </w:r>
          </w:p>
        </w:tc>
        <w:tc>
          <w:tcPr>
            <w:tcW w:type="dxa" w:w="2400"/>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Definido por el usuario</w:t>
            </w:r>
          </w:p>
        </w:tc>
        <w:tc>
          <w:tcPr>
            <w:tcW w:type="dxa" w:w="104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w:t>
            </w:r>
          </w:p>
        </w:tc>
      </w:tr>
      <w:tr>
        <w:trPr>
          <w:cantSplit/>
        </w:trPr>
        <w:tc>
          <w:tcPr>
            <w:tcW w:type="dxa" w:w="4226"/>
            <w:tcBorders>
              <w:bottom w:val="single" w:color="64748B" w:sz="8"/>
            </w:tcBorders>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Umbral de margen de contribución mínimo (análisis)</w:t>
            </w:r>
          </w:p>
        </w:tc>
        <w:tc>
          <w:tcPr>
            <w:tcW w:type="dxa" w:w="1357"/>
            <w:tcBorders>
              <w:bottom w:val="single" w:color="64748B" w:sz="8"/>
            </w:tcBorders>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15,0 %</w:t>
            </w:r>
          </w:p>
        </w:tc>
        <w:tc>
          <w:tcPr>
            <w:tcW w:type="dxa" w:w="2400"/>
            <w:tcBorders>
              <w:bottom w:val="single" w:color="64748B" w:sz="8"/>
            </w:tcBorders>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Definido por el usuario</w:t>
            </w:r>
          </w:p>
        </w:tc>
        <w:tc>
          <w:tcPr>
            <w:tcW w:type="dxa" w:w="1043"/>
            <w:tcBorders>
              <w:bottom w:val="single" w:color="64748B" w:sz="8"/>
            </w:tcBorders>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w:t>
            </w:r>
          </w:p>
        </w:tc>
      </w:tr>
    </w:tbl>
    <w:p>
      <w:pPr>
        <w:pStyle w:val="NotaTabla"/>
        <w:keepNext/>
        <w:keepLines/>
        <w:spacing w:after="80" w:before="200"/>
      </w:pPr>
      <w:r>
        <w:rPr>
          <w:rFonts w:ascii="Calibri" w:cs="Calibri" w:eastAsia="Calibri" w:hAnsi="Calibri"/>
          <w:b/>
          <w:bCs/>
          <w:color w:val="1E3A5F"/>
          <w:sz w:val="18"/>
          <w:szCs w:val="18"/>
        </w:rPr>
        <w:t xml:space="preserve">Tabla 29. Alcance documentado de cada parámetro financiero (partidas afectadas derivadas de las reglas activas)</w:t>
      </w:r>
    </w:p>
    <w:tbl>
      <w:tblPr>
        <w:tblW w:type="dxa" w:w="9026"/>
        <w:tblBorders>
          <w:top w:val="none" w:color="auto" w:sz="0"/>
          <w:left w:val="none" w:color="auto" w:sz="0"/>
          <w:bottom w:val="none" w:color="auto" w:sz="0"/>
          <w:right w:val="none" w:color="auto" w:sz="0"/>
          <w:insideH w:val="none" w:color="auto" w:sz="0"/>
          <w:insideV w:val="none" w:color="auto" w:sz="0"/>
        </w:tblBorders>
      </w:tblPr>
      <w:tblGrid>
        <w:gridCol w:w="2083"/>
        <w:gridCol w:w="1543"/>
        <w:gridCol w:w="1543"/>
        <w:gridCol w:w="771"/>
        <w:gridCol w:w="1543"/>
        <w:gridCol w:w="1543"/>
      </w:tblGrid>
      <w:tr>
        <w:trPr>
          <w:cantSplit/>
          <w:tblHeader/>
        </w:trPr>
        <w:tc>
          <w:tcPr>
            <w:tcW w:type="dxa" w:w="2083"/>
            <w:tcBorders>
              <w:top w:val="single" w:color="64748B" w:sz="8"/>
              <w:bottom w:val="single" w:color="94A3B8" w:sz="4"/>
            </w:tcBorders>
            <w:shd w:fill="EEF2F7" w:color="auto" w:val="clear"/>
            <w:tcMar>
              <w:top w:type="dxa" w:w="40"/>
              <w:left w:type="dxa" w:w="80"/>
              <w:bottom w:type="dxa" w:w="40"/>
              <w:right w:type="dxa" w:w="80"/>
            </w:tcMar>
          </w:tcPr>
          <w:p>
            <w:pPr>
              <w:jc w:val="left"/>
            </w:pPr>
            <w:r>
              <w:rPr>
                <w:rFonts w:ascii="Calibri" w:cs="Calibri" w:eastAsia="Calibri" w:hAnsi="Calibri"/>
                <w:b/>
                <w:bCs/>
                <w:color w:val="1E3A5F"/>
                <w:sz w:val="17"/>
                <w:szCs w:val="17"/>
              </w:rPr>
              <w:t xml:space="preserve">Parámetro</w:t>
            </w:r>
          </w:p>
        </w:tc>
        <w:tc>
          <w:tcPr>
            <w:tcW w:type="dxa" w:w="1543"/>
            <w:tcBorders>
              <w:top w:val="single" w:color="64748B" w:sz="8"/>
              <w:bottom w:val="single" w:color="94A3B8" w:sz="4"/>
            </w:tcBorders>
            <w:shd w:fill="EEF2F7" w:color="auto" w:val="clear"/>
            <w:tcMar>
              <w:top w:type="dxa" w:w="40"/>
              <w:left w:type="dxa" w:w="80"/>
              <w:bottom w:type="dxa" w:w="40"/>
              <w:right w:type="dxa" w:w="80"/>
            </w:tcMar>
          </w:tcPr>
          <w:p>
            <w:pPr>
              <w:jc w:val="left"/>
            </w:pPr>
            <w:r>
              <w:rPr>
                <w:rFonts w:ascii="Calibri" w:cs="Calibri" w:eastAsia="Calibri" w:hAnsi="Calibri"/>
                <w:b/>
                <w:bCs/>
                <w:color w:val="1E3A5F"/>
                <w:sz w:val="17"/>
                <w:szCs w:val="17"/>
              </w:rPr>
              <w:t xml:space="preserve">Partidas que afecta</w:t>
            </w:r>
          </w:p>
        </w:tc>
        <w:tc>
          <w:tcPr>
            <w:tcW w:type="dxa" w:w="1543"/>
            <w:tcBorders>
              <w:top w:val="single" w:color="64748B" w:sz="8"/>
              <w:bottom w:val="single" w:color="94A3B8" w:sz="4"/>
            </w:tcBorders>
            <w:shd w:fill="EEF2F7" w:color="auto" w:val="clear"/>
            <w:tcMar>
              <w:top w:type="dxa" w:w="40"/>
              <w:left w:type="dxa" w:w="80"/>
              <w:bottom w:type="dxa" w:w="40"/>
              <w:right w:type="dxa" w:w="80"/>
            </w:tcMar>
          </w:tcPr>
          <w:p>
            <w:pPr>
              <w:jc w:val="left"/>
            </w:pPr>
            <w:r>
              <w:rPr>
                <w:rFonts w:ascii="Calibri" w:cs="Calibri" w:eastAsia="Calibri" w:hAnsi="Calibri"/>
                <w:b/>
                <w:bCs/>
                <w:color w:val="1E3A5F"/>
                <w:sz w:val="17"/>
                <w:szCs w:val="17"/>
              </w:rPr>
              <w:t xml:space="preserve">Fórmula/regla activa</w:t>
            </w:r>
          </w:p>
        </w:tc>
        <w:tc>
          <w:tcPr>
            <w:tcW w:type="dxa" w:w="771"/>
            <w:tcBorders>
              <w:top w:val="single" w:color="64748B" w:sz="8"/>
              <w:bottom w:val="single" w:color="94A3B8" w:sz="4"/>
            </w:tcBorders>
            <w:shd w:fill="EEF2F7" w:color="auto" w:val="clear"/>
            <w:tcMar>
              <w:top w:type="dxa" w:w="40"/>
              <w:left w:type="dxa" w:w="80"/>
              <w:bottom w:type="dxa" w:w="40"/>
              <w:right w:type="dxa" w:w="80"/>
            </w:tcMar>
          </w:tcPr>
          <w:p>
            <w:pPr>
              <w:jc w:val="left"/>
            </w:pPr>
            <w:r>
              <w:rPr>
                <w:rFonts w:ascii="Calibri" w:cs="Calibri" w:eastAsia="Calibri" w:hAnsi="Calibri"/>
                <w:b/>
                <w:bCs/>
                <w:color w:val="1E3A5F"/>
                <w:sz w:val="17"/>
                <w:szCs w:val="17"/>
              </w:rPr>
              <w:t xml:space="preserve">Ámbito</w:t>
            </w:r>
          </w:p>
        </w:tc>
        <w:tc>
          <w:tcPr>
            <w:tcW w:type="dxa" w:w="1543"/>
            <w:tcBorders>
              <w:top w:val="single" w:color="64748B" w:sz="8"/>
              <w:bottom w:val="single" w:color="94A3B8" w:sz="4"/>
            </w:tcBorders>
            <w:shd w:fill="EEF2F7" w:color="auto" w:val="clear"/>
            <w:tcMar>
              <w:top w:type="dxa" w:w="40"/>
              <w:left w:type="dxa" w:w="80"/>
              <w:bottom w:type="dxa" w:w="40"/>
              <w:right w:type="dxa" w:w="80"/>
            </w:tcMar>
          </w:tcPr>
          <w:p>
            <w:pPr>
              <w:jc w:val="left"/>
            </w:pPr>
            <w:r>
              <w:rPr>
                <w:rFonts w:ascii="Calibri" w:cs="Calibri" w:eastAsia="Calibri" w:hAnsi="Calibri"/>
                <w:b/>
                <w:bCs/>
                <w:color w:val="1E3A5F"/>
                <w:sz w:val="17"/>
                <w:szCs w:val="17"/>
              </w:rPr>
              <w:t xml:space="preserve">Efecto</w:t>
            </w:r>
          </w:p>
        </w:tc>
        <w:tc>
          <w:tcPr>
            <w:tcW w:type="dxa" w:w="1543"/>
            <w:tcBorders>
              <w:top w:val="single" w:color="64748B" w:sz="8"/>
              <w:bottom w:val="single" w:color="94A3B8" w:sz="4"/>
            </w:tcBorders>
            <w:shd w:fill="EEF2F7" w:color="auto" w:val="clear"/>
            <w:tcMar>
              <w:top w:type="dxa" w:w="40"/>
              <w:left w:type="dxa" w:w="80"/>
              <w:bottom w:type="dxa" w:w="40"/>
              <w:right w:type="dxa" w:w="80"/>
            </w:tcMar>
          </w:tcPr>
          <w:p>
            <w:pPr>
              <w:jc w:val="left"/>
            </w:pPr>
            <w:r>
              <w:rPr>
                <w:rFonts w:ascii="Calibri" w:cs="Calibri" w:eastAsia="Calibri" w:hAnsi="Calibri"/>
                <w:b/>
                <w:bCs/>
                <w:color w:val="1E3A5F"/>
                <w:sz w:val="17"/>
                <w:szCs w:val="17"/>
              </w:rPr>
              <w:t xml:space="preserve">Redondeo</w:t>
            </w:r>
          </w:p>
        </w:tc>
      </w:tr>
      <w:tr>
        <w:trPr>
          <w:cantSplit/>
        </w:trPr>
        <w:tc>
          <w:tcPr>
            <w:tcW w:type="dxa" w:w="208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Tasa del impuesto sobre utilidades (demostrativa) [SUPUESTO DEMOSTRATIVO]</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Impuesto sobre utilidades (regla demostrativa) (impuesto_utilidades_k)</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impuesto_utilidades_k = MAX(0, utilidad_antes_impuestos_k * tasa_impuesto_utilidades)</w:t>
            </w:r>
          </w:p>
        </w:tc>
        <w:tc>
          <w:tcPr>
            <w:tcW w:type="dxa" w:w="771"/>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anio</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Afecta el estado de resultados y la caja (ambos)</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Precisión interna completa; el redondeo es solo de presentación (un decimal al formatear)</w:t>
            </w:r>
          </w:p>
        </w:tc>
      </w:tr>
      <w:tr>
        <w:trPr>
          <w:cantSplit/>
        </w:trPr>
        <w:tc>
          <w:tcPr>
            <w:tcW w:type="dxa" w:w="208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Tipo de cambio (CUP por USD) [SUPUESTO DEMOSTRATIVO]</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Inversión fija en CUP convertida (inversion_fija_cup_k) · Costo laboral (costo_laboral_k)</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inversion_fija_cup_k = SUMA_INVERSIONES(IF(AND(categoria_inv = "inversion_fija", moneda_inv = "CUP"), monto_inv, 0)) / tipo_cambio · costo_laboral_k = costo_laboral_cup / tipo_cambio / 1000</w:t>
            </w:r>
          </w:p>
        </w:tc>
        <w:tc>
          <w:tcPr>
            <w:tcW w:type="dxa" w:w="771"/>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proyecto · anio</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Afecta la presentación documental y la conversión entre monedas, no los datos de origen</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Precisión interna completa; el redondeo es solo de presentación (un decimal al formatear)</w:t>
            </w:r>
          </w:p>
        </w:tc>
      </w:tr>
      <w:tr>
        <w:trPr>
          <w:cantSplit/>
        </w:trPr>
        <w:tc>
          <w:tcPr>
            <w:tcW w:type="dxa" w:w="208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Tasa de interés anual del crédito</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(ninguna partida activa lo referencia: parámetro informativo o sin uso actual)</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w:t>
            </w:r>
          </w:p>
        </w:tc>
        <w:tc>
          <w:tcPr>
            <w:tcW w:type="dxa" w:w="771"/>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Afecta el estado de resultados y la caja (ambos)</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Precisión interna completa; el redondeo es solo de presentación (un decimal al formatear)</w:t>
            </w:r>
          </w:p>
        </w:tc>
      </w:tr>
      <w:tr>
        <w:trPr>
          <w:cantSplit/>
        </w:trPr>
        <w:tc>
          <w:tcPr>
            <w:tcW w:type="dxa" w:w="208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Plazo de amortización del crédito</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(ninguna partida activa lo referencia: parámetro informativo o sin uso actual)</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w:t>
            </w:r>
          </w:p>
        </w:tc>
        <w:tc>
          <w:tcPr>
            <w:tcW w:type="dxa" w:w="771"/>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Afecta la caja (flujo de financiación/distribución), no el estado de resultados</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Precisión interna completa; el redondeo es solo de presentación (un decimal al formatear)</w:t>
            </w:r>
          </w:p>
        </w:tc>
      </w:tr>
      <w:tr>
        <w:trPr>
          <w:cantSplit/>
        </w:trPr>
        <w:tc>
          <w:tcPr>
            <w:tcW w:type="dxa" w:w="208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Período de gracia del crédito</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(ninguna partida activa lo referencia: parámetro informativo o sin uso actual)</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w:t>
            </w:r>
          </w:p>
        </w:tc>
        <w:tc>
          <w:tcPr>
            <w:tcW w:type="dxa" w:w="771"/>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Afecta el estado de resultados y la caja (ambos)</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Precisión interna completa; el redondeo es solo de presentación (un decimal al formatear)</w:t>
            </w:r>
          </w:p>
        </w:tc>
      </w:tr>
      <w:tr>
        <w:trPr>
          <w:cantSplit/>
        </w:trPr>
        <w:tc>
          <w:tcPr>
            <w:tcW w:type="dxa" w:w="208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Inflación prevista (costos variables unitarios de servicios)</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Costo variable unitario proyectado (srv_costo_unitario_proy)</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srv_costo_unitario_proy = costo_variable_unitario * (1 + inflacion) ^ MAX(0, PERIODO - 1)</w:t>
            </w:r>
          </w:p>
        </w:tc>
        <w:tc>
          <w:tcPr>
            <w:tcW w:type="dxa" w:w="771"/>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servicio</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Afecta el estado de resultados y la caja (ambos)</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Precisión interna completa; el redondeo es solo de presentación (un decimal al formatear)</w:t>
            </w:r>
          </w:p>
        </w:tc>
      </w:tr>
      <w:tr>
        <w:trPr>
          <w:cantSplit/>
        </w:trPr>
        <w:tc>
          <w:tcPr>
            <w:tcW w:type="dxa" w:w="208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Inflación de costos fijos (contratos nominales)</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Canon (años de operación) (canon_k) · Servicios públicos (años de operación) (servicios_publicos_k) · Otros gastos fijos (años de operación) (otros_gastos_k) · Otros impuestos y tasas (años de operación) (otros_impuestos_k) · Aranceles (años de operación) (aranceles_k) · Royalties (años de operación) (royalties_k)</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canon_k = IF(PERIODO &gt;= 1, canon_anual_k * (1 + inflacion_costos_fijos) ^ MAX(0, PERIODO - 1), 0) · servicios_publicos_k = IF(PERIODO &gt;= 1, servicios_publicos_anual_k * (1 + inflacion_costos_fijos) ^ MAX(0, PERIODO - 1), 0) · otros_gastos_k = IF(PERIODO &gt;= 1, otros_gastos_fijos_k * (1 + inflacion_costos_fijos) ^ MAX(0, PERIODO - 1), 0) · otros_impuestos_k = IF(PERIODO &gt;= 1, otros_impuestos_anual_k * (1 + inflacion_costos_fijos) ^ MAX(0, PERIODO - 1), 0) · aranceles_k = IF(PERIODO &gt;= 1, aranceles_anual_k * (1 + inflacion_costos_fijos) ^ MAX(0, PERIODO - 1), 0) · royalties_k = IF(PERIODO &gt;= 1, royalties_anual_k * (1 + inflacion_costos_fijos) ^ MAX(0, PERIODO - 1), 0)</w:t>
            </w:r>
          </w:p>
        </w:tc>
        <w:tc>
          <w:tcPr>
            <w:tcW w:type="dxa" w:w="771"/>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anio</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Afecta el estado de resultados y la caja (ambos)</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Precisión interna completa; el redondeo es solo de presentación (un decimal al formatear)</w:t>
            </w:r>
          </w:p>
        </w:tc>
      </w:tr>
      <w:tr>
        <w:trPr>
          <w:cantSplit/>
        </w:trPr>
        <w:tc>
          <w:tcPr>
            <w:tcW w:type="dxa" w:w="208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Crecimiento anual de precios</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Precio proyectado del servicio (srv_precio_proy)</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srv_precio_proy = precio_base * (1 + crecimiento_precios) ^ MAX(0, PERIODO - 1)</w:t>
            </w:r>
          </w:p>
        </w:tc>
        <w:tc>
          <w:tcPr>
            <w:tcW w:type="dxa" w:w="771"/>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servicio</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Afecta el estado de resultados y la caja (ambos)</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Precisión interna completa; el redondeo es solo de presentación (un decimal al formatear)</w:t>
            </w:r>
          </w:p>
        </w:tc>
      </w:tr>
      <w:tr>
        <w:trPr>
          <w:cantSplit/>
        </w:trPr>
        <w:tc>
          <w:tcPr>
            <w:tcW w:type="dxa" w:w="208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Variación anual del volumen (demanda)</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Demanda mensual prevista (srv_cantidad_mensual_proy)</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srv_cantidad_mensual_proy = IF(PERIODO &gt;= anio_inicio_demanda, cantidad_base_mensual * (1 + crecimiento_volumen) ^ MAX(0, PERIODO - anio_inicio_demanda), 0)</w:t>
            </w:r>
          </w:p>
        </w:tc>
        <w:tc>
          <w:tcPr>
            <w:tcW w:type="dxa" w:w="771"/>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servicio</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Afecta el estado de resultados y la caja (ambos)</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Precisión interna completa; el redondeo es solo de presentación (un decimal al formatear)</w:t>
            </w:r>
          </w:p>
        </w:tc>
      </w:tr>
      <w:tr>
        <w:trPr>
          <w:cantSplit/>
        </w:trPr>
        <w:tc>
          <w:tcPr>
            <w:tcW w:type="dxa" w:w="208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Crecimiento anual de salarios</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Salario anual proyectado (salario_anual_proy)</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salario_anual_proy = salario_promedio_anual * (1 + crecimiento_salarios) ^ MAX(0, PERIODO - 1)</w:t>
            </w:r>
          </w:p>
        </w:tc>
        <w:tc>
          <w:tcPr>
            <w:tcW w:type="dxa" w:w="771"/>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personal</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Afecta el estado de resultados y la caja (ambos)</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Precisión interna completa; el redondeo es solo de presentación (un decimal al formatear)</w:t>
            </w:r>
          </w:p>
        </w:tc>
      </w:tr>
      <w:tr>
        <w:trPr>
          <w:cantSplit/>
        </w:trPr>
        <w:tc>
          <w:tcPr>
            <w:tcW w:type="dxa" w:w="208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Gastos administrativos (% de los ingresos)</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Gastos administrativos (gastos_admin_k)</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gastos_admin_k = pct_gastos_admin * ingresos_totales_k</w:t>
            </w:r>
          </w:p>
        </w:tc>
        <w:tc>
          <w:tcPr>
            <w:tcW w:type="dxa" w:w="771"/>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anio</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Afecta el estado de resultados y la caja (ambos)</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Precisión interna completa; el redondeo es solo de presentación (un decimal al formatear)</w:t>
            </w:r>
          </w:p>
        </w:tc>
      </w:tr>
      <w:tr>
        <w:trPr>
          <w:cantSplit/>
        </w:trPr>
        <w:tc>
          <w:tcPr>
            <w:tcW w:type="dxa" w:w="208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Mantenimiento (% de la inversión fija)</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Mantenimiento (años de operación) (mantenimiento_k)</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mantenimiento_k = IF(PERIODO &gt;= 1, pct_mantenimiento * inversion_fija_k, 0)</w:t>
            </w:r>
          </w:p>
        </w:tc>
        <w:tc>
          <w:tcPr>
            <w:tcW w:type="dxa" w:w="771"/>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anio</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Afecta el estado de resultados y la caja (ambos)</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Precisión interna completa; el redondeo es solo de presentación (un decimal al formatear)</w:t>
            </w:r>
          </w:p>
        </w:tc>
      </w:tr>
      <w:tr>
        <w:trPr>
          <w:cantSplit/>
        </w:trPr>
        <w:tc>
          <w:tcPr>
            <w:tcW w:type="dxa" w:w="208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Factor de costo laboral</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Costo laboral en CUP (costo_laboral_cup)</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costo_laboral_cup = SUMA_PERSONAL(cantidad * salario_anual_proy) * factor_costo_laboral</w:t>
            </w:r>
          </w:p>
        </w:tc>
        <w:tc>
          <w:tcPr>
            <w:tcW w:type="dxa" w:w="771"/>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anio</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Afecta el estado de resultados y la caja (ambos)</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Precisión interna completa; el redondeo es solo de presentación (un decimal al formatear)</w:t>
            </w:r>
          </w:p>
        </w:tc>
      </w:tr>
      <w:tr>
        <w:trPr>
          <w:cantSplit/>
        </w:trPr>
        <w:tc>
          <w:tcPr>
            <w:tcW w:type="dxa" w:w="208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Participación de la parte cubana en el capital</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(ninguna partida activa lo referencia: parámetro informativo o sin uso actual)</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w:t>
            </w:r>
          </w:p>
        </w:tc>
        <w:tc>
          <w:tcPr>
            <w:tcW w:type="dxa" w:w="771"/>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Afecta la caja (flujo de financiación/distribución), no el estado de resultados</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Precisión interna completa; el redondeo es solo de presentación (un decimal al formatear)</w:t>
            </w:r>
          </w:p>
        </w:tc>
      </w:tr>
      <w:tr>
        <w:trPr>
          <w:cantSplit/>
        </w:trPr>
        <w:tc>
          <w:tcPr>
            <w:tcW w:type="dxa" w:w="208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Reparto de dividendos (% de la utilidad distribuible) [SUPUESTO DEMOSTRATIVO]</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(ninguna partida activa lo referencia: parámetro informativo o sin uso actual)</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w:t>
            </w:r>
          </w:p>
        </w:tc>
        <w:tc>
          <w:tcPr>
            <w:tcW w:type="dxa" w:w="771"/>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Afecta la caja (flujo de financiación/distribución), no el estado de resultados</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Precisión interna completa; el redondeo es solo de presentación (un decimal al formatear)</w:t>
            </w:r>
          </w:p>
        </w:tc>
      </w:tr>
      <w:tr>
        <w:trPr>
          <w:cantSplit/>
        </w:trPr>
        <w:tc>
          <w:tcPr>
            <w:tcW w:type="dxa" w:w="208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Reserva sobre la base distribuible acumulada [SUPUESTO DEMOSTRATIVO]</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(ninguna partida activa lo referencia: parámetro informativo o sin uso actual)</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w:t>
            </w:r>
          </w:p>
        </w:tc>
        <w:tc>
          <w:tcPr>
            <w:tcW w:type="dxa" w:w="771"/>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Afecta la caja (flujo de financiación/distribución), no el estado de resultados</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Precisión interna completa; el redondeo es solo de presentación (un decimal al formatear)</w:t>
            </w:r>
          </w:p>
        </w:tc>
      </w:tr>
      <w:tr>
        <w:trPr>
          <w:cantSplit/>
        </w:trPr>
        <w:tc>
          <w:tcPr>
            <w:tcW w:type="dxa" w:w="208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Recuperación del capital de trabajo al cierre</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(ninguna partida activa lo referencia: parámetro informativo o sin uso actual)</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w:t>
            </w:r>
          </w:p>
        </w:tc>
        <w:tc>
          <w:tcPr>
            <w:tcW w:type="dxa" w:w="771"/>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Afecta la caja (flujo de financiación/distribución), no el estado de resultados</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Precisión interna completa; el redondeo es solo de presentación (un decimal al formatear)</w:t>
            </w:r>
          </w:p>
        </w:tc>
      </w:tr>
      <w:tr>
        <w:trPr>
          <w:cantSplit/>
        </w:trPr>
        <w:tc>
          <w:tcPr>
            <w:tcW w:type="dxa" w:w="208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Servicios públicos anuales</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Servicios públicos (años de operación) (servicios_publicos_k)</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servicios_publicos_k = IF(PERIODO &gt;= 1, servicios_publicos_anual_k * (1 + inflacion_costos_fijos) ^ MAX(0, PERIODO - 1), 0)</w:t>
            </w:r>
          </w:p>
        </w:tc>
        <w:tc>
          <w:tcPr>
            <w:tcW w:type="dxa" w:w="771"/>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anio</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Afecta el estado de resultados y la caja (ambos)</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Precisión interna completa; el redondeo es solo de presentación (un decimal al formatear)</w:t>
            </w:r>
          </w:p>
        </w:tc>
      </w:tr>
      <w:tr>
        <w:trPr>
          <w:cantSplit/>
        </w:trPr>
        <w:tc>
          <w:tcPr>
            <w:tcW w:type="dxa" w:w="208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Canon anual</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Canon (años de operación) (canon_k)</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canon_k = IF(PERIODO &gt;= 1, canon_anual_k * (1 + inflacion_costos_fijos) ^ MAX(0, PERIODO - 1), 0)</w:t>
            </w:r>
          </w:p>
        </w:tc>
        <w:tc>
          <w:tcPr>
            <w:tcW w:type="dxa" w:w="771"/>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anio</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Afecta el estado de resultados y la caja (ambos)</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Precisión interna completa; el redondeo es solo de presentación (un decimal al formatear)</w:t>
            </w:r>
          </w:p>
        </w:tc>
      </w:tr>
      <w:tr>
        <w:trPr>
          <w:cantSplit/>
        </w:trPr>
        <w:tc>
          <w:tcPr>
            <w:tcW w:type="dxa" w:w="208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Otros gastos fijos anuales</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Otros gastos fijos (años de operación) (otros_gastos_k)</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otros_gastos_k = IF(PERIODO &gt;= 1, otros_gastos_fijos_k * (1 + inflacion_costos_fijos) ^ MAX(0, PERIODO - 1), 0)</w:t>
            </w:r>
          </w:p>
        </w:tc>
        <w:tc>
          <w:tcPr>
            <w:tcW w:type="dxa" w:w="771"/>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anio</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Afecta el estado de resultados y la caja (ambos)</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Precisión interna completa; el redondeo es solo de presentación (un decimal al formatear)</w:t>
            </w:r>
          </w:p>
        </w:tc>
      </w:tr>
      <w:tr>
        <w:trPr>
          <w:cantSplit/>
        </w:trPr>
        <w:tc>
          <w:tcPr>
            <w:tcW w:type="dxa" w:w="208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Monto del crédito externo</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Financiación disponible (financiacion_disponible_k)</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financiacion_disponible_k = aportaciones_total_k + otras_fuentes_k + credito_monto_k</w:t>
            </w:r>
          </w:p>
        </w:tc>
        <w:tc>
          <w:tcPr>
            <w:tcW w:type="dxa" w:w="771"/>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proyecto</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Afecta la caja (flujo de financiación/distribución), no el estado de resultados</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Precisión interna completa; el redondeo es solo de presentación (un decimal al formatear)</w:t>
            </w:r>
          </w:p>
        </w:tc>
      </w:tr>
      <w:tr>
        <w:trPr>
          <w:cantSplit/>
        </w:trPr>
        <w:tc>
          <w:tcPr>
            <w:tcW w:type="dxa" w:w="208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Otras fuentes de financiamiento</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Financiación disponible (financiacion_disponible_k) · Necesidad de financiación (necesidad_financiacion_k)</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financiacion_disponible_k = aportaciones_total_k + otras_fuentes_k + credito_monto_k · necesidad_financiacion_k = inversion_total_k - aportaciones_total_k - otras_fuentes_k</w:t>
            </w:r>
          </w:p>
        </w:tc>
        <w:tc>
          <w:tcPr>
            <w:tcW w:type="dxa" w:w="771"/>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proyecto</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Afecta la caja (flujo de financiación/distribución), no el estado de resultados</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Precisión interna completa; el redondeo es solo de presentación (un decimal al formatear)</w:t>
            </w:r>
          </w:p>
        </w:tc>
      </w:tr>
      <w:tr>
        <w:trPr>
          <w:cantSplit/>
        </w:trPr>
        <w:tc>
          <w:tcPr>
            <w:tcW w:type="dxa" w:w="208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Capital de trabajo inicial</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Costo total de la inversión inicial (inversion_total_k)</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inversion_total_k = gastos_previos_k + inversion_fija_k + capital_trabajo_k</w:t>
            </w:r>
          </w:p>
        </w:tc>
        <w:tc>
          <w:tcPr>
            <w:tcW w:type="dxa" w:w="771"/>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proyecto</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Afecta la caja (flujo de financiación/distribución), no el estado de resultados</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Precisión interna completa; el redondeo es solo de presentación (un decimal al formatear)</w:t>
            </w:r>
          </w:p>
        </w:tc>
      </w:tr>
      <w:tr>
        <w:trPr>
          <w:cantSplit/>
        </w:trPr>
        <w:tc>
          <w:tcPr>
            <w:tcW w:type="dxa" w:w="208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Aranceles anuales</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Aranceles (años de operación) (aranceles_k)</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aranceles_k = IF(PERIODO &gt;= 1, aranceles_anual_k * (1 + inflacion_costos_fijos) ^ MAX(0, PERIODO - 1), 0)</w:t>
            </w:r>
          </w:p>
        </w:tc>
        <w:tc>
          <w:tcPr>
            <w:tcW w:type="dxa" w:w="771"/>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anio</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Afecta el estado de resultados y la caja (ambos)</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Precisión interna completa; el redondeo es solo de presentación (un decimal al formatear)</w:t>
            </w:r>
          </w:p>
        </w:tc>
      </w:tr>
      <w:tr>
        <w:trPr>
          <w:cantSplit/>
        </w:trPr>
        <w:tc>
          <w:tcPr>
            <w:tcW w:type="dxa" w:w="208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Otros impuestos y tasas anuales</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Otros impuestos y tasas (años de operación) (otros_impuestos_k)</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otros_impuestos_k = IF(PERIODO &gt;= 1, otros_impuestos_anual_k * (1 + inflacion_costos_fijos) ^ MAX(0, PERIODO - 1), 0)</w:t>
            </w:r>
          </w:p>
        </w:tc>
        <w:tc>
          <w:tcPr>
            <w:tcW w:type="dxa" w:w="771"/>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anio</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Afecta el estado de resultados y la caja (ambos)</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Precisión interna completa; el redondeo es solo de presentación (un decimal al formatear)</w:t>
            </w:r>
          </w:p>
        </w:tc>
      </w:tr>
      <w:tr>
        <w:trPr>
          <w:cantSplit/>
        </w:trPr>
        <w:tc>
          <w:tcPr>
            <w:tcW w:type="dxa" w:w="208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Royalties anuales</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Royalties (años de operación) (royalties_k)</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royalties_k = IF(PERIODO &gt;= 1, royalties_anual_k * (1 + inflacion_costos_fijos) ^ MAX(0, PERIODO - 1), 0)</w:t>
            </w:r>
          </w:p>
        </w:tc>
        <w:tc>
          <w:tcPr>
            <w:tcW w:type="dxa" w:w="771"/>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anio</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Afecta el estado de resultados y la caja (ambos)</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Precisión interna completa; el redondeo es solo de presentación (un decimal al formatear)</w:t>
            </w:r>
          </w:p>
        </w:tc>
      </w:tr>
      <w:tr>
        <w:trPr>
          <w:cantSplit/>
        </w:trPr>
        <w:tc>
          <w:tcPr>
            <w:tcW w:type="dxa" w:w="208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Otros ingresos anuales al país</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Otros ingresos al país (años de operación) (otros_beneficios_pais_k)</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otros_beneficios_pais_k = IF(PERIODO &gt;= 1, otros_beneficios_pais_anual_k, 0)</w:t>
            </w:r>
          </w:p>
        </w:tc>
        <w:tc>
          <w:tcPr>
            <w:tcW w:type="dxa" w:w="771"/>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anio</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Afecta el estado de resultados y la caja (ambos)</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Precisión interna completa; el redondeo es solo de presentación (un decimal al formatear)</w:t>
            </w:r>
          </w:p>
        </w:tc>
      </w:tr>
      <w:tr>
        <w:trPr>
          <w:cantSplit/>
        </w:trPr>
        <w:tc>
          <w:tcPr>
            <w:tcW w:type="dxa" w:w="208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Umbral de utilización de recursos (análisis)</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(ninguna partida activa lo referencia: parámetro informativo o sin uso actual)</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w:t>
            </w:r>
          </w:p>
        </w:tc>
        <w:tc>
          <w:tcPr>
            <w:tcW w:type="dxa" w:w="771"/>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No interviene en el cálculo: califica los análisis y alertas</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Precisión interna completa; el redondeo es solo de presentación (un decimal al formatear)</w:t>
            </w:r>
          </w:p>
        </w:tc>
      </w:tr>
      <w:tr>
        <w:trPr>
          <w:cantSplit/>
        </w:trPr>
        <w:tc>
          <w:tcPr>
            <w:tcW w:type="dxa" w:w="2083"/>
            <w:tcBorders>
              <w:bottom w:val="single" w:color="64748B" w:sz="8"/>
            </w:tcBorders>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Umbral de margen de contribución mínimo (análisis)</w:t>
            </w:r>
          </w:p>
        </w:tc>
        <w:tc>
          <w:tcPr>
            <w:tcW w:type="dxa" w:w="1543"/>
            <w:tcBorders>
              <w:bottom w:val="single" w:color="64748B" w:sz="8"/>
            </w:tcBorders>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(ninguna partida activa lo referencia: parámetro informativo o sin uso actual)</w:t>
            </w:r>
          </w:p>
        </w:tc>
        <w:tc>
          <w:tcPr>
            <w:tcW w:type="dxa" w:w="1543"/>
            <w:tcBorders>
              <w:bottom w:val="single" w:color="64748B" w:sz="8"/>
            </w:tcBorders>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w:t>
            </w:r>
          </w:p>
        </w:tc>
        <w:tc>
          <w:tcPr>
            <w:tcW w:type="dxa" w:w="771"/>
            <w:tcBorders>
              <w:bottom w:val="single" w:color="64748B" w:sz="8"/>
            </w:tcBorders>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w:t>
            </w:r>
          </w:p>
        </w:tc>
        <w:tc>
          <w:tcPr>
            <w:tcW w:type="dxa" w:w="1543"/>
            <w:tcBorders>
              <w:bottom w:val="single" w:color="64748B" w:sz="8"/>
            </w:tcBorders>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No interviene en el cálculo: califica los análisis y alertas</w:t>
            </w:r>
          </w:p>
        </w:tc>
        <w:tc>
          <w:tcPr>
            <w:tcW w:type="dxa" w:w="1543"/>
            <w:tcBorders>
              <w:bottom w:val="single" w:color="64748B" w:sz="8"/>
            </w:tcBorders>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Precisión interna completa; el redondeo es solo de presentación (un decimal al formatear)</w:t>
            </w:r>
          </w:p>
        </w:tc>
      </w:tr>
    </w:tbl>
    <w:p>
      <w:pPr>
        <w:pStyle w:val="NotaTexto"/>
        <w:spacing w:after="60" w:before="60" w:line="276"/>
        <w:jc w:val="both"/>
      </w:pPr>
      <w:r>
        <w:rPr>
          <w:rFonts w:ascii="Calibri" w:cs="Calibri" w:eastAsia="Calibri" w:hAnsi="Calibri"/>
          <w:color w:val="334155"/>
          <w:sz w:val="16"/>
          <w:szCs w:val="16"/>
        </w:rPr>
        <w:t xml:space="preserve">El alcance anterior se DERIVA de las reglas activas del propio proyecto: si un parámetro no referencia la partida que usted cree, es que no la afecta (p. ej., la inflación de costos variables no indexa el canon ni los servicios públicos, que se rigen por el parámetro de inflación de costos fijos, 0 % por defecto = contratos nominales fijos). Ningún parámetro genérico sugiere que se ha indexado una partida a la que en realidad no se aplica.</w:t>
      </w:r>
    </w:p>
    <w:p>
      <w:pPr>
        <w:pStyle w:val="NotaTabla"/>
        <w:keepNext/>
        <w:keepLines/>
        <w:spacing w:after="80" w:before="200"/>
      </w:pPr>
      <w:r>
        <w:rPr>
          <w:rFonts w:ascii="Calibri" w:cs="Calibri" w:eastAsia="Calibri" w:hAnsi="Calibri"/>
          <w:b/>
          <w:bCs/>
          <w:color w:val="1E3A5F"/>
          <w:sz w:val="18"/>
          <w:szCs w:val="18"/>
        </w:rPr>
        <w:t xml:space="preserve">Tabla 30. Trazabilidad de fuentes y supuestos (normas oficiales / referencias legales / cotizaciones / datos del usuario / hipótesis ilustrativas)</w:t>
      </w:r>
    </w:p>
    <w:tbl>
      <w:tblPr>
        <w:tblW w:type="dxa" w:w="9026"/>
        <w:tblBorders>
          <w:top w:val="none" w:color="auto" w:sz="0"/>
          <w:left w:val="none" w:color="auto" w:sz="0"/>
          <w:bottom w:val="none" w:color="auto" w:sz="0"/>
          <w:right w:val="none" w:color="auto" w:sz="0"/>
          <w:insideH w:val="none" w:color="auto" w:sz="0"/>
          <w:insideV w:val="none" w:color="auto" w:sz="0"/>
        </w:tblBorders>
      </w:tblPr>
      <w:tblGrid>
        <w:gridCol w:w="2196"/>
        <w:gridCol w:w="1409"/>
        <w:gridCol w:w="1626"/>
        <w:gridCol w:w="542"/>
        <w:gridCol w:w="1626"/>
        <w:gridCol w:w="1626"/>
      </w:tblGrid>
      <w:tr>
        <w:trPr>
          <w:cantSplit/>
          <w:tblHeader/>
        </w:trPr>
        <w:tc>
          <w:tcPr>
            <w:tcW w:type="dxa" w:w="2196"/>
            <w:tcBorders>
              <w:top w:val="single" w:color="64748B" w:sz="8"/>
              <w:bottom w:val="single" w:color="94A3B8" w:sz="4"/>
            </w:tcBorders>
            <w:shd w:fill="EEF2F7" w:color="auto" w:val="clear"/>
            <w:tcMar>
              <w:top w:type="dxa" w:w="40"/>
              <w:left w:type="dxa" w:w="80"/>
              <w:bottom w:type="dxa" w:w="40"/>
              <w:right w:type="dxa" w:w="80"/>
            </w:tcMar>
          </w:tcPr>
          <w:p>
            <w:pPr>
              <w:jc w:val="left"/>
            </w:pPr>
            <w:r>
              <w:rPr>
                <w:rFonts w:ascii="Calibri" w:cs="Calibri" w:eastAsia="Calibri" w:hAnsi="Calibri"/>
                <w:b/>
                <w:bCs/>
                <w:color w:val="1E3A5F"/>
                <w:sz w:val="17"/>
                <w:szCs w:val="17"/>
              </w:rPr>
              <w:t xml:space="preserve">Fuente</w:t>
            </w:r>
          </w:p>
        </w:tc>
        <w:tc>
          <w:tcPr>
            <w:tcW w:type="dxa" w:w="1409"/>
            <w:tcBorders>
              <w:top w:val="single" w:color="64748B" w:sz="8"/>
              <w:bottom w:val="single" w:color="94A3B8" w:sz="4"/>
            </w:tcBorders>
            <w:shd w:fill="EEF2F7" w:color="auto" w:val="clear"/>
            <w:tcMar>
              <w:top w:type="dxa" w:w="40"/>
              <w:left w:type="dxa" w:w="80"/>
              <w:bottom w:type="dxa" w:w="40"/>
              <w:right w:type="dxa" w:w="80"/>
            </w:tcMar>
          </w:tcPr>
          <w:p>
            <w:pPr>
              <w:jc w:val="left"/>
            </w:pPr>
            <w:r>
              <w:rPr>
                <w:rFonts w:ascii="Calibri" w:cs="Calibri" w:eastAsia="Calibri" w:hAnsi="Calibri"/>
                <w:b/>
                <w:bCs/>
                <w:color w:val="1E3A5F"/>
                <w:sz w:val="17"/>
                <w:szCs w:val="17"/>
              </w:rPr>
              <w:t xml:space="preserve">Tipo</w:t>
            </w:r>
          </w:p>
        </w:tc>
        <w:tc>
          <w:tcPr>
            <w:tcW w:type="dxa" w:w="1626"/>
            <w:tcBorders>
              <w:top w:val="single" w:color="64748B" w:sz="8"/>
              <w:bottom w:val="single" w:color="94A3B8" w:sz="4"/>
            </w:tcBorders>
            <w:shd w:fill="EEF2F7" w:color="auto" w:val="clear"/>
            <w:tcMar>
              <w:top w:type="dxa" w:w="40"/>
              <w:left w:type="dxa" w:w="80"/>
              <w:bottom w:type="dxa" w:w="40"/>
              <w:right w:type="dxa" w:w="80"/>
            </w:tcMar>
          </w:tcPr>
          <w:p>
            <w:pPr>
              <w:jc w:val="left"/>
            </w:pPr>
            <w:r>
              <w:rPr>
                <w:rFonts w:ascii="Calibri" w:cs="Calibri" w:eastAsia="Calibri" w:hAnsi="Calibri"/>
                <w:b/>
                <w:bCs/>
                <w:color w:val="1E3A5F"/>
                <w:sz w:val="17"/>
                <w:szCs w:val="17"/>
              </w:rPr>
              <w:t xml:space="preserve">Emisor</w:t>
            </w:r>
          </w:p>
        </w:tc>
        <w:tc>
          <w:tcPr>
            <w:tcW w:type="dxa" w:w="542"/>
            <w:tcBorders>
              <w:top w:val="single" w:color="64748B" w:sz="8"/>
              <w:bottom w:val="single" w:color="94A3B8" w:sz="4"/>
            </w:tcBorders>
            <w:shd w:fill="EEF2F7" w:color="auto" w:val="clear"/>
            <w:tcMar>
              <w:top w:type="dxa" w:w="40"/>
              <w:left w:type="dxa" w:w="80"/>
              <w:bottom w:type="dxa" w:w="40"/>
              <w:right w:type="dxa" w:w="80"/>
            </w:tcMar>
          </w:tcPr>
          <w:p>
            <w:pPr>
              <w:jc w:val="left"/>
            </w:pPr>
            <w:r>
              <w:rPr>
                <w:rFonts w:ascii="Calibri" w:cs="Calibri" w:eastAsia="Calibri" w:hAnsi="Calibri"/>
                <w:b/>
                <w:bCs/>
                <w:color w:val="1E3A5F"/>
                <w:sz w:val="17"/>
                <w:szCs w:val="17"/>
              </w:rPr>
              <w:t xml:space="preserve">Fecha/Ref.</w:t>
            </w:r>
          </w:p>
        </w:tc>
        <w:tc>
          <w:tcPr>
            <w:tcW w:type="dxa" w:w="1626"/>
            <w:tcBorders>
              <w:top w:val="single" w:color="64748B" w:sz="8"/>
              <w:bottom w:val="single" w:color="94A3B8" w:sz="4"/>
            </w:tcBorders>
            <w:shd w:fill="EEF2F7" w:color="auto" w:val="clear"/>
            <w:tcMar>
              <w:top w:type="dxa" w:w="40"/>
              <w:left w:type="dxa" w:w="80"/>
              <w:bottom w:type="dxa" w:w="40"/>
              <w:right w:type="dxa" w:w="80"/>
            </w:tcMar>
          </w:tcPr>
          <w:p>
            <w:pPr>
              <w:jc w:val="left"/>
            </w:pPr>
            <w:r>
              <w:rPr>
                <w:rFonts w:ascii="Calibri" w:cs="Calibri" w:eastAsia="Calibri" w:hAnsi="Calibri"/>
                <w:b/>
                <w:bCs/>
                <w:color w:val="1E3A5F"/>
                <w:sz w:val="17"/>
                <w:szCs w:val="17"/>
              </w:rPr>
              <w:t xml:space="preserve">Qué respalda</w:t>
            </w:r>
          </w:p>
        </w:tc>
        <w:tc>
          <w:tcPr>
            <w:tcW w:type="dxa" w:w="1626"/>
            <w:tcBorders>
              <w:top w:val="single" w:color="64748B" w:sz="8"/>
              <w:bottom w:val="single" w:color="94A3B8" w:sz="4"/>
            </w:tcBorders>
            <w:shd w:fill="EEF2F7" w:color="auto" w:val="clear"/>
            <w:tcMar>
              <w:top w:type="dxa" w:w="40"/>
              <w:left w:type="dxa" w:w="80"/>
              <w:bottom w:type="dxa" w:w="40"/>
              <w:right w:type="dxa" w:w="80"/>
            </w:tcMar>
          </w:tcPr>
          <w:p>
            <w:pPr>
              <w:jc w:val="left"/>
            </w:pPr>
            <w:r>
              <w:rPr>
                <w:rFonts w:ascii="Calibri" w:cs="Calibri" w:eastAsia="Calibri" w:hAnsi="Calibri"/>
                <w:b/>
                <w:bCs/>
                <w:color w:val="1E3A5F"/>
                <w:sz w:val="17"/>
                <w:szCs w:val="17"/>
              </w:rPr>
              <w:t xml:space="preserve">Estado</w:t>
            </w:r>
          </w:p>
        </w:tc>
      </w:tr>
      <w:tr>
        <w:trPr>
          <w:cantSplit/>
        </w:trPr>
        <w:tc>
          <w:tcPr>
            <w:tcW w:type="dxa" w:w="2196"/>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Bases Metodológicas — Resolución 78/2026, Gaceta Oficial GOC-2026-O57</w:t>
            </w:r>
          </w:p>
        </w:tc>
        <w:tc>
          <w:tcPr>
            <w:tcW w:type="dxa" w:w="1409"/>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Norma oficial</w:t>
            </w:r>
          </w:p>
        </w:tc>
        <w:tc>
          <w:tcPr>
            <w:tcW w:type="dxa" w:w="1626"/>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Ministerio de Economía y Planificación / Gaceta Oficial de la República de Cuba</w:t>
            </w:r>
          </w:p>
        </w:tc>
        <w:tc>
          <w:tcPr>
            <w:tcW w:type="dxa" w:w="542"/>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09/07/2026</w:t>
            </w:r>
          </w:p>
        </w:tc>
        <w:tc>
          <w:tcPr>
            <w:tcW w:type="dxa" w:w="1626"/>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Estructura metodológica 4.1–4.12, unidades y contenido requeridos del plan de negocios (incluidos los desgloses por canal y los indicadores de beneficios directos al país).</w:t>
            </w:r>
          </w:p>
        </w:tc>
        <w:tc>
          <w:tcPr>
            <w:tcW w:type="dxa" w:w="1626"/>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Estructura APLICADA por la aplicación; el cumplimiento del CONTENIDO depende de los datos del plan y de sus validaciones.</w:t>
            </w:r>
          </w:p>
        </w:tc>
      </w:tr>
      <w:tr>
        <w:trPr>
          <w:cantSplit/>
        </w:trPr>
        <w:tc>
          <w:tcPr>
            <w:tcW w:type="dxa" w:w="2196"/>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Ley 118/2014 «Ley de la Inversión Extranjera» y Decreto-Ley 335/2018 (según la modalidad declarada en 4.5)</w:t>
            </w:r>
          </w:p>
        </w:tc>
        <w:tc>
          <w:tcPr>
            <w:tcW w:type="dxa" w:w="1409"/>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Referencia legal declarada</w:t>
            </w:r>
          </w:p>
        </w:tc>
        <w:tc>
          <w:tcPr>
            <w:tcW w:type="dxa" w:w="1626"/>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Asamblea Nacional del Poder Popular / Consejo de Estado (referencia declarada por el usuario)</w:t>
            </w:r>
          </w:p>
        </w:tc>
        <w:tc>
          <w:tcPr>
            <w:tcW w:type="dxa" w:w="542"/>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w:t>
            </w:r>
          </w:p>
        </w:tc>
        <w:tc>
          <w:tcPr>
            <w:tcW w:type="dxa" w:w="1626"/>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Modalidad de la inversión extranjera declarada en el apartado 4.5.</w:t>
            </w:r>
          </w:p>
        </w:tc>
        <w:tc>
          <w:tcPr>
            <w:tcW w:type="dxa" w:w="1626"/>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Referencia legal declarada: la aplicabilidad al proyecto concreto REQUIERE verificación jurídica documentada (el plan no acredita su cumplimiento).</w:t>
            </w:r>
          </w:p>
        </w:tc>
      </w:tr>
      <w:tr>
        <w:trPr>
          <w:cantSplit/>
        </w:trPr>
        <w:tc>
          <w:tcPr>
            <w:tcW w:type="dxa" w:w="2196"/>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Tipo de cambio 743,0 CUP por USD (parámetro «tipo_cambio»)</w:t>
            </w:r>
          </w:p>
        </w:tc>
        <w:tc>
          <w:tcPr>
            <w:tcW w:type="dxa" w:w="1409"/>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Cotización / tasa</w:t>
            </w:r>
          </w:p>
        </w:tc>
        <w:tc>
          <w:tcPr>
            <w:tcW w:type="dxa" w:w="1626"/>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Supuesto de demostración editable (743 CUP/USD, tasa ilustrativa pendiente de validación oficial; fecha de corte del supuesto: 2026-10-25). — SUPUESTO DE DEMOSTRACIÓN</w:t>
            </w:r>
          </w:p>
        </w:tc>
        <w:tc>
          <w:tcPr>
            <w:tcW w:type="dxa" w:w="542"/>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2026-10-25</w:t>
            </w:r>
          </w:p>
        </w:tc>
        <w:tc>
          <w:tcPr>
            <w:tcW w:type="dxa" w:w="1626"/>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Conversión de salarios (CUP-&gt;USD), partidas de inversión en CUP y presentación dual del documento.</w:t>
            </w:r>
          </w:p>
        </w:tc>
        <w:tc>
          <w:tcPr>
            <w:tcW w:type="dxa" w:w="1626"/>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PENDIENTE DE VALIDACIÓN OFICIAL: tasa ilustrativa; documente la tasa oficial vigente, su fecha y su fuente antes de un uso oficial.</w:t>
            </w:r>
          </w:p>
        </w:tc>
      </w:tr>
      <w:tr>
        <w:trPr>
          <w:cantSplit/>
        </w:trPr>
        <w:tc>
          <w:tcPr>
            <w:tcW w:type="dxa" w:w="2196"/>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Tasa de impuesto sobre utilidades 35,0 % (parámetro «tasa_impuesto_utilidades»)</w:t>
            </w:r>
          </w:p>
        </w:tc>
        <w:tc>
          <w:tcPr>
            <w:tcW w:type="dxa" w:w="1409"/>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HIPÓTESIS ilustrativa</w:t>
            </w:r>
          </w:p>
        </w:tc>
        <w:tc>
          <w:tcPr>
            <w:tcW w:type="dxa" w:w="1626"/>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Supuesto de demostración editable. No constituye la tasa legal aplicable al negocio real: documente la fuente normativa y las condiciones antes de un uso oficial.</w:t>
            </w:r>
          </w:p>
        </w:tc>
        <w:tc>
          <w:tcPr>
            <w:tcW w:type="dxa" w:w="542"/>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w:t>
            </w:r>
          </w:p>
        </w:tc>
        <w:tc>
          <w:tcPr>
            <w:tcW w:type="dxa" w:w="1626"/>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Impuesto sobre utilidades y, a través de él, utilidad neta, FCFF/FCFE (vía escudo fiscal), recuperaciones, dividendos y beneficios al país.</w:t>
            </w:r>
          </w:p>
        </w:tc>
        <w:tc>
          <w:tcPr>
            <w:tcW w:type="dxa" w:w="1626"/>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SUPUESTO DE DEMOSTRACIÓN que CONDICIONA las conclusiones económicas: documente la tasa legal aplicable antes de cualquier presentación.</w:t>
            </w:r>
          </w:p>
        </w:tc>
      </w:tr>
      <w:tr>
        <w:trPr>
          <w:cantSplit/>
        </w:trPr>
        <w:tc>
          <w:tcPr>
            <w:tcW w:type="dxa" w:w="2196"/>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Aportación ap-ex-ef — Compromiso de aporte en efectivo (supuesto ficticio; adjuntar instrumento constitutivo)</w:t>
            </w:r>
          </w:p>
        </w:tc>
        <w:tc>
          <w:tcPr>
            <w:tcW w:type="dxa" w:w="1409"/>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HIPÓTESIS ilustrativa</w:t>
            </w:r>
          </w:p>
        </w:tc>
        <w:tc>
          <w:tcPr>
            <w:tcW w:type="dxa" w:w="1626"/>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Socio extranjero</w:t>
            </w:r>
          </w:p>
        </w:tc>
        <w:tc>
          <w:tcPr>
            <w:tcW w:type="dxa" w:w="542"/>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w:t>
            </w:r>
          </w:p>
        </w:tc>
        <w:tc>
          <w:tcPr>
            <w:tcW w:type="dxa" w:w="1626"/>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Aporte de 420,0 kUSD al capital social.</w:t>
            </w:r>
          </w:p>
        </w:tc>
        <w:tc>
          <w:tcPr>
            <w:tcW w:type="dxa" w:w="1626"/>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Referencia NO identificable (vacía, ficticia, proforma o pendiente): no cuenta como respaldo validado; adjunte el instrumento identificable (título, emisor, fecha).</w:t>
            </w:r>
          </w:p>
        </w:tc>
      </w:tr>
      <w:tr>
        <w:trPr>
          <w:cantSplit/>
        </w:trPr>
        <w:tc>
          <w:tcPr>
            <w:tcW w:type="dxa" w:w="2196"/>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Aportación ap-ex-af — Equipamiento dental e imagenología nuevos (factura proforma ilustrativa; avalúo pendiente)</w:t>
            </w:r>
          </w:p>
        </w:tc>
        <w:tc>
          <w:tcPr>
            <w:tcW w:type="dxa" w:w="1409"/>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HIPÓTESIS ilustrativa</w:t>
            </w:r>
          </w:p>
        </w:tc>
        <w:tc>
          <w:tcPr>
            <w:tcW w:type="dxa" w:w="1626"/>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Socio extranjero</w:t>
            </w:r>
          </w:p>
        </w:tc>
        <w:tc>
          <w:tcPr>
            <w:tcW w:type="dxa" w:w="542"/>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w:t>
            </w:r>
          </w:p>
        </w:tc>
        <w:tc>
          <w:tcPr>
            <w:tcW w:type="dxa" w:w="1626"/>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Aporte de 288,0 kUSD al capital social.</w:t>
            </w:r>
          </w:p>
        </w:tc>
        <w:tc>
          <w:tcPr>
            <w:tcW w:type="dxa" w:w="1626"/>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Referencia NO identificable (vacía, ficticia, proforma o pendiente): no cuenta como respaldo validado; adjunte el instrumento identificable (título, emisor, fecha).</w:t>
            </w:r>
          </w:p>
        </w:tc>
      </w:tr>
      <w:tr>
        <w:trPr>
          <w:cantSplit/>
        </w:trPr>
        <w:tc>
          <w:tcPr>
            <w:tcW w:type="dxa" w:w="2196"/>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Aportación ap-na-af — Instalaciones adecuadas y montadas (avalúo ilustrativo; comprobar documentación de Patrimonio)</w:t>
            </w:r>
          </w:p>
        </w:tc>
        <w:tc>
          <w:tcPr>
            <w:tcW w:type="dxa" w:w="1409"/>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HIPÓTESIS ilustrativa</w:t>
            </w:r>
          </w:p>
        </w:tc>
        <w:tc>
          <w:tcPr>
            <w:tcW w:type="dxa" w:w="1626"/>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Socio nacional</w:t>
            </w:r>
          </w:p>
        </w:tc>
        <w:tc>
          <w:tcPr>
            <w:tcW w:type="dxa" w:w="542"/>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w:t>
            </w:r>
          </w:p>
        </w:tc>
        <w:tc>
          <w:tcPr>
            <w:tcW w:type="dxa" w:w="1626"/>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Aporte de 180,0 kUSD al capital social.</w:t>
            </w:r>
          </w:p>
        </w:tc>
        <w:tc>
          <w:tcPr>
            <w:tcW w:type="dxa" w:w="1626"/>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Referencia NO identificable (vacía, ficticia, proforma o pendiente): no cuenta como respaldo validado; adjunte el instrumento identificable (título, emisor, fecha).</w:t>
            </w:r>
          </w:p>
        </w:tc>
      </w:tr>
      <w:tr>
        <w:trPr>
          <w:cantSplit/>
        </w:trPr>
        <w:tc>
          <w:tcPr>
            <w:tcW w:type="dxa" w:w="2196"/>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Aportación ap-na-ac — Inventario inicial de materiales y consumibles (ilustrativo)</w:t>
            </w:r>
          </w:p>
        </w:tc>
        <w:tc>
          <w:tcPr>
            <w:tcW w:type="dxa" w:w="1409"/>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HIPÓTESIS ilustrativa</w:t>
            </w:r>
          </w:p>
        </w:tc>
        <w:tc>
          <w:tcPr>
            <w:tcW w:type="dxa" w:w="1626"/>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Socio nacional</w:t>
            </w:r>
          </w:p>
        </w:tc>
        <w:tc>
          <w:tcPr>
            <w:tcW w:type="dxa" w:w="542"/>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w:t>
            </w:r>
          </w:p>
        </w:tc>
        <w:tc>
          <w:tcPr>
            <w:tcW w:type="dxa" w:w="1626"/>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Aporte de 152,0 kUSD al capital social.</w:t>
            </w:r>
          </w:p>
        </w:tc>
        <w:tc>
          <w:tcPr>
            <w:tcW w:type="dxa" w:w="1626"/>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Referencia NO identificable (vacía, ficticia, proforma o pendiente): no cuenta como respaldo validado; adjunte el instrumento identificable (título, emisor, fecha).</w:t>
            </w:r>
          </w:p>
        </w:tc>
      </w:tr>
      <w:tr>
        <w:trPr>
          <w:cantSplit/>
        </w:trPr>
        <w:tc>
          <w:tcPr>
            <w:tcW w:type="dxa" w:w="2196"/>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Aportación ap-na-ef — Aporte en efectivo del socio nacional (supuesto ficticio)</w:t>
            </w:r>
          </w:p>
        </w:tc>
        <w:tc>
          <w:tcPr>
            <w:tcW w:type="dxa" w:w="1409"/>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HIPÓTESIS ilustrativa</w:t>
            </w:r>
          </w:p>
        </w:tc>
        <w:tc>
          <w:tcPr>
            <w:tcW w:type="dxa" w:w="1626"/>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Socio nacional</w:t>
            </w:r>
          </w:p>
        </w:tc>
        <w:tc>
          <w:tcPr>
            <w:tcW w:type="dxa" w:w="542"/>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w:t>
            </w:r>
          </w:p>
        </w:tc>
        <w:tc>
          <w:tcPr>
            <w:tcW w:type="dxa" w:w="1626"/>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Aporte de 140,0 kUSD al capital social.</w:t>
            </w:r>
          </w:p>
        </w:tc>
        <w:tc>
          <w:tcPr>
            <w:tcW w:type="dxa" w:w="1626"/>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Referencia NO identificable (vacía, ficticia, proforma o pendiente): no cuenta como respaldo validado; adjunte el instrumento identificable (título, emisor, fecha).</w:t>
            </w:r>
          </w:p>
        </w:tc>
      </w:tr>
      <w:tr>
        <w:trPr>
          <w:cantSplit/>
        </w:trPr>
        <w:tc>
          <w:tcPr>
            <w:tcW w:type="dxa" w:w="2196"/>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Demanda solvente, captación y precios de servicios (apartados 4.6 y 4.8)</w:t>
            </w:r>
          </w:p>
        </w:tc>
        <w:tc>
          <w:tcPr>
            <w:tcW w:type="dxa" w:w="1409"/>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HIPÓTESIS ilustrativa</w:t>
            </w:r>
          </w:p>
        </w:tc>
        <w:tc>
          <w:tcPr>
            <w:tcW w:type="dxa" w:w="1626"/>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Método ilustrativo por referencias públicas y supuestos de captación. La aplicación exige documentar fuentes y fechas; no simula investigación de mercado real.</w:t>
            </w:r>
          </w:p>
        </w:tc>
        <w:tc>
          <w:tcPr>
            <w:tcW w:type="dxa" w:w="542"/>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w:t>
            </w:r>
          </w:p>
        </w:tc>
        <w:tc>
          <w:tcPr>
            <w:tcW w:type="dxa" w:w="1626"/>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Volumen de servicios, ingresos por línea y desglose por canales.</w:t>
            </w:r>
          </w:p>
        </w:tc>
        <w:tc>
          <w:tcPr>
            <w:tcW w:type="dxa" w:w="1626"/>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Estimación del usuario/hipótesis ilustrativa: sin estudio de mercado verificable, la demanda NO debe presentarse como dato validado.</w:t>
            </w:r>
          </w:p>
        </w:tc>
      </w:tr>
      <w:tr>
        <w:trPr>
          <w:cantSplit/>
        </w:trPr>
        <w:tc>
          <w:tcPr>
            <w:tcW w:type="dxa" w:w="2196"/>
            <w:tcBorders>
              <w:bottom w:val="single" w:color="64748B" w:sz="8"/>
            </w:tcBorders>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Requisitos regulatorios declarados (apartado 4.8)</w:t>
            </w:r>
          </w:p>
        </w:tc>
        <w:tc>
          <w:tcPr>
            <w:tcW w:type="dxa" w:w="1409"/>
            <w:tcBorders>
              <w:bottom w:val="single" w:color="64748B" w:sz="8"/>
            </w:tcBorders>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Dato del usuario</w:t>
            </w:r>
          </w:p>
        </w:tc>
        <w:tc>
          <w:tcPr>
            <w:tcW w:type="dxa" w:w="1626"/>
            <w:tcBorders>
              <w:bottom w:val="single" w:color="64748B" w:sz="8"/>
            </w:tcBorders>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Usuario del plan</w:t>
            </w:r>
          </w:p>
        </w:tc>
        <w:tc>
          <w:tcPr>
            <w:tcW w:type="dxa" w:w="542"/>
            <w:tcBorders>
              <w:bottom w:val="single" w:color="64748B" w:sz="8"/>
            </w:tcBorders>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w:t>
            </w:r>
          </w:p>
        </w:tc>
        <w:tc>
          <w:tcPr>
            <w:tcW w:type="dxa" w:w="1626"/>
            <w:tcBorders>
              <w:bottom w:val="single" w:color="64748B" w:sz="8"/>
            </w:tcBorders>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Requisitos legales, sanitarios y ambientales identificados.</w:t>
            </w:r>
          </w:p>
        </w:tc>
        <w:tc>
          <w:tcPr>
            <w:tcW w:type="dxa" w:w="1626"/>
            <w:tcBorders>
              <w:bottom w:val="single" w:color="64748B" w:sz="8"/>
            </w:tcBorders>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LISTADO no verificado: cada autorización exige evidencia externa comprobable (número, emisor, fecha y estado de aprobación). La aplicación NO declara su cumplimiento.</w:t>
            </w:r>
          </w:p>
        </w:tc>
      </w:tr>
    </w:tbl>
    <w:p>
      <w:pPr>
        <w:spacing w:after="60" w:before="60" w:line="276"/>
        <w:jc w:val="both"/>
      </w:pPr>
      <w:r>
        <w:rPr>
          <w:rFonts w:ascii="Calibri" w:cs="Calibri" w:eastAsia="Calibri" w:hAnsi="Calibri"/>
          <w:color w:val="334155"/>
          <w:sz w:val="20"/>
          <w:szCs w:val="20"/>
        </w:rPr>
        <w:t xml:space="preserve">Reglas de cálculo activas (Nivel B): fórmulas completas, ámbito y equivalencias Excel pueden consultarse en «Configuración de cálculos» de la aplicación y en la hoja «Reglas» del libro exportado. Las variables del motor (mtr_*) provienen de las hojas Depreciacion, Deuda, FlujosCaja, Dividendos y Capacidad. La regla del impuesto sobre utilidades es demostrativa y editable: no constituye la tasa legal aplicable.</w:t>
      </w:r>
    </w:p>
    <w:p>
      <w:pPr>
        <w:spacing w:after="60" w:before="60" w:line="276"/>
        <w:jc w:val="both"/>
      </w:pPr>
      <w:r>
        <w:rPr>
          <w:rFonts w:ascii="Calibri" w:cs="Calibri" w:eastAsia="Calibri" w:hAnsi="Calibri"/>
          <w:color w:val="334155"/>
          <w:sz w:val="20"/>
          <w:szCs w:val="20"/>
        </w:rPr>
        <w:t xml:space="preserve">Redondeo: los cálculos usan precisión interna completa y el redondeo es solo de presentación (miles de USD con un decimal); pequeñas diferencias con la suma visual de cifras redondeadas se explican por este motivo de forma uniforme.</w:t>
      </w:r>
    </w:p>
    <w:p>
      <w:pPr>
        <w:spacing w:after="60" w:before="60" w:line="276"/>
        <w:jc w:val="both"/>
      </w:pPr>
      <w:r>
        <w:rPr>
          <w:rFonts w:ascii="Calibri" w:cs="Calibri" w:eastAsia="Calibri" w:hAnsi="Calibri"/>
          <w:color w:val="334155"/>
          <w:sz w:val="20"/>
          <w:szCs w:val="20"/>
        </w:rPr>
        <w:t xml:space="preserve">Moneda de presentación del documento: USD. Conversión aplicada una sola vez desde la moneda de origen de cada importe con el tipo de cambio parametrizado de 743,0 CUP por USD (fecha de referencia: 2026-10-25 — fecha de corte del supuesto ilustrativo, no una cotización observada); fuente: Supuesto de demostración editable (743 CUP/USD, tasa ilustrativa pendiente de validación oficial; fecha de corte del supuesto: 2026-10-25).. SUPUESTO DE DEMOSTRACIÓN EDITABLE, PENDIENTE DE VALIDACIÓN OFICIAL: manténgalo como supuesto ilustrativo mientras no exista una fuente oficial verificable; antes de un uso oficial debe sustituirse por la tasa vigente con su fecha y fuente documentadas. Los porcentajes, cantidades físicas, plantillas, horas y períodos no se convierten; los salarios se expresan en CUP conforme a la metodología 4.9, con su equivalente en USD documentado. El redondeo es solo de presentación: los totales se calculan con precisión completa y pueden diferir de la suma de cifras redondeadas.</w:t>
      </w:r>
    </w:p>
    <w:p>
      <w:pPr>
        <w:pStyle w:val="NotaTexto"/>
        <w:spacing w:after="60" w:before="60" w:line="276"/>
        <w:jc w:val="both"/>
      </w:pPr>
      <w:r>
        <w:rPr>
          <w:rFonts w:ascii="Calibri" w:cs="Calibri" w:eastAsia="Calibri" w:hAnsi="Calibri"/>
          <w:color w:val="334155"/>
          <w:sz w:val="16"/>
          <w:szCs w:val="16"/>
        </w:rPr>
        <w:t xml:space="preserve">Figuras: las figuras de este informe se generan localmente desde los mismos datos que alimentan las tablas (motor de cálculo activo), sin servicios externos; cada figura lleva número, título, unidades, leyenda y nota de fuentes y supuestos, y es referida desde el texto. Las limitaciones de paginación entre PDF y Word existen, pero los contenidos, cifras, tablas, títulos, fórmulas y figuras coinciden entre ambos formatos.</w:t>
      </w:r>
    </w:p>
    <w:tbl>
      <w:tblPr>
        <w:tblW w:type="dxa" w:w="9026"/>
        <w:tblBorders>
          <w:top w:val="single" w:color="B45309" w:sz="6"/>
          <w:left w:val="single" w:color="B45309" w:sz="6"/>
          <w:bottom w:val="single" w:color="B45309" w:sz="6"/>
          <w:right w:val="single" w:color="B45309" w:sz="6"/>
          <w:insideH w:val="none" w:color="auto" w:sz="0"/>
          <w:insideV w:val="none" w:color="auto" w:sz="0"/>
        </w:tblBorders>
      </w:tblPr>
      <w:tblGrid>
        <w:gridCol w:w="9026"/>
      </w:tblGrid>
      <w:tr>
        <w:trPr>
          <w:cantSplit/>
        </w:trPr>
        <w:tc>
          <w:tcPr>
            <w:shd w:fill="FFF3CD" w:color="auto" w:val="clear"/>
            <w:tcMar>
              <w:top w:type="dxa" w:w="100"/>
              <w:left w:type="dxa" w:w="140"/>
              <w:bottom w:type="dxa" w:w="100"/>
              <w:right w:type="dxa" w:w="140"/>
            </w:tcMar>
          </w:tcPr>
          <w:p>
            <w:pPr>
              <w:spacing w:after="60" w:before="60"/>
            </w:pPr>
            <w:r>
              <w:rPr>
                <w:rFonts w:ascii="Calibri" w:cs="Calibri" w:eastAsia="Calibri" w:hAnsi="Calibri"/>
                <w:color w:val="92400E"/>
                <w:sz w:val="16"/>
                <w:szCs w:val="16"/>
              </w:rPr>
              <w:t xml:space="preserve">EJEMPLO ILUSTRATIVO CON DATOS FICTICIOS. No constituye una propuesta aprobada ni acredita el cumplimiento de requisitos legales, tributarios, sanitarios o de inversión. Validar las cifras, supuestos, autorizaciones y requisitos aplicables antes de su presentación oficial.</w:t>
            </w:r>
          </w:p>
        </w:tc>
      </w:tr>
    </w:tbl>
    <w:sectPr>
      <w:headerReference w:type="default" r:id="rId12"/>
      <w:footerReference w:type="default" r:id="rId13"/>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Calibri" w:cs="Calibri" w:eastAsia="Calibri" w:hAnsi="Calibri"/>
        <w:color w:val="64748B"/>
        <w:sz w:val="13"/>
        <w:szCs w:val="13"/>
      </w:rPr>
      <w:t xml:space="preserve">PLANEX Cuba — Plan de Negocios (GOC-2026-O57)</w:t>
    </w:r>
    <w:r>
      <w:rPr>
        <w:rFonts w:ascii="Calibri" w:cs="Calibri" w:eastAsia="Calibri" w:hAnsi="Calibri"/>
        <w:color w:val="64748B"/>
        <w:sz w:val="13"/>
        <w:szCs w:val="13"/>
      </w:rPr>
      <w:t xml:space="preserve">	Página </w:t>
    </w:r>
    <w:r>
      <w:rPr>
        <w:rFonts w:ascii="Calibri" w:cs="Calibri" w:eastAsia="Calibri" w:hAnsi="Calibri"/>
        <w:color w:val="64748B"/>
        <w:sz w:val="13"/>
        <w:szCs w:val="13"/>
      </w:rPr>
      <w:fldChar w:fldCharType="begin"/>
    </w:r>
    <w:r>
      <w:rPr>
        <w:rFonts w:ascii="Calibri" w:cs="Calibri" w:eastAsia="Calibri" w:hAnsi="Calibri"/>
        <w:color w:val="64748B"/>
        <w:sz w:val="13"/>
        <w:szCs w:val="13"/>
      </w:rPr>
      <w:instrText xml:space="preserve">PAGE</w:instrText>
    </w:r>
    <w:r>
      <w:rPr>
        <w:rFonts w:ascii="Calibri" w:cs="Calibri" w:eastAsia="Calibri" w:hAnsi="Calibri"/>
        <w:color w:val="64748B"/>
        <w:sz w:val="13"/>
        <w:szCs w:val="13"/>
      </w:rPr>
      <w:fldChar w:fldCharType="separate"/>
    </w:r>
    <w:r>
      <w:rPr>
        <w:rFonts w:ascii="Calibri" w:cs="Calibri" w:eastAsia="Calibri" w:hAnsi="Calibri"/>
        <w:color w:val="64748B"/>
        <w:sz w:val="13"/>
        <w:szCs w:val="13"/>
      </w:rPr>
      <w:fldChar w:fldCharType="end"/>
    </w:r>
    <w:r>
      <w:rPr>
        <w:rFonts w:ascii="Calibri" w:cs="Calibri" w:eastAsia="Calibri" w:hAnsi="Calibri"/>
        <w:color w:val="64748B"/>
        <w:sz w:val="13"/>
        <w:szCs w:val="13"/>
      </w:rPr>
      <w:t xml:space="preserve"> de </w:t>
    </w:r>
    <w:r>
      <w:rPr>
        <w:rFonts w:ascii="Calibri" w:cs="Calibri" w:eastAsia="Calibri" w:hAnsi="Calibri"/>
        <w:color w:val="64748B"/>
        <w:sz w:val="13"/>
        <w:szCs w:val="13"/>
      </w:rPr>
      <w:fldChar w:fldCharType="begin"/>
    </w:r>
    <w:r>
      <w:rPr>
        <w:rFonts w:ascii="Calibri" w:cs="Calibri" w:eastAsia="Calibri" w:hAnsi="Calibri"/>
        <w:color w:val="64748B"/>
        <w:sz w:val="13"/>
        <w:szCs w:val="13"/>
      </w:rPr>
      <w:instrText xml:space="preserve">NUMPAGES</w:instrText>
    </w:r>
    <w:r>
      <w:rPr>
        <w:rFonts w:ascii="Calibri" w:cs="Calibri" w:eastAsia="Calibri" w:hAnsi="Calibri"/>
        <w:color w:val="64748B"/>
        <w:sz w:val="13"/>
        <w:szCs w:val="13"/>
      </w:rPr>
      <w:fldChar w:fldCharType="separate"/>
    </w:r>
    <w:r>
      <w:rPr>
        <w:rFonts w:ascii="Calibri" w:cs="Calibri" w:eastAsia="Calibri" w:hAnsi="Calibri"/>
        <w:color w:val="64748B"/>
        <w:sz w:val="13"/>
        <w:szCs w:val="13"/>
      </w:rPr>
      <w:fldChar w:fldCharType="end"/>
    </w:r>
    <w:r>
      <w:rPr>
        <w:rFonts w:ascii="Calibri" w:cs="Calibri" w:eastAsia="Calibri" w:hAnsi="Calibri"/>
        <w:color w:val="B45309"/>
        <w:sz w:val="13"/>
        <w:szCs w:val="13"/>
      </w:rPr>
      <w:t xml:space="preserve">   ·   EJEMPLO ILUSTRATIVO CON DATOS FICTICIOS</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Calibri" w:cs="Calibri" w:eastAsia="Calibri" w:hAnsi="Calibri"/>
        <w:color w:val="64748B"/>
        <w:sz w:val="13"/>
        <w:szCs w:val="13"/>
      </w:rPr>
      <w:t xml:space="preserve">PLANEX Cuba — Plan de Negocios (GOC-2026-O57)</w:t>
    </w:r>
    <w:r>
      <w:rPr>
        <w:rFonts w:ascii="Calibri" w:cs="Calibri" w:eastAsia="Calibri" w:hAnsi="Calibri"/>
        <w:color w:val="64748B"/>
        <w:sz w:val="13"/>
        <w:szCs w:val="13"/>
      </w:rPr>
      <w:t xml:space="preserve">	Página </w:t>
    </w:r>
    <w:r>
      <w:rPr>
        <w:rFonts w:ascii="Calibri" w:cs="Calibri" w:eastAsia="Calibri" w:hAnsi="Calibri"/>
        <w:color w:val="64748B"/>
        <w:sz w:val="13"/>
        <w:szCs w:val="13"/>
      </w:rPr>
      <w:fldChar w:fldCharType="begin"/>
    </w:r>
    <w:r>
      <w:rPr>
        <w:rFonts w:ascii="Calibri" w:cs="Calibri" w:eastAsia="Calibri" w:hAnsi="Calibri"/>
        <w:color w:val="64748B"/>
        <w:sz w:val="13"/>
        <w:szCs w:val="13"/>
      </w:rPr>
      <w:instrText xml:space="preserve">PAGE</w:instrText>
    </w:r>
    <w:r>
      <w:rPr>
        <w:rFonts w:ascii="Calibri" w:cs="Calibri" w:eastAsia="Calibri" w:hAnsi="Calibri"/>
        <w:color w:val="64748B"/>
        <w:sz w:val="13"/>
        <w:szCs w:val="13"/>
      </w:rPr>
      <w:fldChar w:fldCharType="separate"/>
    </w:r>
    <w:r>
      <w:rPr>
        <w:rFonts w:ascii="Calibri" w:cs="Calibri" w:eastAsia="Calibri" w:hAnsi="Calibri"/>
        <w:color w:val="64748B"/>
        <w:sz w:val="13"/>
        <w:szCs w:val="13"/>
      </w:rPr>
      <w:fldChar w:fldCharType="end"/>
    </w:r>
    <w:r>
      <w:rPr>
        <w:rFonts w:ascii="Calibri" w:cs="Calibri" w:eastAsia="Calibri" w:hAnsi="Calibri"/>
        <w:color w:val="64748B"/>
        <w:sz w:val="13"/>
        <w:szCs w:val="13"/>
      </w:rPr>
      <w:t xml:space="preserve"> de </w:t>
    </w:r>
    <w:r>
      <w:rPr>
        <w:rFonts w:ascii="Calibri" w:cs="Calibri" w:eastAsia="Calibri" w:hAnsi="Calibri"/>
        <w:color w:val="64748B"/>
        <w:sz w:val="13"/>
        <w:szCs w:val="13"/>
      </w:rPr>
      <w:fldChar w:fldCharType="begin"/>
    </w:r>
    <w:r>
      <w:rPr>
        <w:rFonts w:ascii="Calibri" w:cs="Calibri" w:eastAsia="Calibri" w:hAnsi="Calibri"/>
        <w:color w:val="64748B"/>
        <w:sz w:val="13"/>
        <w:szCs w:val="13"/>
      </w:rPr>
      <w:instrText xml:space="preserve">NUMPAGES</w:instrText>
    </w:r>
    <w:r>
      <w:rPr>
        <w:rFonts w:ascii="Calibri" w:cs="Calibri" w:eastAsia="Calibri" w:hAnsi="Calibri"/>
        <w:color w:val="64748B"/>
        <w:sz w:val="13"/>
        <w:szCs w:val="13"/>
      </w:rPr>
      <w:fldChar w:fldCharType="separate"/>
    </w:r>
    <w:r>
      <w:rPr>
        <w:rFonts w:ascii="Calibri" w:cs="Calibri" w:eastAsia="Calibri" w:hAnsi="Calibri"/>
        <w:color w:val="64748B"/>
        <w:sz w:val="13"/>
        <w:szCs w:val="13"/>
      </w:rPr>
      <w:fldChar w:fldCharType="end"/>
    </w:r>
    <w:r>
      <w:rPr>
        <w:rFonts w:ascii="Calibri" w:cs="Calibri" w:eastAsia="Calibri" w:hAnsi="Calibri"/>
        <w:color w:val="B45309"/>
        <w:sz w:val="13"/>
        <w:szCs w:val="13"/>
      </w:rPr>
      <w:t xml:space="preserve">   ·   EJEMPLO ILUSTRATIVO CON DATOS FICTICIOS</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Calibri" w:cs="Calibri" w:eastAsia="Calibri" w:hAnsi="Calibri"/>
        <w:color w:val="64748B"/>
        <w:sz w:val="13"/>
        <w:szCs w:val="13"/>
      </w:rPr>
      <w:t xml:space="preserve">PLANEX Cuba — Plan de Negocios (GOC-2026-O57)</w:t>
    </w:r>
    <w:r>
      <w:rPr>
        <w:rFonts w:ascii="Calibri" w:cs="Calibri" w:eastAsia="Calibri" w:hAnsi="Calibri"/>
        <w:color w:val="64748B"/>
        <w:sz w:val="13"/>
        <w:szCs w:val="13"/>
      </w:rPr>
      <w:t xml:space="preserve">	Página </w:t>
    </w:r>
    <w:r>
      <w:rPr>
        <w:rFonts w:ascii="Calibri" w:cs="Calibri" w:eastAsia="Calibri" w:hAnsi="Calibri"/>
        <w:color w:val="64748B"/>
        <w:sz w:val="13"/>
        <w:szCs w:val="13"/>
      </w:rPr>
      <w:fldChar w:fldCharType="begin"/>
    </w:r>
    <w:r>
      <w:rPr>
        <w:rFonts w:ascii="Calibri" w:cs="Calibri" w:eastAsia="Calibri" w:hAnsi="Calibri"/>
        <w:color w:val="64748B"/>
        <w:sz w:val="13"/>
        <w:szCs w:val="13"/>
      </w:rPr>
      <w:instrText xml:space="preserve">PAGE</w:instrText>
    </w:r>
    <w:r>
      <w:rPr>
        <w:rFonts w:ascii="Calibri" w:cs="Calibri" w:eastAsia="Calibri" w:hAnsi="Calibri"/>
        <w:color w:val="64748B"/>
        <w:sz w:val="13"/>
        <w:szCs w:val="13"/>
      </w:rPr>
      <w:fldChar w:fldCharType="separate"/>
    </w:r>
    <w:r>
      <w:rPr>
        <w:rFonts w:ascii="Calibri" w:cs="Calibri" w:eastAsia="Calibri" w:hAnsi="Calibri"/>
        <w:color w:val="64748B"/>
        <w:sz w:val="13"/>
        <w:szCs w:val="13"/>
      </w:rPr>
      <w:fldChar w:fldCharType="end"/>
    </w:r>
    <w:r>
      <w:rPr>
        <w:rFonts w:ascii="Calibri" w:cs="Calibri" w:eastAsia="Calibri" w:hAnsi="Calibri"/>
        <w:color w:val="64748B"/>
        <w:sz w:val="13"/>
        <w:szCs w:val="13"/>
      </w:rPr>
      <w:t xml:space="preserve"> de </w:t>
    </w:r>
    <w:r>
      <w:rPr>
        <w:rFonts w:ascii="Calibri" w:cs="Calibri" w:eastAsia="Calibri" w:hAnsi="Calibri"/>
        <w:color w:val="64748B"/>
        <w:sz w:val="13"/>
        <w:szCs w:val="13"/>
      </w:rPr>
      <w:fldChar w:fldCharType="begin"/>
    </w:r>
    <w:r>
      <w:rPr>
        <w:rFonts w:ascii="Calibri" w:cs="Calibri" w:eastAsia="Calibri" w:hAnsi="Calibri"/>
        <w:color w:val="64748B"/>
        <w:sz w:val="13"/>
        <w:szCs w:val="13"/>
      </w:rPr>
      <w:instrText xml:space="preserve">NUMPAGES</w:instrText>
    </w:r>
    <w:r>
      <w:rPr>
        <w:rFonts w:ascii="Calibri" w:cs="Calibri" w:eastAsia="Calibri" w:hAnsi="Calibri"/>
        <w:color w:val="64748B"/>
        <w:sz w:val="13"/>
        <w:szCs w:val="13"/>
      </w:rPr>
      <w:fldChar w:fldCharType="separate"/>
    </w:r>
    <w:r>
      <w:rPr>
        <w:rFonts w:ascii="Calibri" w:cs="Calibri" w:eastAsia="Calibri" w:hAnsi="Calibri"/>
        <w:color w:val="64748B"/>
        <w:sz w:val="13"/>
        <w:szCs w:val="13"/>
      </w:rPr>
      <w:fldChar w:fldCharType="end"/>
    </w:r>
    <w:r>
      <w:rPr>
        <w:rFonts w:ascii="Calibri" w:cs="Calibri" w:eastAsia="Calibri" w:hAnsi="Calibri"/>
        <w:color w:val="B45309"/>
        <w:sz w:val="13"/>
        <w:szCs w:val="13"/>
      </w:rPr>
      <w:t xml:space="preserve">   ·   EJEMPLO ILUSTRATIVO CON DATOS FICTICIOS</w: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Calibri" w:cs="Calibri" w:eastAsia="Calibri" w:hAnsi="Calibri"/>
        <w:color w:val="64748B"/>
        <w:sz w:val="13"/>
        <w:szCs w:val="13"/>
      </w:rPr>
      <w:t xml:space="preserve">PLANEX Cuba — Plan de Negocios (GOC-2026-O57)</w:t>
    </w:r>
    <w:r>
      <w:rPr>
        <w:rFonts w:ascii="Calibri" w:cs="Calibri" w:eastAsia="Calibri" w:hAnsi="Calibri"/>
        <w:color w:val="64748B"/>
        <w:sz w:val="13"/>
        <w:szCs w:val="13"/>
      </w:rPr>
      <w:t xml:space="preserve">	Página </w:t>
    </w:r>
    <w:r>
      <w:rPr>
        <w:rFonts w:ascii="Calibri" w:cs="Calibri" w:eastAsia="Calibri" w:hAnsi="Calibri"/>
        <w:color w:val="64748B"/>
        <w:sz w:val="13"/>
        <w:szCs w:val="13"/>
      </w:rPr>
      <w:fldChar w:fldCharType="begin"/>
    </w:r>
    <w:r>
      <w:rPr>
        <w:rFonts w:ascii="Calibri" w:cs="Calibri" w:eastAsia="Calibri" w:hAnsi="Calibri"/>
        <w:color w:val="64748B"/>
        <w:sz w:val="13"/>
        <w:szCs w:val="13"/>
      </w:rPr>
      <w:instrText xml:space="preserve">PAGE</w:instrText>
    </w:r>
    <w:r>
      <w:rPr>
        <w:rFonts w:ascii="Calibri" w:cs="Calibri" w:eastAsia="Calibri" w:hAnsi="Calibri"/>
        <w:color w:val="64748B"/>
        <w:sz w:val="13"/>
        <w:szCs w:val="13"/>
      </w:rPr>
      <w:fldChar w:fldCharType="separate"/>
    </w:r>
    <w:r>
      <w:rPr>
        <w:rFonts w:ascii="Calibri" w:cs="Calibri" w:eastAsia="Calibri" w:hAnsi="Calibri"/>
        <w:color w:val="64748B"/>
        <w:sz w:val="13"/>
        <w:szCs w:val="13"/>
      </w:rPr>
      <w:fldChar w:fldCharType="end"/>
    </w:r>
    <w:r>
      <w:rPr>
        <w:rFonts w:ascii="Calibri" w:cs="Calibri" w:eastAsia="Calibri" w:hAnsi="Calibri"/>
        <w:color w:val="64748B"/>
        <w:sz w:val="13"/>
        <w:szCs w:val="13"/>
      </w:rPr>
      <w:t xml:space="preserve"> de </w:t>
    </w:r>
    <w:r>
      <w:rPr>
        <w:rFonts w:ascii="Calibri" w:cs="Calibri" w:eastAsia="Calibri" w:hAnsi="Calibri"/>
        <w:color w:val="64748B"/>
        <w:sz w:val="13"/>
        <w:szCs w:val="13"/>
      </w:rPr>
      <w:fldChar w:fldCharType="begin"/>
    </w:r>
    <w:r>
      <w:rPr>
        <w:rFonts w:ascii="Calibri" w:cs="Calibri" w:eastAsia="Calibri" w:hAnsi="Calibri"/>
        <w:color w:val="64748B"/>
        <w:sz w:val="13"/>
        <w:szCs w:val="13"/>
      </w:rPr>
      <w:instrText xml:space="preserve">NUMPAGES</w:instrText>
    </w:r>
    <w:r>
      <w:rPr>
        <w:rFonts w:ascii="Calibri" w:cs="Calibri" w:eastAsia="Calibri" w:hAnsi="Calibri"/>
        <w:color w:val="64748B"/>
        <w:sz w:val="13"/>
        <w:szCs w:val="13"/>
      </w:rPr>
      <w:fldChar w:fldCharType="separate"/>
    </w:r>
    <w:r>
      <w:rPr>
        <w:rFonts w:ascii="Calibri" w:cs="Calibri" w:eastAsia="Calibri" w:hAnsi="Calibri"/>
        <w:color w:val="64748B"/>
        <w:sz w:val="13"/>
        <w:szCs w:val="13"/>
      </w:rPr>
      <w:fldChar w:fldCharType="end"/>
    </w:r>
    <w:r>
      <w:rPr>
        <w:rFonts w:ascii="Calibri" w:cs="Calibri" w:eastAsia="Calibri" w:hAnsi="Calibri"/>
        <w:color w:val="B45309"/>
        <w:sz w:val="13"/>
        <w:szCs w:val="13"/>
      </w:rPr>
      <w:t xml:space="preserve">   ·   EJEMPLO ILUSTRATIVO CON DATOS FICTICIOS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E3A5F" w:sz="4" w:space="2"/>
      </w:pBdr>
      <w:tabs>
        <w:tab w:val="right" w:pos="9026"/>
      </w:tabs>
    </w:pPr>
    <w:r>
      <w:rPr>
        <w:rFonts w:ascii="Calibri" w:cs="Calibri" w:eastAsia="Calibri" w:hAnsi="Calibri"/>
        <w:b/>
        <w:bCs/>
        <w:color w:val="1E3A5F"/>
        <w:sz w:val="15"/>
        <w:szCs w:val="15"/>
      </w:rPr>
      <w:t xml:space="preserve">PLAN DE NEGOCIOS</w:t>
    </w:r>
    <w:r>
      <w:rPr>
        <w:rFonts w:ascii="Calibri" w:cs="Calibri" w:eastAsia="Calibri" w:hAnsi="Calibri"/>
        <w:color w:val="64748B"/>
        <w:sz w:val="13"/>
        <w:szCs w:val="13"/>
      </w:rPr>
      <w:t xml:space="preserve">	Clínica Estomatológica «Sonrisa Habana»</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E3A5F" w:sz="4" w:space="2"/>
      </w:pBdr>
      <w:tabs>
        <w:tab w:val="right" w:pos="9026"/>
      </w:tabs>
    </w:pPr>
    <w:r>
      <w:rPr>
        <w:rFonts w:ascii="Calibri" w:cs="Calibri" w:eastAsia="Calibri" w:hAnsi="Calibri"/>
        <w:b/>
        <w:bCs/>
        <w:color w:val="1E3A5F"/>
        <w:sz w:val="15"/>
        <w:szCs w:val="15"/>
      </w:rPr>
      <w:t xml:space="preserve">PLAN DE NEGOCIOS</w:t>
    </w:r>
    <w:r>
      <w:rPr>
        <w:rFonts w:ascii="Calibri" w:cs="Calibri" w:eastAsia="Calibri" w:hAnsi="Calibri"/>
        <w:color w:val="64748B"/>
        <w:sz w:val="13"/>
        <w:szCs w:val="13"/>
      </w:rPr>
      <w:t xml:space="preserve">	Clínica Estomatológica «Sonrisa Habana»</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E3A5F" w:sz="4" w:space="2"/>
      </w:pBdr>
      <w:tabs>
        <w:tab w:val="right" w:pos="9026"/>
      </w:tabs>
    </w:pPr>
    <w:r>
      <w:rPr>
        <w:rFonts w:ascii="Calibri" w:cs="Calibri" w:eastAsia="Calibri" w:hAnsi="Calibri"/>
        <w:b/>
        <w:bCs/>
        <w:color w:val="1E3A5F"/>
        <w:sz w:val="15"/>
        <w:szCs w:val="15"/>
      </w:rPr>
      <w:t xml:space="preserve">PLAN DE NEGOCIOS</w:t>
    </w:r>
    <w:r>
      <w:rPr>
        <w:rFonts w:ascii="Calibri" w:cs="Calibri" w:eastAsia="Calibri" w:hAnsi="Calibri"/>
        <w:color w:val="64748B"/>
        <w:sz w:val="13"/>
        <w:szCs w:val="13"/>
      </w:rPr>
      <w:t xml:space="preserve">	Clínica Estomatológica «Sonrisa Habana»</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E3A5F" w:sz="4" w:space="2"/>
      </w:pBdr>
      <w:tabs>
        <w:tab w:val="right" w:pos="9026"/>
      </w:tabs>
    </w:pPr>
    <w:r>
      <w:rPr>
        <w:rFonts w:ascii="Calibri" w:cs="Calibri" w:eastAsia="Calibri" w:hAnsi="Calibri"/>
        <w:b/>
        <w:bCs/>
        <w:color w:val="1E3A5F"/>
        <w:sz w:val="15"/>
        <w:szCs w:val="15"/>
      </w:rPr>
      <w:t xml:space="preserve">PLAN DE NEGOCIOS</w:t>
    </w:r>
    <w:r>
      <w:rPr>
        <w:rFonts w:ascii="Calibri" w:cs="Calibri" w:eastAsia="Calibri" w:hAnsi="Calibri"/>
        <w:color w:val="64748B"/>
        <w:sz w:val="13"/>
        <w:szCs w:val="13"/>
      </w:rPr>
      <w:t xml:space="preserve">	Clínica Estomatológica «Sonrisa Habana»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334155"/>
        <w:sz w:val="20"/>
        <w:szCs w:val="20"/>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E3A5F"/>
      <w:sz w:val="30"/>
      <w:szCs w:val="30"/>
    </w:rPr>
  </w:style>
  <w:style w:type="paragraph" w:styleId="Heading2">
    <w:name w:val="Heading 2"/>
    <w:basedOn w:val="Normal"/>
    <w:next w:val="Normal"/>
    <w:qFormat/>
    <w:rPr>
      <w:rFonts w:ascii="Calibri" w:cs="Calibri" w:eastAsia="Calibri" w:hAnsi="Calibri"/>
      <w:b/>
      <w:bCs/>
      <w:color w:val="1E3A5F"/>
      <w:sz w:val="24"/>
      <w:szCs w:val="24"/>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00"/>
    </w:pPr>
  </w:style>
  <w:style w:type="paragraph" w:styleId="TOC3">
    <w:name w:val="toc 3"/>
    <w:basedOn w:val="Normal"/>
    <w:next w:val="Normal"/>
    <w:uiPriority w:val="39"/>
    <w:semiHidden/>
    <w:unhideWhenUsed/>
    <w:pPr>
      <w:spacing w:after="100"/>
      <w:ind w:left="400"/>
    </w:pPr>
  </w:style>
  <w:style w:type="paragraph" w:styleId="TOC4">
    <w:name w:val="toc 4"/>
    <w:basedOn w:val="Normal"/>
    <w:next w:val="Normal"/>
    <w:uiPriority w:val="39"/>
    <w:semiHidden/>
    <w:unhideWhenUsed/>
    <w:pPr>
      <w:spacing w:after="100"/>
      <w:ind w:left="600"/>
    </w:pPr>
  </w:style>
  <w:style w:type="paragraph" w:styleId="TOC5">
    <w:name w:val="toc 5"/>
    <w:basedOn w:val="Normal"/>
    <w:next w:val="Normal"/>
    <w:uiPriority w:val="39"/>
    <w:semiHidden/>
    <w:unhideWhenUsed/>
    <w:pPr>
      <w:spacing w:after="100"/>
      <w:ind w:left="800"/>
    </w:pPr>
  </w:style>
  <w:style w:type="paragraph" w:styleId="TOC6">
    <w:name w:val="toc 6"/>
    <w:basedOn w:val="Normal"/>
    <w:next w:val="Normal"/>
    <w:uiPriority w:val="39"/>
    <w:semiHidden/>
    <w:unhideWhenUsed/>
    <w:pPr>
      <w:spacing w:after="100"/>
      <w:ind w:left="1000"/>
    </w:pPr>
  </w:style>
  <w:style w:type="paragraph" w:styleId="TOC7">
    <w:name w:val="toc 7"/>
    <w:basedOn w:val="Normal"/>
    <w:next w:val="Normal"/>
    <w:uiPriority w:val="39"/>
    <w:semiHidden/>
    <w:unhideWhenUsed/>
    <w:pPr>
      <w:spacing w:after="100"/>
      <w:ind w:left="1200"/>
    </w:pPr>
  </w:style>
  <w:style w:type="paragraph" w:styleId="TOC8">
    <w:name w:val="toc 8"/>
    <w:basedOn w:val="Normal"/>
    <w:next w:val="Normal"/>
    <w:uiPriority w:val="39"/>
    <w:semiHidden/>
    <w:unhideWhenUsed/>
    <w:pPr>
      <w:spacing w:after="100"/>
      <w:ind w:left="1400"/>
    </w:pPr>
  </w:style>
  <w:style w:type="paragraph" w:styleId="TOC9">
    <w:name w:val="toc 9"/>
    <w:basedOn w:val="Normal"/>
    <w:next w:val="Normal"/>
    <w:uiPriority w:val="39"/>
    <w:semiHidden/>
    <w:unhideWhenUsed/>
    <w:pPr>
      <w:spacing w:after="100"/>
      <w:ind w:left="160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NotaTabla">
    <w:name w:val="Nota de tabla"/>
    <w:basedOn w:val="Normal"/>
    <w:rPr>
      <w:rFonts w:ascii="Calibri" w:cs="Calibri" w:eastAsia="Calibri" w:hAnsi="Calibri"/>
      <w:color w:val="1E3A5F"/>
    </w:rPr>
  </w:style>
  <w:style w:type="paragraph" w:styleId="NotaTexto">
    <w:name w:val="Texto de nota"/>
    <w:basedOn w:val="Normal"/>
    <w:rPr>
      <w:rFonts w:ascii="Calibri" w:cs="Calibri" w:eastAsia="Calibri" w:hAnsi="Calibri"/>
      <w:color w:val="64748B"/>
      <w:sz w:val="16"/>
      <w:szCs w:val="16"/>
    </w:rPr>
  </w:style>
  <w:style w:type="paragraph" w:styleId="AnalisisPlanex">
    <w:name w:val="Análisis PLANEX"/>
    <w:basedOn w:val="Normal"/>
    <w:rPr>
      <w:rFonts w:ascii="Calibri" w:cs="Calibri" w:eastAsia="Calibri" w:hAnsi="Calibri"/>
    </w:rPr>
  </w:style>
  <w:style w:type="paragraph" w:styleId="AnalisisCuerpo">
    <w:name w:val="Cuerpo de análisis PLANEX"/>
    <w:basedOn w:val="Normal"/>
    <w:rPr>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header" Target="header2.xml"/><Relationship Id="rId9" Type="http://schemas.openxmlformats.org/officeDocument/2006/relationships/footer" Target="footer2.xml"/><Relationship Id="rId10" Type="http://schemas.openxmlformats.org/officeDocument/2006/relationships/header" Target="header3.xml"/><Relationship Id="rId11" Type="http://schemas.openxmlformats.org/officeDocument/2006/relationships/footer" Target="footer3.xml"/><Relationship Id="rId12" Type="http://schemas.openxmlformats.org/officeDocument/2006/relationships/header" Target="header4.xml"/><Relationship Id="rId13" Type="http://schemas.openxmlformats.org/officeDocument/2006/relationships/footer" Target="footer4.xml"/><Relationship Id="rId14" Type="http://schemas.openxmlformats.org/officeDocument/2006/relationships/theme" Target="theme/theme1.xml"/><Relationship Id="rId15" Type="http://schemas.openxmlformats.org/officeDocument/2006/relationships/image" Target="media/f7af0dcfa28c806367895230a5ea9b259620f029.png"/><Relationship Id="rId16" Type="http://schemas.openxmlformats.org/officeDocument/2006/relationships/image" Target="media/9e4d9cc0007b6d8d9fc5b8d1273740064643c488.png"/><Relationship Id="rId17" Type="http://schemas.openxmlformats.org/officeDocument/2006/relationships/image" Target="media/798af51fa7dc5de802ea68d9f8d70048a158880b.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Clínica Estomatológica «Sonrisa Habana» — Plan de Negocios</dc:title>
  <dc:creator>PLANEX Cuba</dc:creator>
  <dc:description>Documento generado por PLANEX Cuba. Moneda de presentación: USD.</dc:description>
  <cp:lastModifiedBy>Un-named</cp:lastModifiedBy>
  <cp:revision>1</cp:revision>
  <dcterms:created xsi:type="dcterms:W3CDTF">2026-10-26T03:39:24.652Z</dcterms:created>
  <dcterms:modified xsi:type="dcterms:W3CDTF">2026-10-26T03:39:24.652Z</dcterms:modified>
</cp:coreProperties>
</file>

<file path=docProps/custom.xml><?xml version="1.0" encoding="utf-8"?>
<Properties xmlns="http://schemas.openxmlformats.org/officeDocument/2006/custom-properties" xmlns:vt="http://schemas.openxmlformats.org/officeDocument/2006/docPropsVTypes"/>
</file>