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Calibri" w:cs="Calibri" w:eastAsia="Calibri" w:hAnsi="Calibri"/>
          <w:b/>
          <w:bCs/>
          <w:color w:val="1E3A5F"/>
          <w:sz w:val="52"/>
          <w:szCs w:val="52"/>
        </w:rPr>
        <w:t xml:space="preserve">PLAN DE NEGOCIOS</w:t>
      </w:r>
    </w:p>
    <w:p>
      <w:pPr>
        <w:spacing w:after="80"/>
        <w:jc w:val="center"/>
      </w:pPr>
      <w:r>
        <w:rPr>
          <w:rFonts w:ascii="Calibri" w:cs="Calibri" w:eastAsia="Calibri" w:hAnsi="Calibri"/>
          <w:color w:val="334155"/>
          <w:sz w:val="22"/>
          <w:szCs w:val="22"/>
        </w:rPr>
        <w:t xml:space="preserve">Propuesta de negocio con inversión extranjera — Bases metodológicas GOC-2026-O57</w:t>
      </w:r>
    </w:p>
    <w:p>
      <w:pPr>
        <w:spacing w:after="400"/>
        <w:jc w:val="center"/>
      </w:pPr>
      <w:r>
        <w:rPr>
          <w:rFonts w:ascii="Calibri" w:cs="Calibri" w:eastAsia="Calibri" w:hAnsi="Calibri"/>
          <w:color w:val="64748B"/>
          <w:sz w:val="17"/>
          <w:szCs w:val="17"/>
        </w:rPr>
        <w:t xml:space="preserve">Elaborado con PLANEX Cuba</w:t>
      </w:r>
    </w:p>
    <w:p>
      <w:pPr>
        <w:spacing w:after="120"/>
        <w:jc w:val="center"/>
      </w:pPr>
      <w:r>
        <w:rPr>
          <w:rFonts w:ascii="Calibri" w:cs="Calibri" w:eastAsia="Calibri" w:hAnsi="Calibri"/>
          <w:b/>
          <w:bCs/>
          <w:color w:val="334155"/>
          <w:sz w:val="34"/>
          <w:szCs w:val="34"/>
        </w:rPr>
        <w:t xml:space="preserve">Centro Estomatológico Internacional Holguín</w:t>
      </w:r>
    </w:p>
    <w:p>
      <w:pPr>
        <w:spacing w:after="300"/>
        <w:jc w:val="center"/>
      </w:pPr>
      <w:r>
        <w:rPr>
          <w:rFonts w:ascii="Calibri" w:cs="Calibri" w:eastAsia="Calibri" w:hAnsi="Calibri"/>
          <w:color w:val="64748B"/>
          <w:sz w:val="21"/>
          <w:szCs w:val="21"/>
        </w:rPr>
        <w:t xml:space="preserve">Contrato de Asociación Económica Internacional entre Comercializadora de Servicios Médicos Cubanos, S.A. (CSMC, S.A.) y Leisure Exporting LLC para la comercialización y prestación de servicios de estomatología y bienes asociados en la provincia de Holguín</w:t>
      </w:r>
    </w:p>
    <w:p>
      <w:pPr>
        <w:spacing w:after="50"/>
        <w:jc w:val="center"/>
      </w:pPr>
      <w:r>
        <w:rPr>
          <w:rFonts w:ascii="Calibri" w:cs="Calibri" w:eastAsia="Calibri" w:hAnsi="Calibri"/>
          <w:b/>
          <w:bCs/>
          <w:color w:val="334155"/>
          <w:sz w:val="19"/>
          <w:szCs w:val="19"/>
        </w:rPr>
        <w:t xml:space="preserve">Estado general del plan: </w:t>
      </w:r>
      <w:r>
        <w:rPr>
          <w:rFonts w:ascii="Calibri" w:cs="Calibri" w:eastAsia="Calibri" w:hAnsi="Calibri"/>
          <w:color w:val="334155"/>
          <w:sz w:val="19"/>
          <w:szCs w:val="19"/>
        </w:rPr>
        <w:t xml:space="preserve">Validación financiera pendiente</w:t>
      </w:r>
    </w:p>
    <w:p>
      <w:pPr>
        <w:spacing w:after="50"/>
        <w:jc w:val="center"/>
      </w:pPr>
      <w:r>
        <w:rPr>
          <w:rFonts w:ascii="Calibri" w:cs="Calibri" w:eastAsia="Calibri" w:hAnsi="Calibri"/>
          <w:b/>
          <w:bCs/>
          <w:color w:val="334155"/>
          <w:sz w:val="19"/>
          <w:szCs w:val="19"/>
        </w:rPr>
        <w:t xml:space="preserve">Inversión total: </w:t>
      </w:r>
      <w:r>
        <w:rPr>
          <w:rFonts w:ascii="Calibri" w:cs="Calibri" w:eastAsia="Calibri" w:hAnsi="Calibri"/>
          <w:color w:val="334155"/>
          <w:sz w:val="19"/>
          <w:szCs w:val="19"/>
        </w:rPr>
        <w:t xml:space="preserve">659,1 miles de CUP</w:t>
      </w:r>
    </w:p>
    <w:p>
      <w:pPr>
        <w:spacing w:after="50"/>
        <w:jc w:val="center"/>
      </w:pPr>
      <w:r>
        <w:rPr>
          <w:rFonts w:ascii="Calibri" w:cs="Calibri" w:eastAsia="Calibri" w:hAnsi="Calibri"/>
          <w:b/>
          <w:bCs/>
          <w:color w:val="334155"/>
          <w:sz w:val="19"/>
          <w:szCs w:val="19"/>
        </w:rPr>
        <w:t xml:space="preserve">Horizonte de análisis: </w:t>
      </w:r>
      <w:r>
        <w:rPr>
          <w:rFonts w:ascii="Calibri" w:cs="Calibri" w:eastAsia="Calibri" w:hAnsi="Calibri"/>
          <w:color w:val="334155"/>
          <w:sz w:val="19"/>
          <w:szCs w:val="19"/>
        </w:rPr>
        <w:t xml:space="preserve">10 años</w:t>
      </w:r>
    </w:p>
    <w:p>
      <w:pPr>
        <w:spacing w:after="50"/>
        <w:jc w:val="center"/>
      </w:pPr>
      <w:r>
        <w:rPr>
          <w:rFonts w:ascii="Calibri" w:cs="Calibri" w:eastAsia="Calibri" w:hAnsi="Calibri"/>
          <w:b/>
          <w:bCs/>
          <w:color w:val="334155"/>
          <w:sz w:val="19"/>
          <w:szCs w:val="19"/>
        </w:rPr>
        <w:t xml:space="preserve">Recuperación de la inversión total (flujo del proyecto, simple): </w:t>
      </w:r>
      <w:r>
        <w:rPr>
          <w:rFonts w:ascii="Calibri" w:cs="Calibri" w:eastAsia="Calibri" w:hAnsi="Calibri"/>
          <w:color w:val="334155"/>
          <w:sz w:val="19"/>
          <w:szCs w:val="19"/>
        </w:rPr>
        <w:t xml:space="preserve">no recuperada en el horizonte</w:t>
      </w:r>
    </w:p>
    <w:p>
      <w:pPr>
        <w:spacing w:after="50"/>
        <w:jc w:val="center"/>
      </w:pPr>
      <w:r>
        <w:rPr>
          <w:rFonts w:ascii="Calibri" w:cs="Calibri" w:eastAsia="Calibri" w:hAnsi="Calibri"/>
          <w:b/>
          <w:bCs/>
          <w:color w:val="334155"/>
          <w:sz w:val="19"/>
          <w:szCs w:val="19"/>
        </w:rPr>
        <w:t xml:space="preserve">Recuperación del capital aportado (flujo de los socios, simple): </w:t>
      </w:r>
      <w:r>
        <w:rPr>
          <w:rFonts w:ascii="Calibri" w:cs="Calibri" w:eastAsia="Calibri" w:hAnsi="Calibri"/>
          <w:color w:val="334155"/>
          <w:sz w:val="19"/>
          <w:szCs w:val="19"/>
        </w:rPr>
        <w:t xml:space="preserve">no recuperada en el horizonte</w:t>
      </w:r>
    </w:p>
    <w:p>
      <w:pPr>
        <w:spacing w:after="50"/>
        <w:jc w:val="center"/>
      </w:pPr>
      <w:r>
        <w:rPr>
          <w:rFonts w:ascii="Calibri" w:cs="Calibri" w:eastAsia="Calibri" w:hAnsi="Calibri"/>
          <w:b/>
          <w:bCs/>
          <w:color w:val="334155"/>
          <w:sz w:val="19"/>
          <w:szCs w:val="19"/>
        </w:rPr>
        <w:t xml:space="preserve">Moneda de presentación del documento: </w:t>
      </w:r>
      <w:r>
        <w:rPr>
          <w:rFonts w:ascii="Calibri" w:cs="Calibri" w:eastAsia="Calibri" w:hAnsi="Calibri"/>
          <w:color w:val="334155"/>
          <w:sz w:val="19"/>
          <w:szCs w:val="19"/>
        </w:rPr>
        <w:t xml:space="preserve">CUP — Miles de CUP (kCUP)</w:t>
      </w:r>
    </w:p>
    <w:p>
      <w:pPr>
        <w:spacing w:after="50"/>
        <w:jc w:val="center"/>
      </w:pPr>
      <w:r>
        <w:rPr>
          <w:rFonts w:ascii="Calibri" w:cs="Calibri" w:eastAsia="Calibri" w:hAnsi="Calibri"/>
          <w:b/>
          <w:bCs/>
          <w:color w:val="334155"/>
          <w:sz w:val="19"/>
          <w:szCs w:val="19"/>
        </w:rPr>
        <w:t xml:space="preserve">Fecha del documento: </w:t>
      </w:r>
      <w:r>
        <w:rPr>
          <w:rFonts w:ascii="Calibri" w:cs="Calibri" w:eastAsia="Calibri" w:hAnsi="Calibri"/>
          <w:color w:val="334155"/>
          <w:sz w:val="19"/>
          <w:szCs w:val="19"/>
        </w:rPr>
        <w:t xml:space="preserve">27 de octubre de 2026</w:t>
      </w:r>
    </w:p>
    <w:p>
      <w:pPr>
        <w:spacing w:after="50"/>
        <w:jc w:val="center"/>
        <w:sectPr>
          <w:pgSz w:w="11906" w:h="16838" w:orient="portrait"/>
          <w:pgMar w:top="1440" w:right="1440" w:bottom="1440" w:left="1440" w:header="708" w:footer="708" w:gutter="0"/>
          <w:pgNumType/>
          <w:docGrid w:linePitch="360"/>
        </w:sectPr>
      </w:pPr>
      <w:r>
        <w:rPr>
          <w:rFonts w:ascii="Calibri" w:cs="Calibri" w:eastAsia="Calibri" w:hAnsi="Calibri"/>
          <w:b/>
          <w:bCs/>
          <w:color w:val="334155"/>
          <w:sz w:val="19"/>
          <w:szCs w:val="19"/>
        </w:rPr>
        <w:t xml:space="preserve">Versión de esquema: </w:t>
      </w:r>
      <w:r>
        <w:rPr>
          <w:rFonts w:ascii="Calibri" w:cs="Calibri" w:eastAsia="Calibri" w:hAnsi="Calibri"/>
          <w:color w:val="334155"/>
          <w:sz w:val="19"/>
          <w:szCs w:val="19"/>
        </w:rPr>
        <w:t xml:space="preserve">2.0.0</w:t>
      </w:r>
    </w:p>
    <w:p>
      <w:pPr>
        <w:pStyle w:val="Heading1"/>
        <w:pageBreakBefore/>
      </w:pPr>
      <w:bookmarkStart w:name="_Toc1" w:id="1"/>
      <w:r>
        <w:rPr>
          <w:rFonts w:ascii="Calibri" w:cs="Calibri" w:eastAsia="Calibri" w:hAnsi="Calibri"/>
          <w:b/>
          <w:bCs/>
          <w:color w:val="1E3A5F"/>
          <w:sz w:val="30"/>
          <w:szCs w:val="30"/>
        </w:rPr>
        <w:t xml:space="preserve">Índice</w:t>
      </w:r>
      <w:bookmarkEnd w:id="1"/>
    </w:p>
    <w:sdt>
      <w:sdtPr>
        <w:alias w:val="Índice del plan de negocios"/>
      </w:sdtPr>
      <w:sdtContent>
        <w:p>
          <w:pPr>
            <w:pStyle w:val="TOC1"/>
            <w:tabs>
              <w:tab w:val="right" w:pos="9026" w:leader="dot"/>
            </w:tabs>
          </w:pPr>
          <w:r>
            <w:fldChar w:fldCharType="begin" w:dirty="true"/>
            <w:instrText xml:space="preserve">TOC \h \o "1-1"</w:instrText>
            <w:fldChar w:fldCharType="separate"/>
          </w:r>
          <w:hyperlink w:history="1" w:anchor="_Toc1">
            <w:r>
              <w:t xml:space="preserve">Índice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4.1  Información general</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4.4  Resumen ejecutivo</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4.5  Descripción del negocio</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4.6  Aspectos técnicos y operativos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4.7  Análisis financiero</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4.7.1  Flujos de caja y recuperación de la inversión</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4.8  Análisis o caracterización del mercado</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4.9  Fuerza de trabajo</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4.10  Inversiones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4.11  Indicadores de beneficios directos al país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4.12  Conclusiones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Diagnóstico y controles de consistencia</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Notas, parámetros y supuestos del modelo</w:t>
            </w:r>
            <w:r>
              <w:tab/>
            </w:r>
            <w:r>
              <w:fldChar w:fldCharType="begin" w:dirty="true"/>
              <w:instrText xml:space="preserve">PAGEREF _Toc14 \h</w:instrText>
              <w:fldChar w:fldCharType="separate"/>
              <w:fldChar w:fldCharType="end"/>
            </w:r>
          </w:hyperlink>
        </w:p>
        <w:p>
          <w:r>
            <w:fldChar w:fldCharType="end"/>
          </w:r>
        </w:p>
      </w:sdtContent>
    </w:sdt>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ageBreakBefore/>
      </w:pPr>
      <w:bookmarkStart w:name="_Toc2" w:id="2"/>
      <w:r>
        <w:rPr>
          <w:rFonts w:ascii="Calibri" w:cs="Calibri" w:eastAsia="Calibri" w:hAnsi="Calibri"/>
          <w:b/>
          <w:bCs/>
          <w:color w:val="1E3A5F"/>
          <w:sz w:val="30"/>
          <w:szCs w:val="30"/>
        </w:rPr>
        <w:t xml:space="preserve">4.1  Información general</w:t>
      </w:r>
      <w:bookmarkEnd w:id="2"/>
    </w:p>
    <w:p>
      <w:pPr>
        <w:spacing w:after="40" w:before="40"/>
        <w:jc w:val="left"/>
      </w:pPr>
      <w:r>
        <w:rPr>
          <w:rFonts w:ascii="Calibri" w:cs="Calibri" w:eastAsia="Calibri" w:hAnsi="Calibri"/>
          <w:b/>
          <w:bCs/>
          <w:color w:val="1E3A5F"/>
          <w:sz w:val="19"/>
          <w:szCs w:val="19"/>
        </w:rPr>
        <w:t xml:space="preserve">Elaborado por: </w:t>
      </w:r>
      <w:r>
        <w:rPr>
          <w:rFonts w:ascii="Calibri" w:cs="Calibri" w:eastAsia="Calibri" w:hAnsi="Calibri"/>
          <w:color w:val="334155"/>
          <w:sz w:val="19"/>
          <w:szCs w:val="19"/>
        </w:rPr>
        <w:t xml:space="preserve">[Pendiente: nombre y apellidos de quien elabora — brecha B-01] ([Pendiente: cargo del elaborador — brecha B-01])</w:t>
      </w:r>
    </w:p>
    <w:p>
      <w:pPr>
        <w:spacing w:after="40" w:before="40"/>
        <w:jc w:val="left"/>
      </w:pPr>
      <w:r>
        <w:rPr>
          <w:rFonts w:ascii="Calibri" w:cs="Calibri" w:eastAsia="Calibri" w:hAnsi="Calibri"/>
          <w:b/>
          <w:bCs/>
          <w:color w:val="1E3A5F"/>
          <w:sz w:val="19"/>
          <w:szCs w:val="19"/>
        </w:rPr>
        <w:t xml:space="preserve">Firma o identificación: </w:t>
      </w:r>
      <w:r>
        <w:rPr>
          <w:rFonts w:ascii="Calibri" w:cs="Calibri" w:eastAsia="Calibri" w:hAnsi="Calibri"/>
          <w:color w:val="334155"/>
          <w:sz w:val="19"/>
          <w:szCs w:val="19"/>
        </w:rPr>
        <w:t xml:space="preserve">—</w:t>
      </w:r>
    </w:p>
    <w:p>
      <w:pPr>
        <w:spacing w:after="40" w:before="40"/>
        <w:jc w:val="left"/>
      </w:pPr>
      <w:r>
        <w:rPr>
          <w:rFonts w:ascii="Calibri" w:cs="Calibri" w:eastAsia="Calibri" w:hAnsi="Calibri"/>
          <w:b/>
          <w:bCs/>
          <w:color w:val="1E3A5F"/>
          <w:sz w:val="19"/>
          <w:szCs w:val="19"/>
        </w:rPr>
        <w:t xml:space="preserve">Fecha: </w:t>
      </w:r>
      <w:r>
        <w:rPr>
          <w:rFonts w:ascii="Calibri" w:cs="Calibri" w:eastAsia="Calibri" w:hAnsi="Calibri"/>
          <w:color w:val="334155"/>
          <w:sz w:val="19"/>
          <w:szCs w:val="19"/>
        </w:rPr>
        <w:t xml:space="preserve">—</w:t>
      </w:r>
    </w:p>
    <w:p>
      <w:pPr>
        <w:spacing w:after="60" w:before="60" w:line="276"/>
        <w:jc w:val="both"/>
      </w:pPr>
      <w:r>
        <w:rPr>
          <w:rFonts w:ascii="Calibri" w:cs="Calibri" w:eastAsia="Calibri" w:hAnsi="Calibri"/>
          <w:color w:val="334155"/>
          <w:sz w:val="20"/>
          <w:szCs w:val="20"/>
        </w:rPr>
        <w:t xml:space="preserve">Declaración de responsabilidad sobre la veracidad y confiabilidad de los datos:</w:t>
      </w:r>
    </w:p>
    <w:p>
      <w:pPr>
        <w:spacing w:after="60" w:before="60" w:line="276"/>
        <w:jc w:val="both"/>
      </w:pPr>
      <w:r>
        <w:rPr>
          <w:rFonts w:ascii="Calibri" w:cs="Calibri" w:eastAsia="Calibri" w:hAnsi="Calibri"/>
          <w:i/>
          <w:iCs/>
          <w:color w:val="334155"/>
          <w:sz w:val="20"/>
          <w:szCs w:val="20"/>
        </w:rPr>
        <w:t xml:space="preserve">PENDIENTE DE ACEPTAR: el elaborador no ha aceptado la declaración de responsabilidad en la aplicación. El documento no puede presentarse como definitivo ni como firmado.</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BORRADOR NO APTO PARA PRESENTACIÓN: hay 3 campo(s) obligatorio(s) sin completar en 4.1 (Nombre y apellidos de quien elabora; Firma o identificación; Declaración de responsabilidad no aceptada). Este documento es un borrador: no simula identidad, firma ni responsabilidad de persona alguna y no está en condiciones de entregarse a un cliente o inversionista hasta completar los campos y aceptar la declaración.</w:t>
            </w:r>
          </w:p>
        </w:tc>
      </w:tr>
    </w:tbl>
    <w:p>
      <w:pPr>
        <w:pStyle w:val="Heading2"/>
        <w:spacing w:after="80" w:before="220"/>
      </w:pPr>
      <w:r>
        <w:rPr>
          <w:rFonts w:ascii="Calibri" w:cs="Calibri" w:eastAsia="Calibri" w:hAnsi="Calibri"/>
          <w:b/>
          <w:bCs/>
          <w:color w:val="1E3A5F"/>
          <w:sz w:val="24"/>
          <w:szCs w:val="24"/>
        </w:rPr>
        <w:t xml:space="preserve">4.2  Título</w:t>
      </w:r>
    </w:p>
    <w:p>
      <w:pPr>
        <w:spacing w:after="40" w:before="40"/>
        <w:jc w:val="left"/>
      </w:pPr>
      <w:r>
        <w:rPr>
          <w:rFonts w:ascii="Calibri" w:cs="Calibri" w:eastAsia="Calibri" w:hAnsi="Calibri"/>
          <w:b/>
          <w:bCs/>
          <w:color w:val="1E3A5F"/>
          <w:sz w:val="19"/>
          <w:szCs w:val="19"/>
        </w:rPr>
        <w:t xml:space="preserve">Nombre del proyecto: </w:t>
      </w:r>
      <w:r>
        <w:rPr>
          <w:rFonts w:ascii="Calibri" w:cs="Calibri" w:eastAsia="Calibri" w:hAnsi="Calibri"/>
          <w:color w:val="334155"/>
          <w:sz w:val="19"/>
          <w:szCs w:val="19"/>
        </w:rPr>
        <w:t xml:space="preserve">Centro Estomatológico Internacional Holguín</w:t>
      </w:r>
    </w:p>
    <w:p>
      <w:pPr>
        <w:spacing w:after="40" w:before="40"/>
        <w:jc w:val="left"/>
      </w:pPr>
      <w:r>
        <w:rPr>
          <w:rFonts w:ascii="Calibri" w:cs="Calibri" w:eastAsia="Calibri" w:hAnsi="Calibri"/>
          <w:b/>
          <w:bCs/>
          <w:color w:val="1E3A5F"/>
          <w:sz w:val="19"/>
          <w:szCs w:val="19"/>
        </w:rPr>
        <w:t xml:space="preserve">Denominación de la propuesta: </w:t>
      </w:r>
      <w:r>
        <w:rPr>
          <w:rFonts w:ascii="Calibri" w:cs="Calibri" w:eastAsia="Calibri" w:hAnsi="Calibri"/>
          <w:color w:val="334155"/>
          <w:sz w:val="19"/>
          <w:szCs w:val="19"/>
        </w:rPr>
        <w:t xml:space="preserve">Contrato de Asociación Económica Internacional entre Comercializadora de Servicios Médicos Cubanos, S.A. (CSMC, S.A.) y Leisure Exporting LLC para la comercialización y prestación de servicios de estomatología y bienes asociados en la provincia de Holguín</w:t>
      </w:r>
    </w:p>
    <w:p>
      <w:pPr>
        <w:pStyle w:val="Heading1"/>
        <w:pageBreakBefore/>
      </w:pPr>
      <w:bookmarkStart w:name="_Toc3" w:id="3"/>
      <w:r>
        <w:rPr>
          <w:rFonts w:ascii="Calibri" w:cs="Calibri" w:eastAsia="Calibri" w:hAnsi="Calibri"/>
          <w:b/>
          <w:bCs/>
          <w:color w:val="1E3A5F"/>
          <w:sz w:val="30"/>
          <w:szCs w:val="30"/>
        </w:rPr>
        <w:t xml:space="preserve">4.4  Resumen ejecutivo</w:t>
      </w:r>
      <w:bookmarkEnd w:id="3"/>
    </w:p>
    <w:p>
      <w:pPr>
        <w:spacing w:after="60" w:before="60" w:line="276"/>
        <w:jc w:val="both"/>
      </w:pPr>
      <w:r>
        <w:rPr>
          <w:rFonts w:ascii="Calibri" w:cs="Calibri" w:eastAsia="Calibri" w:hAnsi="Calibri"/>
          <w:color w:val="334155"/>
          <w:sz w:val="20"/>
          <w:szCs w:val="20"/>
        </w:rPr>
        <w:t xml:space="preserve">Propuesta de Asociación Económica Internacional (AEI) entre la Comercializadora de Servicios Médicos Cubanos, S.A. (CSMC, S.A.) y Leisure Exporting LLC (Estados Unidos) para la comercialización y prestación de servicios de estomatología y bienes asociados por profesionales y técnicos cubanos altamente calificados en un Centro Internacional Estomatológico de alta tecnología en la provincia de Holguín, así como la capacitación profesional, con acceso a nuevos mercados en América Latina, Centroamérica y el Caribe (contrato de AEI, fuente F01). La inversión documentada comprende cinco equipos de tecnología estomatológica cotizados por 5 274,00 USD y gastos previos de preoperación por 26,20 miles de CUP aportados por CSMC; la operación proyecta 15 líneas de servicio con una demanda prevista de 115 814,00 USD anuales a precios de lista. Las cifras cuantitativas del resumen se generan desde el modelo de cálculo activo y se recalculan con cada cambio de datos. ESTADO DOCUMENTAL: evaluación preliminar — el expediente contiene contradicciones críticas sin resolver (tasa de cambio 24 frente a 120 en el propio modelo, depreciación mal cargada en el estado de resultados del expediente, tres versiones de salarios) cuya resolución corresponde al promotor y condiciona los resultados; ninguna cifra del modelo del expediente se presenta aquí como validada.</w:t>
      </w:r>
    </w:p>
    <w:p>
      <w:pPr>
        <w:spacing w:after="60" w:before="60" w:line="276"/>
        <w:jc w:val="both"/>
      </w:pPr>
      <w:r>
        <w:rPr>
          <w:rFonts w:ascii="Calibri" w:cs="Calibri" w:eastAsia="Calibri" w:hAnsi="Calibri"/>
          <w:i/>
          <w:iCs/>
          <w:color w:val="334155"/>
          <w:sz w:val="20"/>
          <w:szCs w:val="20"/>
        </w:rPr>
        <w:t xml:space="preserve">ESTADO GENERAL DEL PLAN: Validación financiera pendiente. Existen 0 error(es) de cálculo y/o hallazgos financieros relevantes sin resolver (FINANCIACION_EXCESO, DEFICIT_CAJA_PROYECTADA, NO_RECUPERACION, PARTICIPACION_INCOHERENTE): el modelo financiero no está en condiciones de validarse. El diagnóstico del final del documento desarrolla las seis dimensiones de control; el plan no se clasifica como globalmente «correcto» porque las sumas cuadren.</w:t>
      </w:r>
    </w:p>
    <w:p>
      <w:pPr>
        <w:pStyle w:val="NotaTabla"/>
        <w:keepNext/>
        <w:keepLines/>
        <w:spacing w:after="80" w:before="200"/>
      </w:pPr>
      <w:r>
        <w:rPr>
          <w:rFonts w:ascii="Calibri" w:cs="Calibri" w:eastAsia="Calibri" w:hAnsi="Calibri"/>
          <w:b/>
          <w:bCs/>
          <w:color w:val="1E3A5F"/>
          <w:sz w:val="18"/>
          <w:szCs w:val="18"/>
        </w:rPr>
        <w:t xml:space="preserve">Tabla 1. Cifras clave (vinculadas al modelo financiero activo)</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rPr>
          <w:cantSplit/>
          <w:tblHeader/>
        </w:trPr>
        <w:tc>
          <w:tcPr>
            <w:tcW w:type="dxa" w:w="451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Indicador</w:t>
            </w:r>
          </w:p>
        </w:tc>
        <w:tc>
          <w:tcPr>
            <w:tcW w:type="dxa" w:w="451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Valor</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Estado general del plan</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Validación financiera pendiente</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total (miles de CUP)</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659,1</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Aportaciones de los socios (miles de CUP)</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9.862,6</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Crédito externo previsto (miles de CUP)</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 previsto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Horizonte de análisis (años)</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Ingresos totales del año 1 (miles de CUP)</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13.897,7</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Utilidad después de impuestos del año 1 (miles de CUP)</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-5.719,1</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Recuperación de la INVERSIÓN TOTAL (flujo del proyecto, simple sin descontar)</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 recuperada en el horizonte</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Recuperación del CAPITAL APORTADO (flujo de los socios, simple sin descontar)</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 recuperada en el horizonte</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Beneficios directos al país acumulados — período completo (miles de CUP)</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50.016,0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Beneficios directos al país — explotación, años 1–N (miles de CUP)</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50.016,0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Empleos directos en operación</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10</w:t>
            </w:r>
          </w:p>
        </w:tc>
      </w:tr>
      <w:tr>
        <w:trPr>
          <w:cantSplit/>
        </w:trPr>
        <w:tc>
          <w:tcPr>
            <w:tcW w:type="dxa" w:w="451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Salario promedio anual (CUP)</w:t>
            </w:r>
          </w:p>
        </w:tc>
        <w:tc>
          <w:tcPr>
            <w:tcW w:type="dxa" w:w="451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432.000 CUP</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Resumen ejecutivo — análisis dinámico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Centro Estomatológico Internacional Holguín es una propuesta de Contrato de Asociación Económica Internacional (AEI) — unión temporal de las partes, sin personalidad jurídica (Ley 118/2014 y Decreto 325/2014, invocadas por el contrato; registro H-009). La aprobación de la constitución de la AEI por la autoridad competente y su inscripción en el Registro Mercantil son validaciones pendientes (V-01, V-02). con una inversión total calculada de 659,1 miles de CUP, financiada con 9.862,6 kCUP de aportaciones de los socios, sobre un horizonte de análisis de 10 años. Con los supuestos activos, el modelo proyecta ingresos del año 1 por 13.897,7 miles de CUP, utilidad después de impuestos de -5.719,1 kCUP y una plantilla de 10 trabajadores en operación. La inversión total NO se recupera dentro del horizonte de 10 años con el flujo del proyecto: el plan debe declararlo expresamente. Los beneficios directos al país acumulan 50.016,0 miles de CUP en el período completo (explotación: 50.016,0 kCUP), con impuestos sobre utilidades por 0,0 kCUP y dividendos de la parte cubana por 0,0 kCUP. Riesgos y advertencias activas: recuperación de la inversión fuera del horizonte. Mientras no se corrijan, el resumen no puede presentarse como una evaluación favorable. Datos pendientes de verificar: tasa tributaria aplicable, tipo de cambio oficial vigente, licencias y autorizaciones, certificaciones de aportes y demanda solvente documentada.</w:t>
      </w:r>
    </w:p>
    <w:p>
      <w:pPr>
        <w:pStyle w:val="NotaTexto"/>
        <w:spacing w:after="60" w:before="60" w:line="276"/>
        <w:jc w:val="both"/>
      </w:pPr>
      <w:r>
        <w:rPr>
          <w:rFonts w:ascii="Calibri" w:cs="Calibri" w:eastAsia="Calibri" w:hAnsi="Calibri"/>
          <w:color w:val="334155"/>
          <w:sz w:val="16"/>
          <w:szCs w:val="16"/>
        </w:rPr>
        <w:t xml:space="preserve">Cifras del resumen: modelo activo (dinámicas). Fuente documental de cada dato: registro H-### (véase la sección «Expediente documental»).</w:t>
      </w:r>
    </w:p>
    <w:p>
      <w:pPr>
        <w:pStyle w:val="Heading1"/>
        <w:pageBreakBefore/>
      </w:pPr>
      <w:bookmarkStart w:name="_Toc4" w:id="4"/>
      <w:r>
        <w:rPr>
          <w:rFonts w:ascii="Calibri" w:cs="Calibri" w:eastAsia="Calibri" w:hAnsi="Calibri"/>
          <w:b/>
          <w:bCs/>
          <w:color w:val="1E3A5F"/>
          <w:sz w:val="30"/>
          <w:szCs w:val="30"/>
        </w:rPr>
        <w:t xml:space="preserve">4.5  Descripción del negocio</w:t>
      </w:r>
      <w:bookmarkEnd w:id="4"/>
    </w:p>
    <w:p>
      <w:pPr>
        <w:spacing w:after="40" w:before="40"/>
        <w:jc w:val="left"/>
      </w:pPr>
      <w:r>
        <w:rPr>
          <w:rFonts w:ascii="Calibri" w:cs="Calibri" w:eastAsia="Calibri" w:hAnsi="Calibri"/>
          <w:b/>
          <w:bCs/>
          <w:color w:val="1E3A5F"/>
          <w:sz w:val="19"/>
          <w:szCs w:val="19"/>
        </w:rPr>
        <w:t xml:space="preserve">Modalidad de la inversión extranjera: </w:t>
      </w:r>
      <w:r>
        <w:rPr>
          <w:rFonts w:ascii="Calibri" w:cs="Calibri" w:eastAsia="Calibri" w:hAnsi="Calibri"/>
          <w:color w:val="334155"/>
          <w:sz w:val="19"/>
          <w:szCs w:val="19"/>
        </w:rPr>
        <w:t xml:space="preserve">Contrato de Asociación Económica Internacional (AEI) — unión temporal de las partes, sin personalidad jurídica (Ley 118/2014 y Decreto 325/2014, invocadas por el contrato; registro H-009). La aprobación de la constitución de la AEI por la autoridad competente y su inscripción en el Registro Mercantil son validaciones pendientes (V-01, V-02).</w:t>
      </w:r>
    </w:p>
    <w:p>
      <w:pPr>
        <w:spacing w:after="40" w:before="40"/>
        <w:jc w:val="left"/>
      </w:pPr>
      <w:r>
        <w:rPr>
          <w:rFonts w:ascii="Calibri" w:cs="Calibri" w:eastAsia="Calibri" w:hAnsi="Calibri"/>
          <w:b/>
          <w:bCs/>
          <w:color w:val="1E3A5F"/>
          <w:sz w:val="19"/>
          <w:szCs w:val="19"/>
        </w:rPr>
        <w:t xml:space="preserve">Objeto social o contractual: </w:t>
      </w:r>
      <w:r>
        <w:rPr>
          <w:rFonts w:ascii="Calibri" w:cs="Calibri" w:eastAsia="Calibri" w:hAnsi="Calibri"/>
          <w:color w:val="334155"/>
          <w:sz w:val="19"/>
          <w:szCs w:val="19"/>
        </w:rPr>
        <w:t xml:space="preserve">Comercialización y prestación de servicios de estomatología y bienes asociados por profesionales y técnicos cubanos altamente calificados en un Centro Internacional Estomatológico de alta tecnología en la provincia de Holguín, así como capacitación profesional, enfocada a la mejora continua, con la utilización de alta tecnología que permita el acceso a nuevos mercados en América Latina, Centroamérica y el Caribe (texto del contrato, fuente F01, cláusula 1; registro H-010).</w:t>
      </w:r>
    </w:p>
    <w:p>
      <w:pPr>
        <w:spacing w:after="40" w:before="40"/>
        <w:jc w:val="left"/>
      </w:pPr>
      <w:r>
        <w:rPr>
          <w:rFonts w:ascii="Calibri" w:cs="Calibri" w:eastAsia="Calibri" w:hAnsi="Calibri"/>
          <w:b/>
          <w:bCs/>
          <w:color w:val="1E3A5F"/>
          <w:sz w:val="19"/>
          <w:szCs w:val="19"/>
        </w:rPr>
        <w:t xml:space="preserve">Plazo de vigencia: </w:t>
      </w:r>
      <w:r>
        <w:rPr>
          <w:rFonts w:ascii="Calibri" w:cs="Calibri" w:eastAsia="Calibri" w:hAnsi="Calibri"/>
          <w:color w:val="334155"/>
          <w:sz w:val="19"/>
          <w:szCs w:val="19"/>
        </w:rPr>
        <w:t xml:space="preserve">Diez (10) años contados desde la inscripción de la Escritura Pública en el Registro Mercantil, con evaluación en 2034 para valorar una prórroga de diez años más (contrato F01, cláusula de vigencia; valoración F02; registro H-012). El modelo del expediente proyecta diez años de operación (2026–2035 en su calendario).</w:t>
      </w:r>
    </w:p>
    <w:p>
      <w:pPr>
        <w:spacing w:after="40" w:before="40"/>
        <w:jc w:val="left"/>
      </w:pPr>
      <w:r>
        <w:rPr>
          <w:rFonts w:ascii="Calibri" w:cs="Calibri" w:eastAsia="Calibri" w:hAnsi="Calibri"/>
          <w:b/>
          <w:bCs/>
          <w:color w:val="1E3A5F"/>
          <w:sz w:val="19"/>
          <w:szCs w:val="19"/>
        </w:rPr>
        <w:t xml:space="preserve">Fundamentación y propuesta de valor: </w:t>
      </w:r>
      <w:r>
        <w:rPr>
          <w:rFonts w:ascii="Calibri" w:cs="Calibri" w:eastAsia="Calibri" w:hAnsi="Calibri"/>
          <w:color w:val="334155"/>
          <w:sz w:val="19"/>
          <w:szCs w:val="19"/>
        </w:rPr>
        <w:t xml:space="preserve">[Pendiente: fundamentación formal con la vinculación expresa al Plan Nacional de Desarrollo Económico y Social y a la Estrategia de Desarrollo Territorial de Holguín — brecha B-26.] Contexto documentado del expediente: las enfermedades bucodentales afectan a casi 3 500 millones de personas y la caries dental no tratada es el trastorno de salud más frecuente (Global Burden of Disease Study 2019, citado por la valoración F02); el proyecto se propone convertir a Cuba en destino competitivo para la salud bucal aprovechando la reputación histórica de los servicios estomatológicos de Holguín, recuperar sus instalaciones deterioradas (dos servicios suspendidos y prótesis al 75 % de capacidad por afectaciones tecnológicas, registros H-061 a H-066) e introducir tecnologías de rehabilitación protésica digital, cirugía guiada, medicina regenerativa, telemedicina y ortodoncia digital personalizada (F02).</w:t>
      </w:r>
    </w:p>
    <w:p>
      <w:pPr>
        <w:spacing w:after="40" w:before="40"/>
        <w:jc w:val="left"/>
      </w:pPr>
      <w:r>
        <w:rPr>
          <w:rFonts w:ascii="Calibri" w:cs="Calibri" w:eastAsia="Calibri" w:hAnsi="Calibri"/>
          <w:b/>
          <w:bCs/>
          <w:color w:val="1E3A5F"/>
          <w:sz w:val="19"/>
          <w:szCs w:val="19"/>
        </w:rPr>
        <w:t xml:space="preserve">Relación con los objetivos de la inversión extranjera: </w:t>
      </w:r>
      <w:r>
        <w:rPr>
          <w:rFonts w:ascii="Calibri" w:cs="Calibri" w:eastAsia="Calibri" w:hAnsi="Calibri"/>
          <w:color w:val="334155"/>
          <w:sz w:val="19"/>
          <w:szCs w:val="19"/>
        </w:rPr>
        <w:t xml:space="preserve">Rehabilitar los servicios estomatológicos de la provincia; incorporar y mantener nuevas tecnologías, equipamientos, piezas de repuesto, instrumental, medicamentos, materiales gastables e insumos desechables; capacitar a los recursos humanos y ofertar atención estomatológica de alta profesionalidad a nivel internacional como exportación de servicios (objetivos específicos de la valoración F02).</w:t>
      </w:r>
    </w:p>
    <w:p>
      <w:pPr>
        <w:spacing w:after="40" w:before="40"/>
        <w:jc w:val="left"/>
      </w:pPr>
      <w:r>
        <w:rPr>
          <w:rFonts w:ascii="Calibri" w:cs="Calibri" w:eastAsia="Calibri" w:hAnsi="Calibri"/>
          <w:b/>
          <w:bCs/>
          <w:color w:val="1E3A5F"/>
          <w:sz w:val="19"/>
          <w:szCs w:val="19"/>
        </w:rPr>
        <w:t xml:space="preserve">Relación con el PNDES: </w:t>
      </w:r>
      <w:r>
        <w:rPr>
          <w:rFonts w:ascii="Calibri" w:cs="Calibri" w:eastAsia="Calibri" w:hAnsi="Calibri"/>
          <w:color w:val="334155"/>
          <w:sz w:val="19"/>
          <w:szCs w:val="19"/>
        </w:rPr>
        <w:t xml:space="preserve">[Pendiente: alineación con el PNDES vigente — brecha B-26.]</w:t>
      </w:r>
    </w:p>
    <w:p>
      <w:pPr>
        <w:spacing w:after="40" w:before="40"/>
        <w:jc w:val="left"/>
      </w:pPr>
      <w:r>
        <w:rPr>
          <w:rFonts w:ascii="Calibri" w:cs="Calibri" w:eastAsia="Calibri" w:hAnsi="Calibri"/>
          <w:b/>
          <w:bCs/>
          <w:color w:val="1E3A5F"/>
          <w:sz w:val="19"/>
          <w:szCs w:val="19"/>
        </w:rPr>
        <w:t xml:space="preserve">Relación con la estrategia territorial: </w:t>
      </w:r>
      <w:r>
        <w:rPr>
          <w:rFonts w:ascii="Calibri" w:cs="Calibri" w:eastAsia="Calibri" w:hAnsi="Calibri"/>
          <w:color w:val="334155"/>
          <w:sz w:val="19"/>
          <w:szCs w:val="19"/>
        </w:rPr>
        <w:t xml:space="preserve">[Pendiente: alineación con la Estrategia de Desarrollo Territorial de Holguín — brecha B-26.]</w:t>
      </w:r>
    </w:p>
    <w:p>
      <w:pPr>
        <w:spacing w:after="40" w:before="40"/>
        <w:jc w:val="left"/>
      </w:pPr>
      <w:r>
        <w:rPr>
          <w:rFonts w:ascii="Calibri" w:cs="Calibri" w:eastAsia="Calibri" w:hAnsi="Calibri"/>
          <w:b/>
          <w:bCs/>
          <w:color w:val="1E3A5F"/>
          <w:sz w:val="19"/>
          <w:szCs w:val="19"/>
        </w:rPr>
        <w:t xml:space="preserve">Bienes y servicios: </w:t>
      </w:r>
      <w:r>
        <w:rPr>
          <w:rFonts w:ascii="Calibri" w:cs="Calibri" w:eastAsia="Calibri" w:hAnsi="Calibri"/>
          <w:color w:val="334155"/>
          <w:sz w:val="19"/>
          <w:szCs w:val="19"/>
        </w:rPr>
        <w:t xml:space="preserve">Quince líneas de servicio con precios de la lista de CSMC (en CUP, equivalentes a precios en USD según la propia tabla del expediente) y demanda mensual prevista documentadas en 4.6: tratamientos pulporadiculares, obturaciones de resina y de amalgama, profilaxis con ultrasonido, prótesis, exodoncia, resedimentado de corona, corona y espiga acrílica, pulpotomía, drenaje de absceso, reparación de prótesis, cura de óxido de zinc, radiografía, corona acrílica y blanqueamientos (registros H-037 y H-060). La cartera narrativa del expediente incluye además examen estomatológico, odontopediatría, odontogeriatría, ortodoncia, periodoncia, imagenología, esterilización y estética (blanqueamientos, cirugías, carillas).</w:t>
      </w:r>
    </w:p>
    <w:p>
      <w:pPr>
        <w:spacing w:after="40" w:before="40"/>
        <w:jc w:val="left"/>
      </w:pPr>
      <w:r>
        <w:rPr>
          <w:rFonts w:ascii="Calibri" w:cs="Calibri" w:eastAsia="Calibri" w:hAnsi="Calibri"/>
          <w:b/>
          <w:bCs/>
          <w:color w:val="1E3A5F"/>
          <w:sz w:val="19"/>
          <w:szCs w:val="19"/>
        </w:rPr>
        <w:t xml:space="preserve">Mercado interno: </w:t>
      </w:r>
      <w:r>
        <w:rPr>
          <w:rFonts w:ascii="Calibri" w:cs="Calibri" w:eastAsia="Calibri" w:hAnsi="Calibri"/>
          <w:color w:val="334155"/>
          <w:sz w:val="19"/>
          <w:szCs w:val="19"/>
        </w:rPr>
        <w:t xml:space="preserve">[Pendiente: análisis del mercado interno — brecha B-24.] Contexto documentado: la demanda actual presenta servicios represados (73 pacientes de blanqueamiento rechazados en el quinquenio y prótesis operando al 75 % de su capacidad, registro H-062/H-063), pero el expediente no aporta demanda aparente ni solvente.</w:t>
      </w:r>
    </w:p>
    <w:p>
      <w:pPr>
        <w:spacing w:after="40" w:before="40"/>
        <w:jc w:val="left"/>
      </w:pPr>
      <w:r>
        <w:rPr>
          <w:rFonts w:ascii="Calibri" w:cs="Calibri" w:eastAsia="Calibri" w:hAnsi="Calibri"/>
          <w:b/>
          <w:bCs/>
          <w:color w:val="1E3A5F"/>
          <w:sz w:val="19"/>
          <w:szCs w:val="19"/>
        </w:rPr>
        <w:t xml:space="preserve">Mercado externo: </w:t>
      </w:r>
      <w:r>
        <w:rPr>
          <w:rFonts w:ascii="Calibri" w:cs="Calibri" w:eastAsia="Calibri" w:hAnsi="Calibri"/>
          <w:color w:val="334155"/>
          <w:sz w:val="19"/>
          <w:szCs w:val="19"/>
        </w:rPr>
        <w:t xml:space="preserve">[Pendiente: análisis del mercado externo y estrategia de comercialización — brechas B-24 y B-25.] El objeto contractual declara como propósito el acceso a nuevos mercados en América Latina, Centroamérica y el Caribe (H-010), y el balance financiero externo del expediente computa la totalidad de los ingresos como exportaciones, pero no existe estudio de mercado ni plan comercial adjunto.</w:t>
      </w:r>
    </w:p>
    <w:p>
      <w:pPr>
        <w:spacing w:after="40" w:before="40"/>
        <w:jc w:val="left"/>
      </w:pPr>
      <w:r>
        <w:rPr>
          <w:rFonts w:ascii="Calibri" w:cs="Calibri" w:eastAsia="Calibri" w:hAnsi="Calibri"/>
          <w:b/>
          <w:bCs/>
          <w:color w:val="1E3A5F"/>
          <w:sz w:val="19"/>
          <w:szCs w:val="19"/>
        </w:rPr>
        <w:t xml:space="preserve">Regla de distribución de beneficios: </w:t>
      </w:r>
      <w:r>
        <w:rPr>
          <w:rFonts w:ascii="Calibri" w:cs="Calibri" w:eastAsia="Calibri" w:hAnsi="Calibri"/>
          <w:color w:val="334155"/>
          <w:sz w:val="19"/>
          <w:szCs w:val="19"/>
        </w:rPr>
        <w:t xml:space="preserve">El contrato pacta la distribución de los beneficios económicos en proporción paritaria del cincuenta por ciento (50 %) para cada parte (F01, cláusula 7.5; registro H-013), pago anual en USD tras certificación de los estados financieros. INCOHERENCIA REGISTRADA (C-05): la tabla de aportaciones del expediente declara participaciones del 49 % (cubana) y 51 % (extranjera) sin conciliar con el reparto paritario; brecha B-04 pendiente de decisión de las partes. El modelo aplica el reparto pactado 50/50.</w:t>
      </w:r>
    </w:p>
    <w:p>
      <w:pPr>
        <w:pStyle w:val="NotaTabla"/>
        <w:keepNext/>
        <w:keepLines/>
        <w:spacing w:after="80" w:before="200"/>
      </w:pPr>
      <w:r>
        <w:rPr>
          <w:rFonts w:ascii="Calibri" w:cs="Calibri" w:eastAsia="Calibri" w:hAnsi="Calibri"/>
          <w:b/>
          <w:bCs/>
          <w:color w:val="1E3A5F"/>
          <w:sz w:val="18"/>
          <w:szCs w:val="18"/>
        </w:rPr>
        <w:t xml:space="preserve">Tabla 2. Inversionista extranjero</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3717"/>
        <w:gridCol w:w="5309"/>
      </w:tblGrid>
      <w:tr>
        <w:trPr>
          <w:cantSplit/>
          <w:tblHeader/>
        </w:trPr>
        <w:tc>
          <w:tcPr>
            <w:tcW w:type="dxa" w:w="3717"/>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Campo</w:t>
            </w:r>
          </w:p>
        </w:tc>
        <w:tc>
          <w:tcPr>
            <w:tcW w:type="dxa" w:w="5309"/>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Contenido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Nombre</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Leisure Exporting LLC</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Domicilio</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Constituida bajo las leyes de los Estados Unidos de América. Domicilio según el contrato: 3964 South Cir Largo, Florida 37774 (F01). [Contradicción C-09: la cotización consigna 6800 N Ave., Tampa, Florida 33604 — acreditación registral pendiente, brecha B-05.]</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Identificación fiscal</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Registro núm. L23000147130; Acta de Protocolización núm. 897 de 13 de septiembre de 2024, Lic. Ivett Irinia González, Notaria de La Habana (F01; registro H-006).</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Experiencia</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[Pendiente: experiencia en la rama y vínculos con el mercado cubano — brecha B-05.]</w:t>
            </w:r>
          </w:p>
        </w:tc>
      </w:tr>
      <w:tr>
        <w:trPr>
          <w:cantSplit/>
        </w:trPr>
        <w:tc>
          <w:tcPr>
            <w:tcW w:type="dxa" w:w="3717"/>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Vinculación con Cuba</w:t>
            </w:r>
          </w:p>
        </w:tc>
        <w:tc>
          <w:tcPr>
            <w:tcW w:type="dxa" w:w="5309"/>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Representada por Yovannis Camilo Domínguez Fornaris, Manager y Representante Legal (F01; H-007). Cotiza y aportará los equipos e insumos del proyecto (cotizaciones F03 y F06).</w:t>
            </w:r>
          </w:p>
        </w:tc>
      </w:tr>
    </w:tbl>
    <w:p>
      <w:pPr>
        <w:pStyle w:val="NotaTabla"/>
        <w:keepNext/>
        <w:keepLines/>
        <w:spacing w:after="80" w:before="200"/>
      </w:pPr>
      <w:r>
        <w:rPr>
          <w:rFonts w:ascii="Calibri" w:cs="Calibri" w:eastAsia="Calibri" w:hAnsi="Calibri"/>
          <w:b/>
          <w:bCs/>
          <w:color w:val="1E3A5F"/>
          <w:sz w:val="18"/>
          <w:szCs w:val="18"/>
        </w:rPr>
        <w:t xml:space="preserve">Tabla 3. Inversionista nacional</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rPr>
          <w:cantSplit/>
          <w:tblHeader/>
        </w:trPr>
        <w:tc>
          <w:tcPr>
            <w:tcW w:type="dxa" w:w="451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Campo</w:t>
            </w:r>
          </w:p>
        </w:tc>
        <w:tc>
          <w:tcPr>
            <w:tcW w:type="dxa" w:w="451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Contenido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Nombre</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Comercializadora de Servicios Médicos Cubanos, S.A. (CSMC, S.A.)</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Domicilio</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Calle 44, número 502, entre 5ta Avenida y 5ta A, municipio Playa, provincia La Habana, República de Cuba (F01; registro H-004). [Pendiente: uniformar la abreviatura oficial — contradicción C-10: el expediente alterna SMC / CSMC / CMSM.]</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Identificación fiscal</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Escritura Notarial núm. 366 de 11 de octubre de 2011, con modificación estatuaria por Escritura núm. 394 de 17 de septiembre de 2015; Registro Mercantil de La Habana, Libro de Sociedades de Capital Totalmente Cubano, Tomo XXVIII, Folio 120, Hoja 38, Inscripción Primera (13 de octubre de 2011); código ONEI 60598; licencia para operar en divisas G1199680001; NIT 30001869140 (F01; H-004).</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Experiencia (objeto social vigente, cuando corresponda)</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Sociedad mercantil de capital totalmente cubano dedicada a la comercialización de servicios médicos (F01). [Pendiente: objeto social vigente y experiencia específica en estomatología.]</w:t>
            </w:r>
          </w:p>
        </w:tc>
      </w:tr>
      <w:tr>
        <w:trPr>
          <w:cantSplit/>
        </w:trPr>
        <w:tc>
          <w:tcPr>
            <w:tcW w:type="dxa" w:w="451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Vinculación con Cuba</w:t>
            </w:r>
          </w:p>
        </w:tc>
        <w:tc>
          <w:tcPr>
            <w:tcW w:type="dxa" w:w="451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Aportará el derecho real de usufructo del inmueble del Centro en Holguín, efectivo para la preapertura (salarios y arrendamiento) y la gestión registral, sanitaria y de contratación del proyecto (F01, cláusulas 1.2, 7 y 8.1).</w:t>
            </w:r>
          </w:p>
        </w:tc>
      </w:tr>
    </w:tbl>
    <w:p>
      <w:pPr>
        <w:pStyle w:val="NotaTabla"/>
        <w:keepNext/>
        <w:keepLines/>
        <w:spacing w:after="80" w:before="200"/>
      </w:pPr>
      <w:r>
        <w:rPr>
          <w:rFonts w:ascii="Calibri" w:cs="Calibri" w:eastAsia="Calibri" w:hAnsi="Calibri"/>
          <w:b/>
          <w:bCs/>
          <w:color w:val="1E3A5F"/>
          <w:sz w:val="18"/>
          <w:szCs w:val="18"/>
        </w:rPr>
        <w:t xml:space="preserve">Tabla 4. Aportaciones de los socios (montos en kUSD de origen; equivalente en miles de CUP; año 0 = montaje/arranque, que financia la inversión total)</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1155"/>
        <w:gridCol w:w="1968"/>
        <w:gridCol w:w="1283"/>
        <w:gridCol w:w="513"/>
        <w:gridCol w:w="513"/>
        <w:gridCol w:w="1027"/>
        <w:gridCol w:w="599"/>
        <w:gridCol w:w="1968"/>
      </w:tblGrid>
      <w:tr>
        <w:trPr>
          <w:cantSplit/>
          <w:tblHeader/>
        </w:trPr>
        <w:tc>
          <w:tcPr>
            <w:tcW w:type="dxa" w:w="115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Socio</w:t>
            </w:r>
          </w:p>
        </w:tc>
        <w:tc>
          <w:tcPr>
            <w:tcW w:type="dxa" w:w="1968"/>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Tipo de aporte</w:t>
            </w:r>
          </w:p>
        </w:tc>
        <w:tc>
          <w:tcPr>
            <w:tcW w:type="dxa" w:w="1283"/>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0 (montaje)</w:t>
            </w:r>
          </w:p>
        </w:tc>
        <w:tc>
          <w:tcPr>
            <w:tcW w:type="dxa" w:w="513"/>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1</w:t>
            </w:r>
          </w:p>
        </w:tc>
        <w:tc>
          <w:tcPr>
            <w:tcW w:type="dxa" w:w="513"/>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2</w:t>
            </w:r>
          </w:p>
        </w:tc>
        <w:tc>
          <w:tcPr>
            <w:tcW w:type="dxa" w:w="10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Total (kUSD)</w:t>
            </w:r>
          </w:p>
        </w:tc>
        <w:tc>
          <w:tcPr>
            <w:tcW w:type="dxa" w:w="59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En kCUP</w:t>
            </w:r>
          </w:p>
        </w:tc>
        <w:tc>
          <w:tcPr>
            <w:tcW w:type="dxa" w:w="1968"/>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Ref. doc.</w:t>
            </w:r>
          </w:p>
        </w:tc>
      </w:tr>
      <w:tr>
        <w:trPr>
          <w:cantSplit/>
        </w:trPr>
        <w:tc>
          <w:tcPr>
            <w:tcW w:type="dxa" w:w="115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Nacional</w:t>
            </w:r>
          </w:p>
        </w:tc>
        <w:tc>
          <w:tcPr>
            <w:tcW w:type="dxa" w:w="196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Efectivo</w:t>
            </w:r>
          </w:p>
        </w:tc>
        <w:tc>
          <w:tcPr>
            <w:tcW w:type="dxa" w:w="12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13,3</w:t>
            </w:r>
          </w:p>
        </w:tc>
        <w:tc>
          <w:tcPr>
            <w:tcW w:type="dxa" w:w="51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1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02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13,3</w:t>
            </w:r>
          </w:p>
        </w:tc>
        <w:tc>
          <w:tcPr>
            <w:tcW w:type="dxa" w:w="5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1.600,0</w:t>
            </w:r>
          </w:p>
        </w:tc>
        <w:tc>
          <w:tcPr>
            <w:tcW w:type="dxa" w:w="196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Sí (identificable)</w:t>
            </w:r>
          </w:p>
        </w:tc>
      </w:tr>
      <w:tr>
        <w:trPr>
          <w:cantSplit/>
        </w:trPr>
        <w:tc>
          <w:tcPr>
            <w:tcW w:type="dxa" w:w="115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Extranjero</w:t>
            </w:r>
          </w:p>
        </w:tc>
        <w:tc>
          <w:tcPr>
            <w:tcW w:type="dxa" w:w="196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Activos circulantes</w:t>
            </w:r>
          </w:p>
        </w:tc>
        <w:tc>
          <w:tcPr>
            <w:tcW w:type="dxa" w:w="12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63,6</w:t>
            </w:r>
          </w:p>
        </w:tc>
        <w:tc>
          <w:tcPr>
            <w:tcW w:type="dxa" w:w="51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1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02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63,6</w:t>
            </w:r>
          </w:p>
        </w:tc>
        <w:tc>
          <w:tcPr>
            <w:tcW w:type="dxa" w:w="5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7.629,8</w:t>
            </w:r>
          </w:p>
        </w:tc>
        <w:tc>
          <w:tcPr>
            <w:tcW w:type="dxa" w:w="196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Sí (identificable)</w:t>
            </w:r>
          </w:p>
        </w:tc>
      </w:tr>
      <w:tr>
        <w:trPr>
          <w:cantSplit/>
        </w:trPr>
        <w:tc>
          <w:tcPr>
            <w:tcW w:type="dxa" w:w="115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Extranjero</w:t>
            </w:r>
          </w:p>
        </w:tc>
        <w:tc>
          <w:tcPr>
            <w:tcW w:type="dxa" w:w="1968"/>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Activos fijos tangibles</w:t>
            </w:r>
          </w:p>
        </w:tc>
        <w:tc>
          <w:tcPr>
            <w:tcW w:type="dxa" w:w="1283"/>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5,3</w:t>
            </w:r>
          </w:p>
        </w:tc>
        <w:tc>
          <w:tcPr>
            <w:tcW w:type="dxa" w:w="513"/>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13"/>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0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5,3</w:t>
            </w:r>
          </w:p>
        </w:tc>
        <w:tc>
          <w:tcPr>
            <w:tcW w:type="dxa" w:w="59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632,9</w:t>
            </w:r>
          </w:p>
        </w:tc>
        <w:tc>
          <w:tcPr>
            <w:tcW w:type="dxa" w:w="1968"/>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HIPÓTESIS (no validada)</w:t>
            </w:r>
          </w:p>
        </w:tc>
      </w:tr>
    </w:tbl>
    <w:p>
      <w:pPr>
        <w:pStyle w:val="NotaTexto"/>
        <w:spacing w:after="60" w:before="60" w:line="276"/>
        <w:jc w:val="both"/>
      </w:pPr>
      <w:r>
        <w:rPr>
          <w:rFonts w:ascii="Calibri" w:cs="Calibri" w:eastAsia="Calibri" w:hAnsi="Calibri"/>
          <w:color w:val="334155"/>
          <w:sz w:val="16"/>
          <w:szCs w:val="16"/>
        </w:rPr>
        <w:t xml:space="preserve">Los aportes de derechos reales requieren la certificación de la Dirección de Patrimonio del MFP cuando corresponda (metodología 4.5). Los aportes en activos deben conciliar con el inventario de inversiones para evitar la doble contabilización del mismo bien. Una referencia «HIPÓTESIS (no validada)» NO cuenta como respaldo acreditado: identifique el documento (título, emisor, fecha) y adjunte el soporte.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las aportaciones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Las aportaciones comprometidas suman 9.862,6 miles de CUP: el inversionista extranjero aporta 8.262,6 (83,8 %) y la parte nacional 1.600,0 (16,2 %). Por tipo de aporte, Activos circulantes con 7.629,8 (77,4 %), Efectivo con 1.600,0 (16,2 %), Activos fijos tangibles con 632,9 (6,4 %). La composición del capital resultante es 83,8 % extranjero / 16,2 % nacional; el parámetro de participación cubana configurado es 50,0 % y el diagnóstico comprueba su coherencia con estas aportaciones. La financiación supera la inversión total en 9.203,6 kCUP: verifique si el exceso corresponde a capital de trabajo adicional documentado o debe ajustar las fuentes. Estas cifras son estimaciones de la plantilla mientras no se adjunten los documentos de respaldo; no constituyen validación jurídica de los aportes.</w:t>
      </w:r>
    </w:p>
    <w:p>
      <w:pPr>
        <w:pStyle w:val="Heading1"/>
        <w:pageBreakBefore/>
      </w:pPr>
      <w:bookmarkStart w:name="_Toc5" w:id="5"/>
      <w:r>
        <w:rPr>
          <w:rFonts w:ascii="Calibri" w:cs="Calibri" w:eastAsia="Calibri" w:hAnsi="Calibri"/>
          <w:b/>
          <w:bCs/>
          <w:color w:val="1E3A5F"/>
          <w:sz w:val="30"/>
          <w:szCs w:val="30"/>
        </w:rPr>
        <w:t xml:space="preserve">4.6  Aspectos técnicos y operativos</w:t>
      </w:r>
      <w:bookmarkEnd w:id="5"/>
    </w:p>
    <w:p>
      <w:pPr>
        <w:spacing w:after="40" w:before="40"/>
        <w:jc w:val="left"/>
      </w:pPr>
      <w:r>
        <w:rPr>
          <w:rFonts w:ascii="Calibri" w:cs="Calibri" w:eastAsia="Calibri" w:hAnsi="Calibri"/>
          <w:b/>
          <w:bCs/>
          <w:color w:val="1E3A5F"/>
          <w:sz w:val="19"/>
          <w:szCs w:val="19"/>
        </w:rPr>
        <w:t xml:space="preserve">Caracterización de bienes y servicios: </w:t>
      </w:r>
      <w:r>
        <w:rPr>
          <w:rFonts w:ascii="Calibri" w:cs="Calibri" w:eastAsia="Calibri" w:hAnsi="Calibri"/>
          <w:color w:val="334155"/>
          <w:sz w:val="19"/>
          <w:szCs w:val="19"/>
        </w:rPr>
        <w:t xml:space="preserve">Centro estomatológico internacional que operará sobre la instalación existente del Departamento de Estomatología de la Sucursal Holguín de SMC, con dos gabinetes dentales completos en buen estado, un laboratorio de prótesis (banco de prótesis y prensa hidráulica en uso), esterilización (autoclave de mesa de 40 L en estado regular), un equipo de rayos X estomatológico INOPERATIVO (monitor roto), un compresor de 200 L con aceite en estado regular (no conforme: el uso estomatológico exige compresor seco), un láser terapéutico y de blanqueamiento con 12 puntas, climatización, informática y mobiliario de espera y consulta (inventario de 42 medios, fuente F04; registros H-065, H-066, H-068). El expediente no aporta superficies ni distribución de áreas. [Pendiente: dirección exacta y soportes gráficos — brecha B-08.]</w:t>
      </w:r>
    </w:p>
    <w:p>
      <w:pPr>
        <w:spacing w:after="40" w:before="40"/>
        <w:jc w:val="left"/>
      </w:pPr>
      <w:r>
        <w:rPr>
          <w:rFonts w:ascii="Calibri" w:cs="Calibri" w:eastAsia="Calibri" w:hAnsi="Calibri"/>
          <w:b/>
          <w:bCs/>
          <w:color w:val="1E3A5F"/>
          <w:sz w:val="19"/>
          <w:szCs w:val="19"/>
        </w:rPr>
        <w:t xml:space="preserve">Capacidad instalada: </w:t>
      </w:r>
      <w:r>
        <w:rPr>
          <w:rFonts w:ascii="Calibri" w:cs="Calibri" w:eastAsia="Calibri" w:hAnsi="Calibri"/>
          <w:color w:val="334155"/>
          <w:sz w:val="19"/>
          <w:szCs w:val="19"/>
        </w:rPr>
        <w:t xml:space="preserve">SIN ESTUDIO DE CAPACIDAD DOCUMENTADO (brecha B-10): el expediente no aporta horas de utilización por recurso, duración media por procedimiento ni calendario de atención. La plantilla NO INVENTA capacidad: la tabla de recursos queda vacía y la demanda prevista de la tabla de servicios circula sin límite técnico; el diagnóstico de la app marca esta ausencia en cada recálculo. La dotación existente documentada (2 gabinetes, 1 posición de imagenología inoperativa, 1 banco de prótesis y 10 trabajadores) no permite derivar capacidad sin los datos de utilización. [Pendiente: cronometrajes y calendario para limitar la producción por capacidad real.]</w:t>
      </w:r>
    </w:p>
    <w:p>
      <w:pPr>
        <w:spacing w:after="40" w:before="40"/>
        <w:jc w:val="left"/>
      </w:pPr>
      <w:r>
        <w:rPr>
          <w:rFonts w:ascii="Calibri" w:cs="Calibri" w:eastAsia="Calibri" w:hAnsi="Calibri"/>
          <w:b/>
          <w:bCs/>
          <w:color w:val="1E3A5F"/>
          <w:sz w:val="19"/>
          <w:szCs w:val="19"/>
        </w:rPr>
        <w:t xml:space="preserve">Plazo para alcanzar los niveles previstos: </w:t>
      </w:r>
      <w:r>
        <w:rPr>
          <w:rFonts w:ascii="Calibri" w:cs="Calibri" w:eastAsia="Calibri" w:hAnsi="Calibri"/>
          <w:color w:val="334155"/>
          <w:sz w:val="19"/>
          <w:szCs w:val="19"/>
        </w:rPr>
        <w:t xml:space="preserve">La valoración del expediente recomienda construir el estudio de factibilidad con las estadísticas de 2019 como año pre-crisis para «reflejar cifras aún más sustanciales» (F02) — es decir, la demanda prevista de la tabla (año 1) se reconoce como base conservadora. [Pendiente: proyección de niveles de producción y su plazo — brechas B-10 y B-24.]</w:t>
      </w:r>
    </w:p>
    <w:p>
      <w:pPr>
        <w:spacing w:after="40" w:before="40"/>
        <w:jc w:val="left"/>
      </w:pPr>
      <w:r>
        <w:rPr>
          <w:rFonts w:ascii="Calibri" w:cs="Calibri" w:eastAsia="Calibri" w:hAnsi="Calibri"/>
          <w:b/>
          <w:bCs/>
          <w:color w:val="1E3A5F"/>
          <w:sz w:val="19"/>
          <w:szCs w:val="19"/>
        </w:rPr>
        <w:t xml:space="preserve">Tecnologías utilizadas: </w:t>
      </w:r>
      <w:r>
        <w:rPr>
          <w:rFonts w:ascii="Calibri" w:cs="Calibri" w:eastAsia="Calibri" w:hAnsi="Calibri"/>
          <w:color w:val="334155"/>
          <w:sz w:val="19"/>
          <w:szCs w:val="19"/>
        </w:rPr>
        <w:t xml:space="preserve">Equipamiento existente deteriorado (F04/F09; registros H-064 a H-066): motor de baja «híbrido producto de una innovación de baja calidad» en prótesis; prensa hidráulica antigua (proceso más largo que el protocolizado, casos repetidos por afectación de la dimensión vertical); correcciones sin micromotor de mano (con roturas frecuentes de la pieza de mano); sin eliminador de burbujas (calidad de prótesis afectada); cocción de prótesis en microondas por no disponer de olla polimerizadora a presión; equipo de rayos X con monitor roto; compresor con aceite no conforme. Desabastecimiento general de los renglones del cuadro básico (71 renglones, H-067).</w:t>
      </w:r>
    </w:p>
    <w:p>
      <w:pPr>
        <w:spacing w:after="40" w:before="40"/>
        <w:jc w:val="left"/>
      </w:pPr>
      <w:r>
        <w:rPr>
          <w:rFonts w:ascii="Calibri" w:cs="Calibri" w:eastAsia="Calibri" w:hAnsi="Calibri"/>
          <w:b/>
          <w:bCs/>
          <w:color w:val="1E3A5F"/>
          <w:sz w:val="19"/>
          <w:szCs w:val="19"/>
        </w:rPr>
        <w:t xml:space="preserve">Tecnologías a incorporar: </w:t>
      </w:r>
      <w:r>
        <w:rPr>
          <w:rFonts w:ascii="Calibri" w:cs="Calibri" w:eastAsia="Calibri" w:hAnsi="Calibri"/>
          <w:color w:val="334155"/>
          <w:sz w:val="19"/>
          <w:szCs w:val="19"/>
        </w:rPr>
        <w:t xml:space="preserve">Cinco equipos aportados por el inversionista (cotización F06; justificación de F09, registro H-069): compresor de aire seco para uso estomatológico (3 885,00 USD), prensa hidráulica nueva (413,00 USD), micromotor de mano (284,00 USD), eliminador de burbujas (290,00 USD) y olla polimerizadora a presión (402,00 USD). Con ellos se recuperan dos servicios suspendidos (radiografía y blanqueamientos — este último por insumos), se modernizan dos procesos de prótesis y se incorpora tecnología nueva. [Pendientes: monitor del equipo de rayos X, sin cotizar (B-09); escáner intraoral 3D cotizado pero no decidido (C-08/B-07); limas de endodoncia para TPR (B-20).]</w:t>
      </w:r>
    </w:p>
    <w:p>
      <w:pPr>
        <w:spacing w:after="40" w:before="40"/>
        <w:jc w:val="left"/>
      </w:pPr>
      <w:r>
        <w:rPr>
          <w:rFonts w:ascii="Calibri" w:cs="Calibri" w:eastAsia="Calibri" w:hAnsi="Calibri"/>
          <w:b/>
          <w:bCs/>
          <w:color w:val="1E3A5F"/>
          <w:sz w:val="19"/>
          <w:szCs w:val="19"/>
        </w:rPr>
        <w:t xml:space="preserve">Localización: </w:t>
      </w:r>
      <w:r>
        <w:rPr>
          <w:rFonts w:ascii="Calibri" w:cs="Calibri" w:eastAsia="Calibri" w:hAnsi="Calibri"/>
          <w:color w:val="334155"/>
          <w:sz w:val="19"/>
          <w:szCs w:val="19"/>
        </w:rPr>
        <w:t xml:space="preserve">Provincia de Holguín, Cuba (contrato y valoración; registro H-011). [Pendiente: dirección del inmueble — en blanco en el contrato —, características del local e infraestructura disponible; brechas B-06 y B-08.]</w:t>
      </w:r>
    </w:p>
    <w:p>
      <w:pPr>
        <w:spacing w:after="40" w:before="40"/>
        <w:jc w:val="left"/>
      </w:pPr>
      <w:r>
        <w:rPr>
          <w:rFonts w:ascii="Calibri" w:cs="Calibri" w:eastAsia="Calibri" w:hAnsi="Calibri"/>
          <w:b/>
          <w:bCs/>
          <w:color w:val="1E3A5F"/>
          <w:sz w:val="19"/>
          <w:szCs w:val="19"/>
        </w:rPr>
        <w:t xml:space="preserve">Infraestructura requerida: </w:t>
      </w:r>
      <w:r>
        <w:rPr>
          <w:rFonts w:ascii="Calibri" w:cs="Calibri" w:eastAsia="Calibri" w:hAnsi="Calibri"/>
          <w:color w:val="334155"/>
          <w:sz w:val="19"/>
          <w:szCs w:val="19"/>
        </w:rPr>
        <w:t xml:space="preserve">[Pendiente: infraestructura disponible (electricidad, agua, comunicaciones) — brecha B-08.]</w:t>
      </w:r>
    </w:p>
    <w:p>
      <w:pPr>
        <w:spacing w:after="40" w:before="40"/>
        <w:jc w:val="left"/>
      </w:pPr>
      <w:r>
        <w:rPr>
          <w:rFonts w:ascii="Calibri" w:cs="Calibri" w:eastAsia="Calibri" w:hAnsi="Calibri"/>
          <w:b/>
          <w:bCs/>
          <w:color w:val="1E3A5F"/>
          <w:sz w:val="19"/>
          <w:szCs w:val="19"/>
        </w:rPr>
        <w:t xml:space="preserve">Terrenos e instalaciones: </w:t>
      </w:r>
      <w:r>
        <w:rPr>
          <w:rFonts w:ascii="Calibri" w:cs="Calibri" w:eastAsia="Calibri" w:hAnsi="Calibri"/>
          <w:color w:val="334155"/>
          <w:sz w:val="19"/>
          <w:szCs w:val="19"/>
        </w:rPr>
        <w:t xml:space="preserve">Inmueble de la Sucursal Holguín aportado en derecho real de usufructo durante la vigencia del contrato (F01, cláusula 1.2). [Pendiente: identificación del inmueble, avalúo y certificado de la Dirección de Patrimonio — brecha B-06.]</w:t>
      </w:r>
    </w:p>
    <w:p>
      <w:pPr>
        <w:spacing w:after="40" w:before="40"/>
        <w:jc w:val="left"/>
      </w:pPr>
      <w:r>
        <w:rPr>
          <w:rFonts w:ascii="Calibri" w:cs="Calibri" w:eastAsia="Calibri" w:hAnsi="Calibri"/>
          <w:b/>
          <w:bCs/>
          <w:color w:val="1E3A5F"/>
          <w:sz w:val="19"/>
          <w:szCs w:val="19"/>
        </w:rPr>
        <w:t xml:space="preserve">Necesidades de construcción: </w:t>
      </w:r>
      <w:r>
        <w:rPr>
          <w:rFonts w:ascii="Calibri" w:cs="Calibri" w:eastAsia="Calibri" w:hAnsi="Calibri"/>
          <w:color w:val="334155"/>
          <w:sz w:val="19"/>
          <w:szCs w:val="19"/>
        </w:rPr>
        <w:t xml:space="preserve">[Pendiente: presupuesto y alcance de las obras de remodelación del Centro que el contrato encarga a CSMC (cláusula 8.1 b)] — el modelo de inversión del expediente presupuesta 0,00 para construcción y montaje (H-020). Brecha B-27.</w:t>
      </w:r>
    </w:p>
    <w:p>
      <w:pPr>
        <w:pStyle w:val="NotaTabla"/>
        <w:keepNext/>
        <w:keepLines/>
        <w:spacing w:after="80" w:before="200"/>
      </w:pPr>
      <w:r>
        <w:rPr>
          <w:rFonts w:ascii="Calibri" w:cs="Calibri" w:eastAsia="Calibri" w:hAnsi="Calibri"/>
          <w:b/>
          <w:bCs/>
          <w:color w:val="1E3A5F"/>
          <w:sz w:val="18"/>
          <w:szCs w:val="18"/>
        </w:rPr>
        <w:t xml:space="preserve">Tabla 5. Servicios previstos (año 1; precios y costos unitarios en CUP; demanda vs. capacidad del escenario activo; canal de comercialización 4.8)</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048"/>
        <w:gridCol w:w="607"/>
        <w:gridCol w:w="758"/>
        <w:gridCol w:w="708"/>
        <w:gridCol w:w="809"/>
        <w:gridCol w:w="405"/>
        <w:gridCol w:w="1163"/>
        <w:gridCol w:w="860"/>
        <w:gridCol w:w="556"/>
        <w:gridCol w:w="1112"/>
      </w:tblGrid>
      <w:tr>
        <w:trPr>
          <w:cantSplit/>
          <w:tblHeader/>
        </w:trPr>
        <w:tc>
          <w:tcPr>
            <w:tcW w:type="dxa" w:w="2048"/>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Servicio</w:t>
            </w:r>
          </w:p>
        </w:tc>
        <w:tc>
          <w:tcPr>
            <w:tcW w:type="dxa" w:w="6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Precio unit.</w:t>
            </w:r>
          </w:p>
        </w:tc>
        <w:tc>
          <w:tcPr>
            <w:tcW w:type="dxa" w:w="75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Demanda mensual</w:t>
            </w:r>
          </w:p>
        </w:tc>
        <w:tc>
          <w:tcPr>
            <w:tcW w:type="dxa" w:w="70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Duración (min)</w:t>
            </w:r>
          </w:p>
        </w:tc>
        <w:tc>
          <w:tcPr>
            <w:tcW w:type="dxa" w:w="809"/>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Recursos que usa</w:t>
            </w:r>
          </w:p>
        </w:tc>
        <w:tc>
          <w:tcPr>
            <w:tcW w:type="dxa" w:w="40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CVU</w:t>
            </w:r>
          </w:p>
        </w:tc>
        <w:tc>
          <w:tcPr>
            <w:tcW w:type="dxa" w:w="1163"/>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Cantidad realizable/mes</w:t>
            </w:r>
          </w:p>
        </w:tc>
        <w:tc>
          <w:tcPr>
            <w:tcW w:type="dxa" w:w="860"/>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Capacidad mensual</w:t>
            </w:r>
          </w:p>
        </w:tc>
        <w:tc>
          <w:tcPr>
            <w:tcW w:type="dxa" w:w="55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Canal</w:t>
            </w:r>
          </w:p>
        </w:tc>
        <w:tc>
          <w:tcPr>
            <w:tcW w:type="dxa" w:w="1112"/>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Estado de la capacidad</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Tratamientos pulporadiculares (TPR)</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9.600,0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10.540,8</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Obturaciones de resina</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2.400,0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2.635,2</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Obturaciones de amalgamas</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1.800,0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1.976,4</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Profilaxis con ultrasonido</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6.000,0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6.588,0</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Prótesis</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23.236,0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25.513,2</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Exodoncia</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14.900,0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16.359,6</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Resedimentado de corona</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3.294,0</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Corona y espiga acrílica</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9.600,0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10.540,8</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Pulpotomía</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3.600,0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3.952,8</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Drenaje de absceso</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3.600,0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3.952,8</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Reparación de prótesis</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2.400,0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2.635,2</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Cura de óxido de zinc</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25</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3.294,0</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25,0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25,0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Radiografía</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1.800,0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1.976,4</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Corona acrílica</w:t>
            </w:r>
          </w:p>
        </w:tc>
        <w:tc>
          <w:tcPr>
            <w:tcW w:type="dxa" w:w="6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9.600,0</w:t>
            </w:r>
          </w:p>
        </w:tc>
        <w:tc>
          <w:tcPr>
            <w:tcW w:type="dxa" w:w="75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w:t>
            </w:r>
          </w:p>
        </w:tc>
        <w:tc>
          <w:tcPr>
            <w:tcW w:type="dxa" w:w="70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10.540,8</w:t>
            </w:r>
          </w:p>
        </w:tc>
        <w:tc>
          <w:tcPr>
            <w:tcW w:type="dxa" w:w="116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86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55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r>
        <w:trPr>
          <w:cantSplit/>
        </w:trPr>
        <w:tc>
          <w:tcPr>
            <w:tcW w:type="dxa" w:w="2048"/>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Blanqueamientos</w:t>
            </w:r>
          </w:p>
        </w:tc>
        <w:tc>
          <w:tcPr>
            <w:tcW w:type="dxa" w:w="60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18.000,0</w:t>
            </w:r>
          </w:p>
        </w:tc>
        <w:tc>
          <w:tcPr>
            <w:tcW w:type="dxa" w:w="758"/>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w:t>
            </w:r>
          </w:p>
        </w:tc>
        <w:tc>
          <w:tcPr>
            <w:tcW w:type="dxa" w:w="708"/>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09"/>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405"/>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19.764,0</w:t>
            </w:r>
          </w:p>
        </w:tc>
        <w:tc>
          <w:tcPr>
            <w:tcW w:type="dxa" w:w="1163"/>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860"/>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10,0</w:t>
            </w:r>
          </w:p>
        </w:tc>
        <w:tc>
          <w:tcPr>
            <w:tcW w:type="dxa" w:w="55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Exportación</w:t>
            </w:r>
          </w:p>
        </w:tc>
        <w:tc>
          <w:tcPr>
            <w:tcW w:type="dxa" w:w="1112"/>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Atendible</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capacidad y servicios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En el año 1 los ingresos por servicios ascienden a 13.897,7 miles de CUP. Las tres líneas principales («Prótesis» con 30,1 %, «Blanqueamientos» con 15,5 %, «Exodoncia» con 12,9 %) concentran 58,5 % del ingreso, encabezadas por «Prótesis» con 4.182,5 miles de CUP. El margen de contribución del año 1 es -1.361,9 miles de CUP (-9,8 % de los ingresos). La línea que más margen aporta es «Pulpotomía» (-12,7 miles de CUP) y la que menos, «Prótesis» (-409,9). 15 línea(s) quedan por debajo del margen mínimo de referencia (15,0 %): «Tratamientos pulporadiculares (TPR)» (-9,8 %), «Obturaciones de resina» (-9,8 %), «Obturaciones de amalgamas» (-9,8 %), «Profilaxis con ultrasonido» (-9,8 %), «Prótesis» (-9,8 %), «Exodoncia» (-9,8 %), «Resedimentado de corona» (-9,8 %), «Corona y espiga acrílica» (-9,8 %), «Pulpotomía» (-9,8 %), «Drenaje de absceso» (-9,8 %), «Reparación de prótesis» (-9,8 %), «Cura de óxido de zinc» (-9,8 %), «Radiografía» (-9,8 %), «Corona acrílica» (-9,8 %), «Blanqueamientos» (-9,8 %). Revise sus precios o costos variables antes de escalar el negocio sobre ellas. Escenario activo: A (capacidad constante). Las cantidades proyectadas quedan limitadas a la capacidad instalada actual; cualquier ampliación futura debe programarse explícitamente en el escenario B. Con la capacidad del escenario activo, toda la demanda prevista de todas las líneas puede atenderse dentro del horizonte: no hay ventas limitadas por capacidad. No hay recursos operativos definidos: la capacidad no está siendo verificada contra gabinetes, equipos ni personal, lo que impide validar la operatividad del plan (complétela en 4.6).</w:t>
      </w:r>
    </w:p>
    <w:p>
      <w:pPr>
        <w:pStyle w:val="Heading1"/>
        <w:pageBreakBefore/>
      </w:pPr>
      <w:bookmarkStart w:name="_Toc6" w:id="6"/>
      <w:r>
        <w:rPr>
          <w:rFonts w:ascii="Calibri" w:cs="Calibri" w:eastAsia="Calibri" w:hAnsi="Calibri"/>
          <w:b/>
          <w:bCs/>
          <w:color w:val="1E3A5F"/>
          <w:sz w:val="30"/>
          <w:szCs w:val="30"/>
        </w:rPr>
        <w:t xml:space="preserve">4.7  Análisis financiero</w:t>
      </w:r>
      <w:bookmarkEnd w:id="6"/>
    </w:p>
    <w:p>
      <w:pPr>
        <w:pStyle w:val="NotaTabla"/>
        <w:keepNext/>
        <w:keepLines/>
        <w:spacing w:after="80" w:before="200"/>
      </w:pPr>
      <w:r>
        <w:rPr>
          <w:rFonts w:ascii="Calibri" w:cs="Calibri" w:eastAsia="Calibri" w:hAnsi="Calibri"/>
          <w:b/>
          <w:bCs/>
          <w:color w:val="1E3A5F"/>
          <w:sz w:val="18"/>
          <w:szCs w:val="18"/>
        </w:rPr>
        <w:t xml:space="preserve">Tabla 6. Costo total de la inversión inicial (partidas con su moneda de origen y su equivalente en miles de CUP)</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5260"/>
        <w:gridCol w:w="1818"/>
        <w:gridCol w:w="1948"/>
      </w:tblGrid>
      <w:tr>
        <w:trPr>
          <w:cantSplit/>
          <w:tblHeader/>
        </w:trPr>
        <w:tc>
          <w:tcPr>
            <w:tcW w:type="dxa" w:w="5260"/>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Componente</w:t>
            </w:r>
          </w:p>
        </w:tc>
        <w:tc>
          <w:tcPr>
            <w:tcW w:type="dxa" w:w="181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Monto original</w:t>
            </w:r>
          </w:p>
        </w:tc>
        <w:tc>
          <w:tcPr>
            <w:tcW w:type="dxa" w:w="19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En miles de CUP</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previos (facturados en USD)</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0,2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26,2</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 facturada en USD (no es el equivalente en CUP: ver monto original)</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5,3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632,9</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 facturada en CUP (convertida con el tipo de cambio parametrizado)</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kCUP</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Capital de trabajo (kUSD)</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5260"/>
            <w:tcBorders>
              <w:top w:val="single" w:color="94A3B8" w:sz="4"/>
              <w:bottom w:val="single" w:color="64748B" w:sz="8"/>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INVERSIÓN TOTAL</w:t>
            </w:r>
          </w:p>
        </w:tc>
        <w:tc>
          <w:tcPr>
            <w:tcW w:type="dxa" w:w="181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5,5 kUSD</w:t>
            </w:r>
          </w:p>
        </w:tc>
        <w:tc>
          <w:tcPr>
            <w:tcW w:type="dxa" w:w="19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659,1</w:t>
            </w:r>
          </w:p>
        </w:tc>
      </w:tr>
    </w:tbl>
    <w:p>
      <w:pPr>
        <w:pStyle w:val="NotaTexto"/>
        <w:spacing w:after="160" w:before="40"/>
      </w:pPr>
      <w:r>
        <w:rPr>
          <w:rFonts w:ascii="Calibri" w:cs="Calibri" w:eastAsia="Calibri" w:hAnsi="Calibri"/>
          <w:i/>
          <w:iCs/>
          <w:color w:val="64748B"/>
          <w:sz w:val="15"/>
          <w:szCs w:val="15"/>
        </w:rPr>
        <w:t xml:space="preserve">Nota. «Monto original»: moneda en que se factura cada partida; la columna equivalente convierte con el tipo de cambio parametrizado. No se suman monedas distintas sin convertir.</w:t>
      </w:r>
    </w:p>
    <w:p>
      <w:pPr>
        <w:pStyle w:val="NotaTexto"/>
        <w:spacing w:after="60" w:before="60" w:line="276"/>
        <w:jc w:val="both"/>
      </w:pPr>
      <w:r>
        <w:rPr>
          <w:rFonts w:ascii="Calibri" w:cs="Calibri" w:eastAsia="Calibri" w:hAnsi="Calibri"/>
          <w:color w:val="334155"/>
          <w:sz w:val="16"/>
          <w:szCs w:val="16"/>
        </w:rPr>
        <w:t xml:space="preserve">La columna «Monto original» muestra las partidas en la moneda en que se facturan (kUSD o kCUP); la columna «En miles de CUP» es el EQUIVALENTE convertido con el tipo de cambio parametrizado (120,0 CUP/USD, fuente y fecha en la nota de conversión). Nunca se presentan como USD los importes convertidos.</w:t>
      </w:r>
    </w:p>
    <w:p>
      <w:pPr>
        <w:pStyle w:val="NotaTabla"/>
        <w:keepNext/>
        <w:keepLines/>
        <w:spacing w:after="80" w:before="200"/>
      </w:pPr>
      <w:r>
        <w:rPr>
          <w:rFonts w:ascii="Calibri" w:cs="Calibri" w:eastAsia="Calibri" w:hAnsi="Calibri"/>
          <w:b/>
          <w:bCs/>
          <w:color w:val="1E3A5F"/>
          <w:sz w:val="18"/>
          <w:szCs w:val="18"/>
        </w:rPr>
        <w:t xml:space="preserve">Tabla 7. Fuentes de financiamiento (miles de CUP)</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7126"/>
        <w:gridCol w:w="1900"/>
      </w:tblGrid>
      <w:tr>
        <w:trPr>
          <w:cantSplit/>
          <w:tblHeader/>
        </w:trPr>
        <w:tc>
          <w:tcPr>
            <w:tcW w:type="dxa" w:w="712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Fuente</w:t>
            </w:r>
          </w:p>
        </w:tc>
        <w:tc>
          <w:tcPr>
            <w:tcW w:type="dxa" w:w="1900"/>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Monto</w:t>
            </w:r>
          </w:p>
        </w:tc>
      </w:tr>
      <w:tr>
        <w:trPr>
          <w:cantSplit/>
        </w:trPr>
        <w:tc>
          <w:tcPr>
            <w:tcW w:type="dxa" w:w="71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Aportaciones de los socios</w:t>
            </w:r>
          </w:p>
        </w:tc>
        <w:tc>
          <w:tcPr>
            <w:tcW w:type="dxa" w:w="19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9.862,6</w:t>
            </w:r>
          </w:p>
        </w:tc>
      </w:tr>
      <w:tr>
        <w:trPr>
          <w:cantSplit/>
        </w:trPr>
        <w:tc>
          <w:tcPr>
            <w:tcW w:type="dxa" w:w="71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Otras fuentes disponibles</w:t>
            </w:r>
          </w:p>
        </w:tc>
        <w:tc>
          <w:tcPr>
            <w:tcW w:type="dxa" w:w="19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71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Crédito externo</w:t>
            </w:r>
          </w:p>
        </w:tc>
        <w:tc>
          <w:tcPr>
            <w:tcW w:type="dxa" w:w="19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7126"/>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Financiación disponible</w:t>
            </w:r>
          </w:p>
        </w:tc>
        <w:tc>
          <w:tcPr>
            <w:tcW w:type="dxa" w:w="1900"/>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9.862,6</w:t>
            </w:r>
          </w:p>
        </w:tc>
      </w:tr>
      <w:tr>
        <w:trPr>
          <w:cantSplit/>
        </w:trPr>
        <w:tc>
          <w:tcPr>
            <w:tcW w:type="dxa" w:w="7126"/>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Necesidad de financiación</w:t>
            </w:r>
          </w:p>
        </w:tc>
        <w:tc>
          <w:tcPr>
            <w:tcW w:type="dxa" w:w="1900"/>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-9.203,6</w:t>
            </w:r>
          </w:p>
        </w:tc>
      </w:tr>
      <w:tr>
        <w:trPr>
          <w:cantSplit/>
        </w:trPr>
        <w:tc>
          <w:tcPr>
            <w:tcW w:type="dxa" w:w="7126"/>
            <w:tcBorders>
              <w:top w:val="single" w:color="94A3B8" w:sz="4"/>
              <w:bottom w:val="single" w:color="64748B" w:sz="8"/>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Diferencia (exceso/insuficiencia)</w:t>
            </w:r>
          </w:p>
        </w:tc>
        <w:tc>
          <w:tcPr>
            <w:tcW w:type="dxa" w:w="1900"/>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9.203,6</w:t>
            </w:r>
          </w:p>
        </w:tc>
      </w:tr>
    </w:tbl>
    <w:p>
      <w:pPr>
        <w:pStyle w:val="NotaTexto"/>
        <w:spacing w:after="160" w:before="40"/>
      </w:pPr>
      <w:r>
        <w:rPr>
          <w:rFonts w:ascii="Calibri" w:cs="Calibri" w:eastAsia="Calibri" w:hAnsi="Calibri"/>
          <w:i/>
          <w:iCs/>
          <w:color w:val="64748B"/>
          <w:sz w:val="15"/>
          <w:szCs w:val="15"/>
        </w:rPr>
        <w:t xml:space="preserve">Nota. Conciliación TOTAL del proyecto (comprometido para todo el horizonte); la dimensión temporal se controla en la tabla siguiente.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inversión y financiación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 inversión inicial total calculada es 659,1 miles de CUP, compuesta por gastos previos de 26,2 (4,0 %), inversión fija de 632,9 (96,0 %) y capital de trabajo inicial de 0,0 (0,0 %). Las partidas de mayor peso son «Otros gastos de preoperación (sin desglose en el expediente)» (25,0 CUP), «Compresor de aire seco para uso estomatológico (recupera la conformidad técnica: el actual usa aceite)» (3,9 USD), «Gastos financieros del período de inversión» (1,2 CUP). Las fuentes disponibles suman 9.862,6 miles de CUP (aportaciones 9.862,6, otras fuentes 0,0, crédito 0,0). La necesidad de financiación (inversión menos aportaciones y otras fuentes) es -9.203,6 kCUP y no se ha previsto crédito para cubrirla. Diferencia de financiación: sobran 9.203,6 kCUP sin asignar a inversión; justifique su uso o ajuste las fuentes. Calendario de desembolsos de aportaciones (misma convención de años 0/1/2 que las tablas de financiación y flujos): año 0 (montaje/arranque — financia la inversión total del año 0): 9.862,6 kCUP; año 1 (operación): 0,0 kCUP; año 2 (operación): 0,0 kCUP. Cobertura temporal: las fuentes COMPROMETIDAS para todo el proyecto suman 9.862,6 kCUP, pero las disponibles con desembolso efectivo en el año 0 suman 9.862,6 kCUP (aportaciones con vencimiento en el año 0 9.862,6; sin crédito desembolsado). El control por período exige que cada necesidad esté cubierta el año en que se produce, no en el agregado del horizonte. DÉFICIT TEMPORAL de tesorería en: año 2 (faltan 47.615,6 kCUP; no cubiertas dentro del horizonte). La financiación total comprometida cubre la necesidad total del horizonte: el problema es de CALENDARIO (los desembolsos llegan después de las necesidades), no de cuantía. Reprograme los desembolsos, amplíe el capital de trabajo o declare el supuesto.</w:t>
      </w:r>
    </w:p>
    <w:p>
      <w:pPr>
        <w:pStyle w:val="NotaTabla"/>
        <w:keepNext/>
        <w:keepLines/>
        <w:spacing w:after="80" w:before="200"/>
      </w:pPr>
      <w:r>
        <w:rPr>
          <w:rFonts w:ascii="Calibri" w:cs="Calibri" w:eastAsia="Calibri" w:hAnsi="Calibri"/>
          <w:b/>
          <w:bCs/>
          <w:color w:val="1E3A5F"/>
          <w:sz w:val="18"/>
          <w:szCs w:val="18"/>
        </w:rPr>
        <w:t xml:space="preserve">Tabla 8. Cobertura temporal de la financiación y tesorería proyectada (miles de CUP; fuentes comprometidas para todo el proyecto: 9.862,6 kCUP)</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1225"/>
        <w:gridCol w:w="1210"/>
        <w:gridCol w:w="786"/>
        <w:gridCol w:w="1210"/>
        <w:gridCol w:w="1149"/>
        <w:gridCol w:w="1391"/>
        <w:gridCol w:w="1149"/>
        <w:gridCol w:w="907"/>
      </w:tblGrid>
      <w:tr>
        <w:trPr>
          <w:cantSplit/>
          <w:tblHeader/>
        </w:trPr>
        <w:tc>
          <w:tcPr>
            <w:tcW w:type="dxa" w:w="122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Período</w:t>
            </w:r>
          </w:p>
        </w:tc>
        <w:tc>
          <w:tcPr>
            <w:tcW w:type="dxa" w:w="1210"/>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Aportaciones del año</w:t>
            </w:r>
          </w:p>
        </w:tc>
        <w:tc>
          <w:tcPr>
            <w:tcW w:type="dxa" w:w="786"/>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Otras fuentes</w:t>
            </w:r>
          </w:p>
        </w:tc>
        <w:tc>
          <w:tcPr>
            <w:tcW w:type="dxa" w:w="1210"/>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Crédito (desembolso)</w:t>
            </w:r>
          </w:p>
        </w:tc>
        <w:tc>
          <w:tcPr>
            <w:tcW w:type="dxa" w:w="114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Fuentes del período</w:t>
            </w:r>
          </w:p>
        </w:tc>
        <w:tc>
          <w:tcPr>
            <w:tcW w:type="dxa" w:w="1391"/>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Necesidades del período</w:t>
            </w:r>
          </w:p>
        </w:tc>
        <w:tc>
          <w:tcPr>
            <w:tcW w:type="dxa" w:w="114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Cobertura acumulada</w:t>
            </w:r>
          </w:p>
        </w:tc>
        <w:tc>
          <w:tcPr>
            <w:tcW w:type="dxa" w:w="9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Caja proyectada</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0 (montaje)</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9.862,6</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9.862,6</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659,1</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1</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3.521,6</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2</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-2.160,3</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3</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-7.842,2</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4</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-13.524,1</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5</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-19.206,0</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6</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-24.887,9</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7</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-30.569,8</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8</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-36.251,8</w:t>
            </w:r>
          </w:p>
        </w:tc>
      </w:tr>
      <w:tr>
        <w:trPr>
          <w:cantSplit/>
        </w:trPr>
        <w:tc>
          <w:tcPr>
            <w:tcW w:type="dxa" w:w="122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9</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-41.933,7</w:t>
            </w:r>
          </w:p>
        </w:tc>
      </w:tr>
      <w:tr>
        <w:trPr>
          <w:cantSplit/>
        </w:trPr>
        <w:tc>
          <w:tcPr>
            <w:tcW w:type="dxa" w:w="122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10</w:t>
            </w:r>
          </w:p>
        </w:tc>
        <w:tc>
          <w:tcPr>
            <w:tcW w:type="dxa" w:w="1210"/>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786"/>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210"/>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91"/>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4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c>
          <w:tcPr>
            <w:tcW w:type="dxa" w:w="90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-47.615,6</w:t>
            </w:r>
          </w:p>
        </w:tc>
      </w:tr>
    </w:tbl>
    <w:p>
      <w:pPr>
        <w:pStyle w:val="NotaTexto"/>
        <w:spacing w:after="60" w:before="60" w:line="276"/>
        <w:jc w:val="both"/>
      </w:pPr>
      <w:r>
        <w:rPr>
          <w:rFonts w:ascii="Calibri" w:cs="Calibri" w:eastAsia="Calibri" w:hAnsi="Calibri"/>
          <w:color w:val="334155"/>
          <w:sz w:val="16"/>
          <w:szCs w:val="16"/>
        </w:rPr>
        <w:t xml:space="preserve">Dos vistas complementarias: «Cobertura acumulada» = fuentes acumuladas - necesidades acumuladas de inversión y arranque (detecta desembolsos tardíos); «Caja proyectada» = tesorería con los flujos operativos, el servicio de la deuda y los dividendos (aportaciones fechadas + otras fuentes + desembolsos del crédito + FCFE sin el principal - dividendos; en el año 0 ambas vistas coinciden). Las «otras fuentes» no declaran fecha: se suponen disponibles en el año 0 (supuesto documentado). Necesidades: año 0 = inversión total + salidas de caja no capitalizables del arranque; años posteriores = CAPEX de ampliaciones. Déficits de tesorería: año 2: faltan 47.615,6 kCUP (no cubiertas dentro del horizonte). El impuesto se toma como devengado pagado en el mismo período (supuesto del modelo simplificado, no un pago verificado).</w:t>
      </w:r>
    </w:p>
    <w:p>
      <w:pPr>
        <w:pStyle w:val="NotaTabla"/>
        <w:keepNext/>
        <w:keepLines/>
        <w:spacing w:after="80" w:before="200"/>
      </w:pPr>
      <w:r>
        <w:rPr>
          <w:rFonts w:ascii="Calibri" w:cs="Calibri" w:eastAsia="Calibri" w:hAnsi="Calibri"/>
          <w:b/>
          <w:bCs/>
          <w:color w:val="1E3A5F"/>
          <w:sz w:val="18"/>
          <w:szCs w:val="18"/>
        </w:rPr>
        <w:t xml:space="preserve">Tabla 9. Depreciación por activo (kCUP; por activo, limitada al importe depreciable; años de muestra y extremos)</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678"/>
        <w:gridCol w:w="1521"/>
        <w:gridCol w:w="595"/>
        <w:gridCol w:w="727"/>
        <w:gridCol w:w="529"/>
        <w:gridCol w:w="397"/>
        <w:gridCol w:w="397"/>
        <w:gridCol w:w="397"/>
        <w:gridCol w:w="397"/>
        <w:gridCol w:w="397"/>
        <w:gridCol w:w="595"/>
        <w:gridCol w:w="397"/>
      </w:tblGrid>
      <w:tr>
        <w:trPr>
          <w:cantSplit/>
          <w:tblHeader/>
        </w:trPr>
        <w:tc>
          <w:tcPr>
            <w:tcW w:type="dxa" w:w="2678"/>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Activo</w:t>
            </w:r>
          </w:p>
        </w:tc>
        <w:tc>
          <w:tcPr>
            <w:tcW w:type="dxa" w:w="1521"/>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Base depreciable (kCUP)</w:t>
            </w:r>
          </w:p>
        </w:tc>
        <w:tc>
          <w:tcPr>
            <w:tcW w:type="dxa" w:w="59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Vida útil</w:t>
            </w:r>
          </w:p>
        </w:tc>
        <w:tc>
          <w:tcPr>
            <w:tcW w:type="dxa" w:w="7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Disp. desde</w:t>
            </w:r>
          </w:p>
        </w:tc>
        <w:tc>
          <w:tcPr>
            <w:tcW w:type="dxa" w:w="52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Residual</w:t>
            </w:r>
          </w:p>
        </w:tc>
        <w:tc>
          <w:tcPr>
            <w:tcW w:type="dxa" w:w="39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1</w:t>
            </w:r>
          </w:p>
        </w:tc>
        <w:tc>
          <w:tcPr>
            <w:tcW w:type="dxa" w:w="39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2</w:t>
            </w:r>
          </w:p>
        </w:tc>
        <w:tc>
          <w:tcPr>
            <w:tcW w:type="dxa" w:w="39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3</w:t>
            </w:r>
          </w:p>
        </w:tc>
        <w:tc>
          <w:tcPr>
            <w:tcW w:type="dxa" w:w="39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5</w:t>
            </w:r>
          </w:p>
        </w:tc>
        <w:tc>
          <w:tcPr>
            <w:tcW w:type="dxa" w:w="39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10</w:t>
            </w:r>
          </w:p>
        </w:tc>
        <w:tc>
          <w:tcPr>
            <w:tcW w:type="dxa" w:w="59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Acumulada</w:t>
            </w:r>
          </w:p>
        </w:tc>
        <w:tc>
          <w:tcPr>
            <w:tcW w:type="dxa" w:w="39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VNL</w:t>
            </w:r>
          </w:p>
        </w:tc>
      </w:tr>
      <w:tr>
        <w:trPr>
          <w:cantSplit/>
        </w:trPr>
        <w:tc>
          <w:tcPr>
            <w:tcW w:type="dxa" w:w="267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Compresor de aire seco para uso estomatológico (recupera la conformidad técnica: el actual usa aceite)</w:t>
            </w:r>
          </w:p>
        </w:tc>
        <w:tc>
          <w:tcPr>
            <w:tcW w:type="dxa" w:w="152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466,2</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72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2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27,4</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27,4</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27,4</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27,4</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27,4</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274,2</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192,0</w:t>
            </w:r>
          </w:p>
        </w:tc>
      </w:tr>
      <w:tr>
        <w:trPr>
          <w:cantSplit/>
        </w:trPr>
        <w:tc>
          <w:tcPr>
            <w:tcW w:type="dxa" w:w="267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Prensa hidráulica de estomatología (moderniza el proceso de prótesis)</w:t>
            </w:r>
          </w:p>
        </w:tc>
        <w:tc>
          <w:tcPr>
            <w:tcW w:type="dxa" w:w="152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49,6</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72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2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2,9</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2,9</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2,9</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2,9</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2,9</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29,2</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20,4</w:t>
            </w:r>
          </w:p>
        </w:tc>
      </w:tr>
      <w:tr>
        <w:trPr>
          <w:cantSplit/>
        </w:trPr>
        <w:tc>
          <w:tcPr>
            <w:tcW w:type="dxa" w:w="267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Micromotor de mano (tecnología nueva para prótesis)</w:t>
            </w:r>
          </w:p>
        </w:tc>
        <w:tc>
          <w:tcPr>
            <w:tcW w:type="dxa" w:w="152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34,1</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72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2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14,0</w:t>
            </w:r>
          </w:p>
        </w:tc>
      </w:tr>
      <w:tr>
        <w:trPr>
          <w:cantSplit/>
        </w:trPr>
        <w:tc>
          <w:tcPr>
            <w:tcW w:type="dxa" w:w="2678"/>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Eliminador de burbujas (calidad de prótesis)</w:t>
            </w:r>
          </w:p>
        </w:tc>
        <w:tc>
          <w:tcPr>
            <w:tcW w:type="dxa" w:w="1521"/>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34,8</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72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2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w:t>
            </w:r>
          </w:p>
        </w:tc>
        <w:tc>
          <w:tcPr>
            <w:tcW w:type="dxa" w:w="59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20,5</w:t>
            </w:r>
          </w:p>
        </w:tc>
        <w:tc>
          <w:tcPr>
            <w:tcW w:type="dxa" w:w="39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14,3</w:t>
            </w:r>
          </w:p>
        </w:tc>
      </w:tr>
      <w:tr>
        <w:trPr>
          <w:cantSplit/>
        </w:trPr>
        <w:tc>
          <w:tcPr>
            <w:tcW w:type="dxa" w:w="2678"/>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Olla polimerizadora a presión (sustituye la cocción en microondas)</w:t>
            </w:r>
          </w:p>
        </w:tc>
        <w:tc>
          <w:tcPr>
            <w:tcW w:type="dxa" w:w="1521"/>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48,2</w:t>
            </w:r>
          </w:p>
        </w:tc>
        <w:tc>
          <w:tcPr>
            <w:tcW w:type="dxa" w:w="595"/>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7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2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39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2,8</w:t>
            </w:r>
          </w:p>
        </w:tc>
        <w:tc>
          <w:tcPr>
            <w:tcW w:type="dxa" w:w="39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2,8</w:t>
            </w:r>
          </w:p>
        </w:tc>
        <w:tc>
          <w:tcPr>
            <w:tcW w:type="dxa" w:w="39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2,8</w:t>
            </w:r>
          </w:p>
        </w:tc>
        <w:tc>
          <w:tcPr>
            <w:tcW w:type="dxa" w:w="39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2,8</w:t>
            </w:r>
          </w:p>
        </w:tc>
        <w:tc>
          <w:tcPr>
            <w:tcW w:type="dxa" w:w="39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2,8</w:t>
            </w:r>
          </w:p>
        </w:tc>
        <w:tc>
          <w:tcPr>
            <w:tcW w:type="dxa" w:w="595"/>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28,4</w:t>
            </w:r>
          </w:p>
        </w:tc>
        <w:tc>
          <w:tcPr>
            <w:tcW w:type="dxa" w:w="39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19,9</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deuda y depreciación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sectPr>
          <w:headerReference w:type="default" r:id="rId8"/>
          <w:footerReference w:type="default" r:id="rId9"/>
          <w:pgSz w:w="11906" w:h="16838" w:orient="portrait"/>
          <w:pgMar w:top="1440" w:right="1440" w:bottom="1440" w:left="1440" w:header="708" w:footer="708" w:gutter="0"/>
          <w:pgNumType/>
          <w:docGrid w:linePitch="360"/>
        </w:sectPr>
      </w:pPr>
      <w:r>
        <w:rPr>
          <w:rFonts w:ascii="Calibri" w:cs="Calibri" w:eastAsia="Calibri" w:hAnsi="Calibri"/>
          <w:color w:val="334155"/>
          <w:sz w:val="18"/>
          <w:szCs w:val="18"/>
        </w:rPr>
        <w:t xml:space="preserve">El plan no incluye crédito: toda la inversión se financia con aportaciones y otras fuentes. En consecuencia no existen intereses ni amortizaciones y la diferencia entre el flujo del proyecto y el de los socios es nula. El registro de activos depreciables contiene 5 activo(s). La depreciación anual total es 37,2 miles de CUP en el año 1 y alcanza su máximo (37,2) en el año 1; cada activo deprecia desde su año de disponibilidad, respeta su vida útil y nunca supera su importe depreciable. 5 activo(s) quedan con valor neto en libros al final del horizonte (p. ej. «Compresor de aire seco para uso estomatológico (recupera la conformidad técnica: el actual usa aceite)» con 192,0 kCUP): el plan debe declarar el tratamiento de ese valor residual al cierre. La depreciación es un gasto no monetario: reduce la utilidad contable pero el flujo de caja la reincorpora una sola vez; las amortizaciones del principal, en cambio, son salidas de caja del financiador y no gasto del estado de resultados.</w:t>
      </w:r>
    </w:p>
    <w:p>
      <w:pPr>
        <w:pStyle w:val="NotaTabla"/>
        <w:keepNext/>
        <w:keepLines/>
        <w:spacing w:after="80" w:before="200"/>
      </w:pPr>
      <w:r>
        <w:rPr>
          <w:rFonts w:ascii="Calibri" w:cs="Calibri" w:eastAsia="Calibri" w:hAnsi="Calibri"/>
          <w:b/>
          <w:bCs/>
          <w:color w:val="1E3A5F"/>
          <w:sz w:val="18"/>
          <w:szCs w:val="18"/>
        </w:rPr>
        <w:t xml:space="preserve">Tabla 10. Proyección de ingresos, costos y utilidades (miles de CUP)</w:t>
      </w:r>
    </w:p>
    <w:tbl>
      <w:tblPr>
        <w:tblW w:type="dxa" w:w="13958"/>
        <w:tblBorders>
          <w:top w:val="none" w:color="auto" w:sz="0"/>
          <w:left w:val="none" w:color="auto" w:sz="0"/>
          <w:bottom w:val="none" w:color="auto" w:sz="0"/>
          <w:right w:val="none" w:color="auto" w:sz="0"/>
          <w:insideH w:val="none" w:color="auto" w:sz="0"/>
          <w:insideV w:val="none" w:color="auto" w:sz="0"/>
        </w:tblBorders>
      </w:tblPr>
      <w:tblGrid>
        <w:gridCol w:w="3995"/>
        <w:gridCol w:w="592"/>
        <w:gridCol w:w="592"/>
        <w:gridCol w:w="789"/>
        <w:gridCol w:w="789"/>
        <w:gridCol w:w="789"/>
        <w:gridCol w:w="789"/>
        <w:gridCol w:w="789"/>
        <w:gridCol w:w="789"/>
        <w:gridCol w:w="789"/>
        <w:gridCol w:w="789"/>
        <w:gridCol w:w="789"/>
        <w:gridCol w:w="789"/>
        <w:gridCol w:w="888"/>
      </w:tblGrid>
      <w:tr>
        <w:trPr>
          <w:cantSplit/>
          <w:tblHeader/>
        </w:trPr>
        <w:tc>
          <w:tcPr>
            <w:tcW w:type="dxa" w:w="399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5"/>
                <w:szCs w:val="15"/>
              </w:rPr>
              <w:t xml:space="preserve">Concepto</w:t>
            </w:r>
          </w:p>
        </w:tc>
        <w:tc>
          <w:tcPr>
            <w:tcW w:type="dxa" w:w="592"/>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5"/>
                <w:szCs w:val="15"/>
              </w:rPr>
              <w:t xml:space="preserve">Unidad</w:t>
            </w:r>
          </w:p>
        </w:tc>
        <w:tc>
          <w:tcPr>
            <w:tcW w:type="dxa" w:w="592"/>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0</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1</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2</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3</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4</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5</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6</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7</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8</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9</w:t>
            </w:r>
          </w:p>
        </w:tc>
        <w:tc>
          <w:tcPr>
            <w:tcW w:type="dxa" w:w="78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10</w:t>
            </w:r>
          </w:p>
        </w:tc>
        <w:tc>
          <w:tcPr>
            <w:tcW w:type="dxa" w:w="88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Total</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Ingresos por servicios</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138.976,8</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ingresos</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INGRESOS TOTALES</w:t>
            </w:r>
          </w:p>
        </w:tc>
        <w:tc>
          <w:tcPr>
            <w:tcW w:type="dxa" w:w="592"/>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kCUP</w:t>
            </w:r>
          </w:p>
        </w:tc>
        <w:tc>
          <w:tcPr>
            <w:tcW w:type="dxa" w:w="592"/>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0,0</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888"/>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138.976,8</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Costos variables (materiales y consumibles)</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15.259,6</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152.595,9</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Costo de la fuerza de trabajo</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43.200,0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Canon (arrendamiento)</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Mantenimiento</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Servicios públicos (agua, electricidad, portadores)</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Gastos administrativos</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gastos fijos</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Depreciación</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372,3</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Intereses del crédito</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COSTOS Y GASTOS TOTALES</w:t>
            </w:r>
          </w:p>
        </w:tc>
        <w:tc>
          <w:tcPr>
            <w:tcW w:type="dxa" w:w="592"/>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kCUP</w:t>
            </w:r>
          </w:p>
        </w:tc>
        <w:tc>
          <w:tcPr>
            <w:tcW w:type="dxa" w:w="592"/>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0,0</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w:t>
            </w:r>
          </w:p>
        </w:tc>
        <w:tc>
          <w:tcPr>
            <w:tcW w:type="dxa" w:w="888"/>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196.168,2</w:t>
            </w:r>
          </w:p>
        </w:tc>
      </w:tr>
      <w:tr>
        <w:trPr>
          <w:cantSplit/>
        </w:trPr>
        <w:tc>
          <w:tcPr>
            <w:tcW w:type="dxa" w:w="3995"/>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UTILIDAD ANTES DE IMPUESTOS (1-2)</w:t>
            </w:r>
          </w:p>
        </w:tc>
        <w:tc>
          <w:tcPr>
            <w:tcW w:type="dxa" w:w="592"/>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kCUP</w:t>
            </w:r>
          </w:p>
        </w:tc>
        <w:tc>
          <w:tcPr>
            <w:tcW w:type="dxa" w:w="592"/>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0,0</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888"/>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-57.191,4</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Impuesto sobre utilidades</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3995"/>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UTILIDAD DESPUÉS DE IMPUESTOS (3-4)</w:t>
            </w:r>
          </w:p>
        </w:tc>
        <w:tc>
          <w:tcPr>
            <w:tcW w:type="dxa" w:w="592"/>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kCUP</w:t>
            </w:r>
          </w:p>
        </w:tc>
        <w:tc>
          <w:tcPr>
            <w:tcW w:type="dxa" w:w="592"/>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0,0</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78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w:t>
            </w:r>
          </w:p>
        </w:tc>
        <w:tc>
          <w:tcPr>
            <w:tcW w:type="dxa" w:w="888"/>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-57.191,4</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Amortización del principal del crédito (memoria; flujo de financiación, no gasto)</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Saldo de la deuda al cierre (memoria; flujo de financiación, no gasto)</w:t>
            </w:r>
          </w:p>
        </w:tc>
        <w:tc>
          <w:tcPr>
            <w:tcW w:type="dxa" w:w="59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
            </w:r>
          </w:p>
        </w:tc>
      </w:tr>
      <w:tr>
        <w:trPr>
          <w:cantSplit/>
        </w:trPr>
        <w:tc>
          <w:tcPr>
            <w:tcW w:type="dxa" w:w="399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Dividendos pagables (memoria; no es gasto)</w:t>
            </w:r>
          </w:p>
        </w:tc>
        <w:tc>
          <w:tcPr>
            <w:tcW w:type="dxa" w:w="592"/>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kCUP</w:t>
            </w:r>
          </w:p>
        </w:tc>
        <w:tc>
          <w:tcPr>
            <w:tcW w:type="dxa" w:w="592"/>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78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888"/>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
            </w:r>
          </w:p>
        </w:tc>
      </w:tr>
    </w:tbl>
    <w:p>
      <w:pPr>
        <w:sectPr>
          <w:headerReference w:type="default" r:id="rId10"/>
          <w:footerReference w:type="default" r:id="rId11"/>
          <w:pgSz w:w="11906" w:h="16838" w:orient="landscape"/>
          <w:pgMar w:top="1440" w:right="1440" w:bottom="1440" w:left="1440" w:header="708" w:footer="708" w:gutter="0"/>
          <w:pgNumType/>
          <w:docGrid w:linePitch="360"/>
        </w:sectPr>
      </w:pP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ingresos, costos y utilidades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Los ingresos totales pasan de 13.897,7 miles de CUP en el año 1 a 13.897,7 en el año 10 (crecimiento medio implícito 0,0 % anual). Esa trayectoria resulta de la demanda prevista, los precios con su crecimiento parametrizado y la limitación por capacidad del escenario activo; no incluye facturación por encima de lo atendible. En el año 1 los costos variables absorben 109,8 % de los ingresos, la fuerza de trabajo 31,1 % y los costos fijos de operación (canon, mantenimiento, servicios públicos, gastos administrativos y otros) 0,0 %. La depreciación del período es 37,2 miles de CUP: es un gasto contable que no representa salida de caja. Con la regla tributaria activa (tasa parametrizada de 15,0 %, supuesto de demostración), el impuesto del año 1 es 0,0 miles de CUP y la utilidad después de impuestos -5.719,1 (-41,2 % de margen neto). La utilidad antes de impuestos permanece en -5.719,1 miles de CUP entre el año 1 y el año 10: verifique si el modelo refleja la dinámica prevista del negocio. Los costos fijos (canon, servicios públicos, otros gastos fijos, aranceles, otros impuestos y royalties) permanecen a valores nominales constantes durante el horizonte por la HIPÓTESIS del parámetro «inflacion_costos_fijos» = 0 %: es una hipótesis de GASTOS NOMINALES CONSTANTES sujeta a PRUEBA CONTRACTUAL — solo es válida si los contratos reales fijan importes nominales por todo el período — y no se califica automáticamente de conservadora: si los contratos efectivamente se indexan, mantener 0 % SUBESTIMA los costos y SOBREESTIMA el resultado. Al cambiar el parámetro a un valor positivo, el informe presentará la sensibilidad de resultados frente a la indexación.</w:t>
      </w:r>
    </w:p>
    <w:p>
      <w:pPr>
        <w:pStyle w:val="NotaTabla"/>
        <w:keepNext/>
        <w:keepLines/>
        <w:spacing w:after="80" w:before="240"/>
      </w:pPr>
      <w:r>
        <w:rPr>
          <w:rFonts w:ascii="Calibri" w:cs="Calibri" w:eastAsia="Calibri" w:hAnsi="Calibri"/>
          <w:b/>
          <w:bCs/>
          <w:color w:val="1E3A5F"/>
          <w:sz w:val="18"/>
          <w:szCs w:val="18"/>
        </w:rPr>
        <w:t xml:space="preserve">Figura 1. Evolución de ingresos, costos y utilidad durante el horizonte</w:t>
      </w:r>
    </w:p>
    <w:p>
      <w:pPr>
        <w:keepLines/>
        <w:spacing w:after="80"/>
        <w:jc w:val="center"/>
      </w:pPr>
      <w:r>
        <w:drawing>
          <wp:inline distT="0" distB="0" distL="0" distR="0">
            <wp:extent cx="5524500" cy="2762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2563EB"/>
          <w:sz w:val="16"/>
          <w:szCs w:val="16"/>
        </w:rPr>
        <w:t xml:space="preserve">—— </w:t>
      </w:r>
      <w:r>
        <w:rPr>
          <w:rFonts w:ascii="Calibri" w:cs="Calibri" w:eastAsia="Calibri" w:hAnsi="Calibri"/>
          <w:color w:val="64748B"/>
          <w:sz w:val="16"/>
          <w:szCs w:val="16"/>
        </w:rPr>
        <w:t xml:space="preserve">Ingresos totales</w:t>
      </w:r>
      <w:r>
        <w:rPr>
          <w:rFonts w:ascii="Calibri" w:cs="Calibri" w:eastAsia="Calibri" w:hAnsi="Calibri"/>
          <w:color w:val="64748B"/>
          <w:sz w:val="14"/>
          <w:szCs w:val="14"/>
        </w:rPr>
        <w:t xml:space="preserve">   ·   </w:t>
      </w:r>
      <w:r>
        <w:rPr>
          <w:rFonts w:ascii="Calibri" w:cs="Calibri" w:eastAsia="Calibri" w:hAnsi="Calibri"/>
          <w:color w:val="B91C1C"/>
          <w:sz w:val="16"/>
          <w:szCs w:val="16"/>
        </w:rPr>
        <w:t xml:space="preserve">—— </w:t>
      </w:r>
      <w:r>
        <w:rPr>
          <w:rFonts w:ascii="Calibri" w:cs="Calibri" w:eastAsia="Calibri" w:hAnsi="Calibri"/>
          <w:color w:val="64748B"/>
          <w:sz w:val="16"/>
          <w:szCs w:val="16"/>
        </w:rPr>
        <w:t xml:space="preserve">Costos y gastos totales</w:t>
      </w:r>
      <w:r>
        <w:rPr>
          <w:rFonts w:ascii="Calibri" w:cs="Calibri" w:eastAsia="Calibri" w:hAnsi="Calibri"/>
          <w:color w:val="64748B"/>
          <w:sz w:val="14"/>
          <w:szCs w:val="14"/>
        </w:rPr>
        <w:t xml:space="preserve">   ·   </w:t>
      </w:r>
      <w:r>
        <w:rPr>
          <w:rFonts w:ascii="Calibri" w:cs="Calibri" w:eastAsia="Calibri" w:hAnsi="Calibri"/>
          <w:color w:val="15803D"/>
          <w:sz w:val="16"/>
          <w:szCs w:val="16"/>
        </w:rPr>
        <w:t xml:space="preserve">—— </w:t>
      </w:r>
      <w:r>
        <w:rPr>
          <w:rFonts w:ascii="Calibri" w:cs="Calibri" w:eastAsia="Calibri" w:hAnsi="Calibri"/>
          <w:color w:val="64748B"/>
          <w:sz w:val="16"/>
          <w:szCs w:val="16"/>
        </w:rPr>
        <w:t xml:space="preserve">Utilidad después de impuestos</w:t>
      </w:r>
    </w:p>
    <w:p>
      <w:pPr>
        <w:pStyle w:val="NotaTexto"/>
        <w:spacing w:after="60" w:before="20"/>
      </w:pPr>
      <w:r>
        <w:rPr>
          <w:rFonts w:ascii="Calibri" w:cs="Calibri" w:eastAsia="Calibri" w:hAnsi="Calibri"/>
          <w:color w:val="64748B"/>
          <w:sz w:val="16"/>
          <w:szCs w:val="16"/>
        </w:rPr>
        <w:t xml:space="preserve">Unidades del eje vertical: Miles de CUP (kCUP). Eje horizontal: Años de operación (1–10). </w:t>
      </w:r>
      <w:r>
        <w:rPr>
          <w:rFonts w:ascii="Calibri" w:cs="Calibri" w:eastAsia="Calibri" w:hAnsi="Calibri"/>
          <w:i/>
          <w:iCs/>
          <w:color w:val="64748B"/>
          <w:sz w:val="16"/>
          <w:szCs w:val="16"/>
        </w:rPr>
        <w:t xml:space="preserve">Nota. Fuente: modelo de cálculo activo (estado de resultados, años 1–10). Importes en miles de cup (kcup); cantidades limitadas por la capacidad del escenario activo. Los valores de cada año corresponden a las mismas cifras de la tabla «Proyección de ingresos, costos y utilidades» del apartado 4.7.</w:t>
      </w:r>
    </w:p>
    <w:p>
      <w:pPr>
        <w:pStyle w:val="NotaTexto"/>
        <w:spacing w:after="60" w:before="60" w:line="276"/>
        <w:jc w:val="both"/>
      </w:pPr>
      <w:r>
        <w:rPr>
          <w:rFonts w:ascii="Calibri" w:cs="Calibri" w:eastAsia="Calibri" w:hAnsi="Calibri"/>
          <w:color w:val="334155"/>
          <w:sz w:val="16"/>
          <w:szCs w:val="16"/>
        </w:rPr>
        <w:t xml:space="preserve">La figura muestra la evolución de ingresos, costos y utilidad del horizonte con los MISMOS valores de la tabla anterior (misma fuente: el modelo de cálculo activo); no representa escenarios no modelados.</w:t>
      </w:r>
    </w:p>
    <w:p>
      <w:pPr>
        <w:pStyle w:val="Heading1"/>
        <w:pageBreakBefore/>
      </w:pPr>
      <w:bookmarkStart w:name="_Toc7" w:id="7"/>
      <w:r>
        <w:rPr>
          <w:rFonts w:ascii="Calibri" w:cs="Calibri" w:eastAsia="Calibri" w:hAnsi="Calibri"/>
          <w:b/>
          <w:bCs/>
          <w:color w:val="1E3A5F"/>
          <w:sz w:val="30"/>
          <w:szCs w:val="30"/>
        </w:rPr>
        <w:t xml:space="preserve">4.7.1  Flujos de caja y recuperación de la inversión</w:t>
      </w:r>
      <w:bookmarkEnd w:id="7"/>
    </w:p>
    <w:p>
      <w:pPr>
        <w:pStyle w:val="NotaTexto"/>
        <w:spacing w:after="60" w:before="60" w:line="276"/>
        <w:jc w:val="both"/>
        <w:sectPr>
          <w:headerReference w:type="default" r:id="rId12"/>
          <w:footerReference w:type="default" r:id="rId13"/>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El modelo calcula DOS indicadores separados: la recuperación de la INVERSIÓN TOTAL con el flujo de caja del proyecto (FCFF) y la recuperación del CAPITAL APORTADO con el flujo de los socios (FCFE). Ninguno mezcla la utilidad contable con la amortización del crédito. El FCFF reincorpora el interés DESPUÉS DE IMPUESTOS (interés devengado menos su escudo fiscal); el FCFE restituye el escudo y descuenta el interés pagado, de modo que ambos reconcilian algebraicamente: FCFF - FCFE = intereses pagados - escudo fiscal - desembolsos + amortizaciones.</w:t>
      </w:r>
    </w:p>
    <w:p>
      <w:pPr>
        <w:pStyle w:val="NotaTabla"/>
        <w:keepNext/>
        <w:keepLines/>
        <w:spacing w:after="80" w:before="200"/>
      </w:pPr>
      <w:r>
        <w:rPr>
          <w:rFonts w:ascii="Calibri" w:cs="Calibri" w:eastAsia="Calibri" w:hAnsi="Calibri"/>
          <w:b/>
          <w:bCs/>
          <w:color w:val="1E3A5F"/>
          <w:sz w:val="18"/>
          <w:szCs w:val="18"/>
        </w:rPr>
        <w:t xml:space="preserve">Tabla 11. Flujos de caja del proyecto y de los socios (miles de CUP; con el escudo fiscal del interés después de impuestos)</w:t>
      </w:r>
    </w:p>
    <w:tbl>
      <w:tblPr>
        <w:tblW w:type="dxa" w:w="13958"/>
        <w:tblBorders>
          <w:top w:val="none" w:color="auto" w:sz="0"/>
          <w:left w:val="none" w:color="auto" w:sz="0"/>
          <w:bottom w:val="none" w:color="auto" w:sz="0"/>
          <w:right w:val="none" w:color="auto" w:sz="0"/>
          <w:insideH w:val="none" w:color="auto" w:sz="0"/>
          <w:insideV w:val="none" w:color="auto" w:sz="0"/>
        </w:tblBorders>
      </w:tblPr>
      <w:tblGrid>
        <w:gridCol w:w="4172"/>
        <w:gridCol w:w="618"/>
        <w:gridCol w:w="824"/>
        <w:gridCol w:w="927"/>
        <w:gridCol w:w="927"/>
        <w:gridCol w:w="927"/>
        <w:gridCol w:w="927"/>
        <w:gridCol w:w="927"/>
        <w:gridCol w:w="927"/>
        <w:gridCol w:w="927"/>
        <w:gridCol w:w="927"/>
        <w:gridCol w:w="927"/>
      </w:tblGrid>
      <w:tr>
        <w:trPr>
          <w:cantSplit/>
          <w:tblHeader/>
        </w:trPr>
        <w:tc>
          <w:tcPr>
            <w:tcW w:type="dxa" w:w="4172"/>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5"/>
                <w:szCs w:val="15"/>
              </w:rPr>
              <w:t xml:space="preserve">Concepto (kCUP)</w:t>
            </w:r>
          </w:p>
        </w:tc>
        <w:tc>
          <w:tcPr>
            <w:tcW w:type="dxa" w:w="61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0</w:t>
            </w:r>
          </w:p>
        </w:tc>
        <w:tc>
          <w:tcPr>
            <w:tcW w:type="dxa" w:w="824"/>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1</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2</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3</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4</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5</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6</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7</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8</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9</w:t>
            </w:r>
          </w:p>
        </w:tc>
        <w:tc>
          <w:tcPr>
            <w:tcW w:type="dxa" w:w="92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10</w:t>
            </w:r>
          </w:p>
        </w:tc>
      </w:tr>
      <w:tr>
        <w:trPr>
          <w:cantSplit/>
        </w:trPr>
        <w:tc>
          <w:tcPr>
            <w:tcW w:type="dxa" w:w="4172"/>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Flujo del PROYECTO (FCFF)</w:t>
            </w:r>
          </w:p>
        </w:tc>
        <w:tc>
          <w:tcPr>
            <w:tcW w:type="dxa" w:w="618"/>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-659,1</w:t>
            </w:r>
          </w:p>
        </w:tc>
        <w:tc>
          <w:tcPr>
            <w:tcW w:type="dxa" w:w="824"/>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r>
      <w:tr>
        <w:trPr>
          <w:cantSplit/>
        </w:trPr>
        <w:tc>
          <w:tcPr>
            <w:tcW w:type="dxa" w:w="417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Flujo acumulado del proyecto</w:t>
            </w:r>
          </w:p>
        </w:tc>
        <w:tc>
          <w:tcPr>
            <w:tcW w:type="dxa" w:w="6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-659,1</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-6.341,0</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-12.022,9</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-17.704,8</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-23.386,7</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-29.068,6</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-34.750,6</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-40.432,5</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-46.114,4</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-51.796,3</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-57.478,2</w:t>
            </w:r>
          </w:p>
        </w:tc>
      </w:tr>
      <w:tr>
        <w:trPr>
          <w:cantSplit/>
        </w:trPr>
        <w:tc>
          <w:tcPr>
            <w:tcW w:type="dxa" w:w="417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Saldo pendiente de recuperar (inversión total)</w:t>
            </w:r>
          </w:p>
        </w:tc>
        <w:tc>
          <w:tcPr>
            <w:tcW w:type="dxa" w:w="6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659,1</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6.341,0</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12.022,9</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17.704,8</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23.386,7</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29.068,6</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34.750,6</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40.432,5</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46.114,4</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51.796,3</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57.478,2</w:t>
            </w:r>
          </w:p>
        </w:tc>
      </w:tr>
      <w:tr>
        <w:trPr>
          <w:cantSplit/>
        </w:trPr>
        <w:tc>
          <w:tcPr>
            <w:tcW w:type="dxa" w:w="4172"/>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Flujo de los SOCIOS (FCFE)</w:t>
            </w:r>
          </w:p>
        </w:tc>
        <w:tc>
          <w:tcPr>
            <w:tcW w:type="dxa" w:w="618"/>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-659,1</w:t>
            </w:r>
          </w:p>
        </w:tc>
        <w:tc>
          <w:tcPr>
            <w:tcW w:type="dxa" w:w="824"/>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c>
          <w:tcPr>
            <w:tcW w:type="dxa" w:w="927"/>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-5.681,9</w:t>
            </w:r>
          </w:p>
        </w:tc>
      </w:tr>
      <w:tr>
        <w:trPr>
          <w:cantSplit/>
        </w:trPr>
        <w:tc>
          <w:tcPr>
            <w:tcW w:type="dxa" w:w="417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Flujo acumulado de los socios</w:t>
            </w:r>
          </w:p>
        </w:tc>
        <w:tc>
          <w:tcPr>
            <w:tcW w:type="dxa" w:w="6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-659,1</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-6.341,0</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-12.022,9</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-17.704,8</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-23.386,7</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-29.068,6</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-34.750,6</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-40.432,5</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-46.114,4</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-51.796,3</w:t>
            </w:r>
          </w:p>
        </w:tc>
        <w:tc>
          <w:tcPr>
            <w:tcW w:type="dxa" w:w="92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-57.478,2</w:t>
            </w:r>
          </w:p>
        </w:tc>
      </w:tr>
      <w:tr>
        <w:trPr>
          <w:cantSplit/>
        </w:trPr>
        <w:tc>
          <w:tcPr>
            <w:tcW w:type="dxa" w:w="4172"/>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Saldo pendiente de recuperar (capital aportado)</w:t>
            </w:r>
          </w:p>
        </w:tc>
        <w:tc>
          <w:tcPr>
            <w:tcW w:type="dxa" w:w="618"/>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659,1</w:t>
            </w:r>
          </w:p>
        </w:tc>
        <w:tc>
          <w:tcPr>
            <w:tcW w:type="dxa" w:w="824"/>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6.341,0</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12.022,9</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17.704,8</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23.386,7</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29.068,6</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34.750,6</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40.432,5</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46.114,4</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51.796,3</w:t>
            </w:r>
          </w:p>
        </w:tc>
        <w:tc>
          <w:tcPr>
            <w:tcW w:type="dxa" w:w="92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57.478,2</w:t>
            </w:r>
          </w:p>
        </w:tc>
      </w:tr>
    </w:tbl>
    <w:p>
      <w:pPr>
        <w:sectPr>
          <w:headerReference w:type="default" r:id="rId14"/>
          <w:footerReference w:type="default" r:id="rId15"/>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Lectura de la tabla (mismos valores, sin recálculo): el flujo del proyecto solo es negativo en el año 0 (-659,1); el acumulado del proyecto no cruza a positivo dentro del horizonte y el saldo pendiente de la inversión total llega a 0,0 en el año —; el saldo del capital aportado se agota en el año —. El escudo fiscal del interés devengado acompaña la vida del crédito y su máximo anual es 0,0.</w:t>
      </w:r>
    </w:p>
    <w:p>
      <w:pPr>
        <w:pStyle w:val="NotaTabla"/>
        <w:keepNext/>
        <w:keepLines/>
        <w:spacing w:after="80" w:before="240"/>
      </w:pPr>
      <w:r>
        <w:rPr>
          <w:rFonts w:ascii="Calibri" w:cs="Calibri" w:eastAsia="Calibri" w:hAnsi="Calibri"/>
          <w:b/>
          <w:bCs/>
          <w:color w:val="1E3A5F"/>
          <w:sz w:val="18"/>
          <w:szCs w:val="18"/>
        </w:rPr>
        <w:t xml:space="preserve">Figura 2. Flujo acumulado del proyecto (FCFF) y del capital de los socios (FCFE), con cruce de cero</w:t>
      </w:r>
    </w:p>
    <w:p>
      <w:pPr>
        <w:keepLines/>
        <w:spacing w:after="80"/>
        <w:jc w:val="center"/>
      </w:pPr>
      <w:r>
        <w:drawing>
          <wp:inline distT="0" distB="0" distL="0" distR="0">
            <wp:extent cx="5524500" cy="2762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1D4ED8"/>
          <w:sz w:val="16"/>
          <w:szCs w:val="16"/>
        </w:rPr>
        <w:t xml:space="preserve">—— </w:t>
      </w:r>
      <w:r>
        <w:rPr>
          <w:rFonts w:ascii="Calibri" w:cs="Calibri" w:eastAsia="Calibri" w:hAnsi="Calibri"/>
          <w:color w:val="64748B"/>
          <w:sz w:val="16"/>
          <w:szCs w:val="16"/>
        </w:rPr>
        <w:t xml:space="preserve">Flujo acumulado del proyecto (FCFF)</w:t>
      </w:r>
      <w:r>
        <w:rPr>
          <w:rFonts w:ascii="Calibri" w:cs="Calibri" w:eastAsia="Calibri" w:hAnsi="Calibri"/>
          <w:color w:val="64748B"/>
          <w:sz w:val="14"/>
          <w:szCs w:val="14"/>
        </w:rPr>
        <w:t xml:space="preserve">   ·   </w:t>
      </w:r>
      <w:r>
        <w:rPr>
          <w:rFonts w:ascii="Calibri" w:cs="Calibri" w:eastAsia="Calibri" w:hAnsi="Calibri"/>
          <w:color w:val="B45309"/>
          <w:sz w:val="16"/>
          <w:szCs w:val="16"/>
        </w:rPr>
        <w:t xml:space="preserve">—— </w:t>
      </w:r>
      <w:r>
        <w:rPr>
          <w:rFonts w:ascii="Calibri" w:cs="Calibri" w:eastAsia="Calibri" w:hAnsi="Calibri"/>
          <w:color w:val="64748B"/>
          <w:sz w:val="16"/>
          <w:szCs w:val="16"/>
        </w:rPr>
        <w:t xml:space="preserve">Flujo acumulado de los socios (FCFE)</w:t>
      </w:r>
      <w:r>
        <w:rPr>
          <w:rFonts w:ascii="Calibri" w:cs="Calibri" w:eastAsia="Calibri" w:hAnsi="Calibri"/>
          <w:color w:val="64748B"/>
          <w:sz w:val="14"/>
          <w:szCs w:val="14"/>
        </w:rPr>
        <w:t xml:space="preserve">   ·   </w:t>
      </w:r>
      <w:r>
        <w:rPr>
          <w:rFonts w:ascii="Calibri" w:cs="Calibri" w:eastAsia="Calibri" w:hAnsi="Calibri"/>
          <w:color w:val="64748B"/>
          <w:sz w:val="16"/>
          <w:szCs w:val="16"/>
        </w:rPr>
        <w:t xml:space="preserve">—— </w:t>
      </w:r>
      <w:r>
        <w:rPr>
          <w:rFonts w:ascii="Calibri" w:cs="Calibri" w:eastAsia="Calibri" w:hAnsi="Calibri"/>
          <w:color w:val="64748B"/>
          <w:sz w:val="16"/>
          <w:szCs w:val="16"/>
        </w:rPr>
        <w:t xml:space="preserve">Cero (recuperación simple, sin descontar)</w:t>
      </w:r>
    </w:p>
    <w:p>
      <w:pPr>
        <w:pStyle w:val="NotaTexto"/>
        <w:spacing w:after="60" w:before="20"/>
      </w:pPr>
      <w:r>
        <w:rPr>
          <w:rFonts w:ascii="Calibri" w:cs="Calibri" w:eastAsia="Calibri" w:hAnsi="Calibri"/>
          <w:color w:val="64748B"/>
          <w:sz w:val="16"/>
          <w:szCs w:val="16"/>
        </w:rPr>
        <w:t xml:space="preserve">Unidades del eje vertical: Miles de CUP (kCUP). Eje horizontal: Años del análisis (0–10); el cruce del eje horizontal marca la recuperación simple. </w:t>
      </w:r>
      <w:r>
        <w:rPr>
          <w:rFonts w:ascii="Calibri" w:cs="Calibri" w:eastAsia="Calibri" w:hAnsi="Calibri"/>
          <w:i/>
          <w:iCs/>
          <w:color w:val="64748B"/>
          <w:sz w:val="16"/>
          <w:szCs w:val="16"/>
        </w:rPr>
        <w:t xml:space="preserve">Nota. Fuente: modelo de cálculo activo (flujos de caja, años 0–10). Importes en miles de cup (kcup). Las verticales punteadas señalan los cruces de cero del acumulado (recuperación simple, sin descontar, por interpolación lineal intranual); el FCFF reincorpora el interés después de impuestos y el FCFE restituye su escudo fiscal.</w:t>
      </w:r>
    </w:p>
    <w:p>
      <w:pPr>
        <w:pStyle w:val="NotaTexto"/>
        <w:spacing w:after="60" w:before="60" w:line="276"/>
        <w:jc w:val="both"/>
      </w:pPr>
      <w:r>
        <w:rPr>
          <w:rFonts w:ascii="Calibri" w:cs="Calibri" w:eastAsia="Calibri" w:hAnsi="Calibri"/>
          <w:color w:val="334155"/>
          <w:sz w:val="16"/>
          <w:szCs w:val="16"/>
        </w:rPr>
        <w:t xml:space="preserve">Recuperación de la inversión total: NO se recupera dentro del horizonte. Método: interpolación lineal del acumulado, (t-1) + |acumulado anterior| / (acumulado actual - acumulado anterior); recuperación SIMPLE, SIN DESCONTAR (los flujos no se actualizan con tasa de descuento). Recuperación del capital aportado: NO se recupera dentro del horizonte. Horizonte &gt;= recuperación + 1 conforme a la metodología. El capital de trabajo solo se recupera si el parámetro correspondiente lo indica (regla explícita; 0 % = hipótesis conservadora que debe declararse).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del flujo de caja y la recuperación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El modelo calcula DOS indicadores separados. La recuperación de la INVERSIÓN TOTAL se mide con el flujo de caja del proyecto (FCFF = utilidad neta + intereses DESPUÉS DE IMPUESTOS + depreciación - CAPEX de ampliaciones; el interés devengado se reincorpora neto de su escudo fiscal — la porción de interés que el impuesto ya absorbe —, con la inversión total como desembolso del año 0). La recuperación del CAPITAL APORTADO se mide con el flujo de los socios (FCFE = FCFF - intereses pagados + escudo fiscal + desembolsos del crédito - amortizaciones, con las aportaciones como desembolso inicial). Ambas recuperaciones son SIMPLES y SIN DESCONTAR: no se aplica tasa de descuento alguna a los flujos. La inversión total NO se recupera dentro del horizonte de 10 años con el flujo del proyecto: el acumulado termina en -57.478,2 kCUP. Debe decirse expresamente; cualquier afirmación de recuperación en el plan sería incorrecta con los datos actuales. El capital aportado por los socios NO se recupera dentro del horizonte según el flujo de los socios (acumulado final: -57.478,2 kCUP). El capital de trabajo inicial no se recupera dentro del modelo (tratamiento conservador, parámetro de recuperación en 0 %).</w:t>
      </w:r>
    </w:p>
    <w:p>
      <w:pPr>
        <w:pStyle w:val="NotaTabla"/>
        <w:keepNext/>
        <w:keepLines/>
        <w:spacing w:after="80" w:before="200"/>
      </w:pPr>
      <w:r>
        <w:rPr>
          <w:rFonts w:ascii="Calibri" w:cs="Calibri" w:eastAsia="Calibri" w:hAnsi="Calibri"/>
          <w:b/>
          <w:bCs/>
          <w:color w:val="1E3A5F"/>
          <w:sz w:val="18"/>
          <w:szCs w:val="18"/>
        </w:rPr>
        <w:t xml:space="preserve">Tabla 12. Módulo de dividendos (kCUP): base distribuible, reserva, propuestos y PAGABLES limitados por caja (participación de CADA socio)</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786"/>
        <w:gridCol w:w="666"/>
        <w:gridCol w:w="499"/>
        <w:gridCol w:w="583"/>
        <w:gridCol w:w="832"/>
        <w:gridCol w:w="1165"/>
        <w:gridCol w:w="666"/>
        <w:gridCol w:w="1165"/>
        <w:gridCol w:w="1332"/>
        <w:gridCol w:w="1332"/>
      </w:tblGrid>
      <w:tr>
        <w:trPr>
          <w:cantSplit/>
          <w:tblHeader/>
        </w:trPr>
        <w:tc>
          <w:tcPr>
            <w:tcW w:type="dxa" w:w="78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Período</w:t>
            </w:r>
          </w:p>
        </w:tc>
        <w:tc>
          <w:tcPr>
            <w:tcW w:type="dxa" w:w="666"/>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UDI</w:t>
            </w:r>
          </w:p>
        </w:tc>
        <w:tc>
          <w:tcPr>
            <w:tcW w:type="dxa" w:w="49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Base</w:t>
            </w:r>
          </w:p>
        </w:tc>
        <w:tc>
          <w:tcPr>
            <w:tcW w:type="dxa" w:w="583"/>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Reserva</w:t>
            </w:r>
          </w:p>
        </w:tc>
        <w:tc>
          <w:tcPr>
            <w:tcW w:type="dxa" w:w="832"/>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Propuestos</w:t>
            </w:r>
          </w:p>
        </w:tc>
        <w:tc>
          <w:tcPr>
            <w:tcW w:type="dxa" w:w="116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Caja acumulada</w:t>
            </w:r>
          </w:p>
        </w:tc>
        <w:tc>
          <w:tcPr>
            <w:tcW w:type="dxa" w:w="666"/>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Pagables</w:t>
            </w:r>
          </w:p>
        </w:tc>
        <w:tc>
          <w:tcPr>
            <w:tcW w:type="dxa" w:w="116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Socio nacional</w:t>
            </w:r>
          </w:p>
        </w:tc>
        <w:tc>
          <w:tcPr>
            <w:tcW w:type="dxa" w:w="1332"/>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Socio extranjero</w:t>
            </w:r>
          </w:p>
        </w:tc>
        <w:tc>
          <w:tcPr>
            <w:tcW w:type="dxa" w:w="1332"/>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Saldo acumulable</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0</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-659,1</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1</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-6.341,0</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2</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-12.022,9</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-11.438,3</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3</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-17.704,8</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-17.157,4</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4</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-23.386,7</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-22.876,6</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5</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-29.068,6</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-28.595,7</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6</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-34.750,6</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-34.314,9</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7</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-40.432,5</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-40.034,0</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8</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-46.114,4</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-45.753,1</w:t>
            </w:r>
          </w:p>
        </w:tc>
      </w:tr>
      <w:tr>
        <w:trPr>
          <w:cantSplit/>
        </w:trPr>
        <w:tc>
          <w:tcPr>
            <w:tcW w:type="dxa" w:w="78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9</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-51.796,3</w:t>
            </w:r>
          </w:p>
        </w:tc>
        <w:tc>
          <w:tcPr>
            <w:tcW w:type="dxa" w:w="666"/>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-51.472,3</w:t>
            </w:r>
          </w:p>
        </w:tc>
      </w:tr>
      <w:tr>
        <w:trPr>
          <w:cantSplit/>
        </w:trPr>
        <w:tc>
          <w:tcPr>
            <w:tcW w:type="dxa" w:w="78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Año 10</w:t>
            </w:r>
          </w:p>
        </w:tc>
        <w:tc>
          <w:tcPr>
            <w:tcW w:type="dxa" w:w="666"/>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w:t>
            </w:r>
          </w:p>
        </w:tc>
        <w:tc>
          <w:tcPr>
            <w:tcW w:type="dxa" w:w="49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3"/>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832"/>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-57.478,2</w:t>
            </w:r>
          </w:p>
        </w:tc>
        <w:tc>
          <w:tcPr>
            <w:tcW w:type="dxa" w:w="666"/>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165"/>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332"/>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-57.191,4</w:t>
            </w:r>
          </w:p>
        </w:tc>
      </w:tr>
    </w:tbl>
    <w:p>
      <w:pPr>
        <w:pStyle w:val="NotaTexto"/>
        <w:spacing w:after="60" w:before="60" w:line="276"/>
        <w:jc w:val="both"/>
      </w:pPr>
      <w:r>
        <w:rPr>
          <w:rFonts w:ascii="Calibri" w:cs="Calibri" w:eastAsia="Calibri" w:hAnsi="Calibri"/>
          <w:color w:val="334155"/>
          <w:sz w:val="16"/>
          <w:szCs w:val="16"/>
        </w:rPr>
        <w:t xml:space="preserve">Reglas expresas del módulo (base matemática exacta): base_t = MAX(0, UDI_t + saldoAcumulable_(t-1)), donde el saldo acumulable previo son los resultados de EJERCICIOS ANTERIORES no distribuidos — utilidades retenidas netas de pérdidas, de reservas ya constituidas y de dividendos ya pagados (el saldo del año 0 arranca con la pérdida de montaje, si existe) —, de modo que la base NO es solo la utilidad del año: la reserva (pct_reserva_legal × base) se constituye UNA sola vez sobre esa base y nunca se reserva dos veces la misma utilidad; distribuible = base - reserva; propuestos = distribuible × pct_reparto; pagables = MIN(propuestos, MAX(0, caja acumulada)), donde la caja acumulada es el FCFE antes de repartos DESDE EL AÑO 0 (política conservadora que exige recuperar en caja los aportes antes de repartir); el reparto entre socios usa la PARTICIPACIÓN en el capital, que es distinta del porcentaje de reparto; saldoAcumulable_t = saldoAcumulable_(t-1) + UDI_t - reserva_t - pagables_t. La política de reservas y repartos — incluida la decisión de constituir la reserva sobre la base acumulada y no sobre la utilidad aislada del ejercicio — es un SUPUESTO EDITABLE PENDIENTE DE VALIDACIÓN JURÍDICA: la exigencia legal de constituir reservas y su base exacta deben confirmarse con la normativa societaria aplicable y con el propietario del plan antes de cualquier uso oficial. Los dividendos de la parte cubana que figuran en 4.11 salen de este mismo módulo.</w:t>
      </w:r>
    </w:p>
    <w:p>
      <w:pPr>
        <w:pStyle w:val="Heading1"/>
        <w:pageBreakBefore/>
      </w:pPr>
      <w:bookmarkStart w:name="_Toc8" w:id="8"/>
      <w:r>
        <w:rPr>
          <w:rFonts w:ascii="Calibri" w:cs="Calibri" w:eastAsia="Calibri" w:hAnsi="Calibri"/>
          <w:b/>
          <w:bCs/>
          <w:color w:val="1E3A5F"/>
          <w:sz w:val="30"/>
          <w:szCs w:val="30"/>
        </w:rPr>
        <w:t xml:space="preserve">4.8  Análisis o caracterización del mercado</w:t>
      </w:r>
      <w:bookmarkEnd w:id="8"/>
    </w:p>
    <w:p>
      <w:pPr>
        <w:spacing w:after="40" w:before="40"/>
        <w:jc w:val="left"/>
      </w:pPr>
      <w:r>
        <w:rPr>
          <w:rFonts w:ascii="Calibri" w:cs="Calibri" w:eastAsia="Calibri" w:hAnsi="Calibri"/>
          <w:b/>
          <w:bCs/>
          <w:color w:val="1E3A5F"/>
          <w:sz w:val="19"/>
          <w:szCs w:val="19"/>
        </w:rPr>
        <w:t xml:space="preserve">Caracterización de productos y servicios: </w:t>
      </w:r>
      <w:r>
        <w:rPr>
          <w:rFonts w:ascii="Calibri" w:cs="Calibri" w:eastAsia="Calibri" w:hAnsi="Calibri"/>
          <w:color w:val="334155"/>
          <w:sz w:val="19"/>
          <w:szCs w:val="19"/>
        </w:rPr>
        <w:t xml:space="preserve">Servicios estomatológicos de estándar internacional prestados por profesionales cubanos, con 15 líneas de servicio a precios de lista de CSMC (H-037/H-060). Contexto documentado de demanda represada: 13 de 15 servicios activos; TPR y blanqueamientos suspendidos (73 pacientes de blanqueamiento rechazados en el quinquenio, 10 950,00 USD de ingreso perdido; prótesis — el servicio de más demanda e ingreso — operando al 75 % con un promedio histórico de ~50 000 USD/año) (F09; H-061 a H-063). [Pendiente: caracterización de mercado propiamente dicha — brecha B-24.]</w:t>
      </w:r>
    </w:p>
    <w:p>
      <w:pPr>
        <w:spacing w:after="40" w:before="40"/>
        <w:jc w:val="left"/>
      </w:pPr>
      <w:r>
        <w:rPr>
          <w:rFonts w:ascii="Calibri" w:cs="Calibri" w:eastAsia="Calibri" w:hAnsi="Calibri"/>
          <w:b/>
          <w:bCs/>
          <w:color w:val="1E3A5F"/>
          <w:sz w:val="19"/>
          <w:szCs w:val="19"/>
        </w:rPr>
        <w:t xml:space="preserve">Requisitos regulatorios y registros necesarios: </w:t>
      </w:r>
      <w:r>
        <w:rPr>
          <w:rFonts w:ascii="Calibri" w:cs="Calibri" w:eastAsia="Calibri" w:hAnsi="Calibri"/>
          <w:color w:val="334155"/>
          <w:sz w:val="19"/>
          <w:szCs w:val="19"/>
        </w:rPr>
        <w:t xml:space="preserve">[Pendiente: requisitos regulatorios verificados — brecha B-16 y validaciones V-01 a V-06.] Compromisos documentados del contrato (F01, cláusula 8.1): CSMC gestionará licencias comerciales y sanitarias, registros (Mercantil, ONAT, ONEI), autorizaciones locales para nuevas tecnologías, aval técnico de los medios, nomenclador de importación/exportación y gestiones ante la Aduana. La exención arancelaria declarada por la cotización (H-049) requiere verificación (V-04).</w:t>
      </w:r>
    </w:p>
    <w:p>
      <w:pPr>
        <w:spacing w:after="40" w:before="40"/>
        <w:jc w:val="left"/>
      </w:pPr>
      <w:r>
        <w:rPr>
          <w:rFonts w:ascii="Calibri" w:cs="Calibri" w:eastAsia="Calibri" w:hAnsi="Calibri"/>
          <w:b/>
          <w:bCs/>
          <w:color w:val="1E3A5F"/>
          <w:sz w:val="19"/>
          <w:szCs w:val="19"/>
        </w:rPr>
        <w:t xml:space="preserve">Materias primas y materiales auxiliares: </w:t>
      </w:r>
      <w:r>
        <w:rPr>
          <w:rFonts w:ascii="Calibri" w:cs="Calibri" w:eastAsia="Calibri" w:hAnsi="Calibri"/>
          <w:color w:val="334155"/>
          <w:sz w:val="19"/>
          <w:szCs w:val="19"/>
        </w:rPr>
        <w:t xml:space="preserve">Insumos y material gastable del cuadro básico de estomatología (71 renglones declarados, H-067): anestésicos (benzocaína, articaína), resinas compuestas (Filtek Z250 XT en 6 tonos), adhesivos, ionómeros, cementos, materiales de prótesis (acrílicos, monómero, ceras, alginato, piedras, dientes de polímero), profilaxis, esterilización y desinfección, y kits de blanqueamiento (F03, ~60 renglones cotizados). [Pendientes: limas de endodoncia para TPR (B-20) y conciliación 71/60 renglones (B-23).]</w:t>
      </w:r>
    </w:p>
    <w:p>
      <w:pPr>
        <w:spacing w:after="40" w:before="40"/>
        <w:jc w:val="left"/>
      </w:pPr>
      <w:r>
        <w:rPr>
          <w:rFonts w:ascii="Calibri" w:cs="Calibri" w:eastAsia="Calibri" w:hAnsi="Calibri"/>
          <w:b/>
          <w:bCs/>
          <w:color w:val="1E3A5F"/>
          <w:sz w:val="19"/>
          <w:szCs w:val="19"/>
        </w:rPr>
        <w:t xml:space="preserve">Fuentes y ubicación de los suministros: </w:t>
      </w:r>
      <w:r>
        <w:rPr>
          <w:rFonts w:ascii="Calibri" w:cs="Calibri" w:eastAsia="Calibri" w:hAnsi="Calibri"/>
          <w:color w:val="334155"/>
          <w:sz w:val="19"/>
          <w:szCs w:val="19"/>
        </w:rPr>
        <w:t xml:space="preserve">Importación aportada por Leisure Exporting LLC (stock inicial de 6 meses: 63 581,30 USD, cotización F03) y reposición prevista por el mismo canal (F02: la parte extranjera garantiza los insumos). [Pendiente: contrato de suministro continuo — brecha B-22.]</w:t>
      </w:r>
    </w:p>
    <w:p>
      <w:pPr>
        <w:spacing w:after="40" w:before="40"/>
        <w:jc w:val="left"/>
      </w:pPr>
      <w:r>
        <w:rPr>
          <w:rFonts w:ascii="Calibri" w:cs="Calibri" w:eastAsia="Calibri" w:hAnsi="Calibri"/>
          <w:b/>
          <w:bCs/>
          <w:color w:val="1E3A5F"/>
          <w:sz w:val="19"/>
          <w:szCs w:val="19"/>
        </w:rPr>
        <w:t xml:space="preserve">Consumo estimado: </w:t>
      </w:r>
      <w:r>
        <w:rPr>
          <w:rFonts w:ascii="Calibri" w:cs="Calibri" w:eastAsia="Calibri" w:hAnsi="Calibri"/>
          <w:color w:val="334155"/>
          <w:sz w:val="19"/>
          <w:szCs w:val="19"/>
        </w:rPr>
        <w:t xml:space="preserve">Costo material del modelo: 63 581,30 USD en el primer período de 6 meses (stock aportado) y 127 162,60 USD anuales implícitos en el EERR del expediente (3 051,9 kCUP/año a su tasa 24; H-029/H-040). Reparto por servicio provisional (H-040): convención proporcional al precio, EDITABLE, pendiente del desglose real (B-13).</w:t>
      </w:r>
    </w:p>
    <w:p>
      <w:pPr>
        <w:spacing w:after="40" w:before="40"/>
        <w:jc w:val="left"/>
      </w:pPr>
      <w:r>
        <w:rPr>
          <w:rFonts w:ascii="Calibri" w:cs="Calibri" w:eastAsia="Calibri" w:hAnsi="Calibri"/>
          <w:b/>
          <w:bCs/>
          <w:color w:val="1E3A5F"/>
          <w:sz w:val="19"/>
          <w:szCs w:val="19"/>
        </w:rPr>
        <w:t xml:space="preserve">Demanda aparente: </w:t>
      </w:r>
      <w:r>
        <w:rPr>
          <w:rFonts w:ascii="Calibri" w:cs="Calibri" w:eastAsia="Calibri" w:hAnsi="Calibri"/>
          <w:color w:val="334155"/>
          <w:sz w:val="19"/>
          <w:szCs w:val="19"/>
        </w:rPr>
        <w:t xml:space="preserve">[Pendiente: demanda aparente — sin estudio de mercado (H-080; brecha B-24).]</w:t>
      </w:r>
    </w:p>
    <w:p>
      <w:pPr>
        <w:spacing w:after="40" w:before="40"/>
        <w:jc w:val="left"/>
      </w:pPr>
      <w:r>
        <w:rPr>
          <w:rFonts w:ascii="Calibri" w:cs="Calibri" w:eastAsia="Calibri" w:hAnsi="Calibri"/>
          <w:b/>
          <w:bCs/>
          <w:color w:val="1E3A5F"/>
          <w:sz w:val="19"/>
          <w:szCs w:val="19"/>
        </w:rPr>
        <w:t xml:space="preserve">Demanda solvente: </w:t>
      </w:r>
      <w:r>
        <w:rPr>
          <w:rFonts w:ascii="Calibri" w:cs="Calibri" w:eastAsia="Calibri" w:hAnsi="Calibri"/>
          <w:color w:val="334155"/>
          <w:sz w:val="19"/>
          <w:szCs w:val="19"/>
        </w:rPr>
        <w:t xml:space="preserve">[Pendiente: demanda solvente y captación prevista — sin estudio (H-080; brecha B-24).]</w:t>
      </w:r>
    </w:p>
    <w:p>
      <w:pPr>
        <w:spacing w:after="40" w:before="40"/>
        <w:jc w:val="left"/>
      </w:pPr>
      <w:r>
        <w:rPr>
          <w:rFonts w:ascii="Calibri" w:cs="Calibri" w:eastAsia="Calibri" w:hAnsi="Calibri"/>
          <w:b/>
          <w:bCs/>
          <w:color w:val="1E3A5F"/>
          <w:sz w:val="19"/>
          <w:szCs w:val="19"/>
        </w:rPr>
        <w:t xml:space="preserve">Método y fuentes de estimación: </w:t>
      </w:r>
      <w:r>
        <w:rPr>
          <w:rFonts w:ascii="Calibri" w:cs="Calibri" w:eastAsia="Calibri" w:hAnsi="Calibri"/>
          <w:color w:val="334155"/>
          <w:sz w:val="19"/>
          <w:szCs w:val="19"/>
        </w:rPr>
        <w:t xml:space="preserve">Sin método de estimación documentado. La valoración recomienda el estudio de factibilidad con las estadísticas de 2019 como año pre-crisis (F02); F09 aporta referencias anecdóticas de demanda represada. La app exige documentar fuentes y fechas: ninguna estimación de mercado se incorpora como dato. Fuentes del expediente: lista de precios de CSMC (F02/F08), diagnóstico de servicios (F09), inventario y cuadro básico (F04/F07). Referencia contextual: Global Burden of Disease Study 2019 (citado por F02). [Pendiente: fuentes primarias de mercado — brecha B-24.]</w:t>
      </w:r>
    </w:p>
    <w:p>
      <w:pPr>
        <w:spacing w:after="40" w:before="40"/>
        <w:jc w:val="left"/>
      </w:pPr>
      <w:r>
        <w:rPr>
          <w:rFonts w:ascii="Calibri" w:cs="Calibri" w:eastAsia="Calibri" w:hAnsi="Calibri"/>
          <w:b/>
          <w:bCs/>
          <w:color w:val="1E3A5F"/>
          <w:sz w:val="19"/>
          <w:szCs w:val="19"/>
        </w:rPr>
        <w:t xml:space="preserve">Comercialización — exportaciones: </w:t>
      </w:r>
      <w:r>
        <w:rPr>
          <w:rFonts w:ascii="Calibri" w:cs="Calibri" w:eastAsia="Calibri" w:hAnsi="Calibri"/>
          <w:color w:val="334155"/>
          <w:sz w:val="19"/>
          <w:szCs w:val="19"/>
        </w:rPr>
        <w:t xml:space="preserve">El balance financiero externo del expediente computa la totalidad de los ingresos como exportaciones de servicios (F08, p. 10: «Exportaciones 132 789,7»), y el objeto contractual declara el acceso a mercados de América Latina, Centroamérica y el Caribe. Los 15 servicios quedan clasificados en el canal de exportación (H-037). [Pendiente: plan comercial y contratos — brecha B-25.]</w:t>
      </w:r>
    </w:p>
    <w:p>
      <w:pPr>
        <w:spacing w:after="40" w:before="40"/>
        <w:jc w:val="left"/>
      </w:pPr>
      <w:r>
        <w:rPr>
          <w:rFonts w:ascii="Calibri" w:cs="Calibri" w:eastAsia="Calibri" w:hAnsi="Calibri"/>
          <w:b/>
          <w:bCs/>
          <w:color w:val="1E3A5F"/>
          <w:sz w:val="19"/>
          <w:szCs w:val="19"/>
        </w:rPr>
        <w:t xml:space="preserve">Comercialización — divisas (plataformas con pagos desde el exterior): </w:t>
      </w:r>
      <w:r>
        <w:rPr>
          <w:rFonts w:ascii="Calibri" w:cs="Calibri" w:eastAsia="Calibri" w:hAnsi="Calibri"/>
          <w:color w:val="334155"/>
          <w:sz w:val="19"/>
          <w:szCs w:val="19"/>
        </w:rPr>
        <w:t xml:space="preserve">[Pendiente: política de facturación en divisas — brecha B-25.]</w:t>
      </w:r>
    </w:p>
    <w:p>
      <w:pPr>
        <w:spacing w:after="40" w:before="40"/>
        <w:jc w:val="left"/>
        <w:sectPr>
          <w:headerReference w:type="default" r:id="rId16"/>
          <w:footerReference w:type="default" r:id="rId17"/>
          <w:pgSz w:w="11906" w:h="16838" w:orient="portrait"/>
          <w:pgMar w:top="1440" w:right="1440" w:bottom="1440" w:left="1440" w:header="708" w:footer="708" w:gutter="0"/>
          <w:pgNumType/>
          <w:docGrid w:linePitch="360"/>
        </w:sectPr>
      </w:pPr>
      <w:r>
        <w:rPr>
          <w:rFonts w:ascii="Calibri" w:cs="Calibri" w:eastAsia="Calibri" w:hAnsi="Calibri"/>
          <w:b/>
          <w:bCs/>
          <w:color w:val="1E3A5F"/>
          <w:sz w:val="19"/>
          <w:szCs w:val="19"/>
        </w:rPr>
        <w:t xml:space="preserve">Comercialización — moneda nacional: </w:t>
      </w:r>
      <w:r>
        <w:rPr>
          <w:rFonts w:ascii="Calibri" w:cs="Calibri" w:eastAsia="Calibri" w:hAnsi="Calibri"/>
          <w:color w:val="334155"/>
          <w:sz w:val="19"/>
          <w:szCs w:val="19"/>
        </w:rPr>
        <w:t xml:space="preserve">[Pendiente: componente de venta en moneda nacional, si existiera — el expediente no lo desglosa (brecha B-25).] Los precios de la lista están expresados en CUP (equivalentes a USD a la tasa 120, H-025).</w:t>
      </w:r>
    </w:p>
    <w:p>
      <w:pPr>
        <w:pStyle w:val="NotaTabla"/>
        <w:keepNext/>
        <w:keepLines/>
        <w:spacing w:after="80" w:before="200"/>
      </w:pPr>
      <w:r>
        <w:rPr>
          <w:rFonts w:ascii="Calibri" w:cs="Calibri" w:eastAsia="Calibri" w:hAnsi="Calibri"/>
          <w:b/>
          <w:bCs/>
          <w:color w:val="1E3A5F"/>
          <w:sz w:val="18"/>
          <w:szCs w:val="18"/>
        </w:rPr>
        <w:t xml:space="preserve">Tabla 13. Proyección de ingresos por canal de comercialización (miles de CUP; metodología 4.8: exportaciones / plataformas con pagos desde el exterior / ventas en plaza, sin duplicar operaciones)</w:t>
      </w:r>
    </w:p>
    <w:tbl>
      <w:tblPr>
        <w:tblW w:type="dxa" w:w="13958"/>
        <w:tblBorders>
          <w:top w:val="none" w:color="auto" w:sz="0"/>
          <w:left w:val="none" w:color="auto" w:sz="0"/>
          <w:bottom w:val="none" w:color="auto" w:sz="0"/>
          <w:right w:val="none" w:color="auto" w:sz="0"/>
          <w:insideH w:val="none" w:color="auto" w:sz="0"/>
          <w:insideV w:val="none" w:color="auto" w:sz="0"/>
        </w:tblBorders>
      </w:tblPr>
      <w:tblGrid>
        <w:gridCol w:w="2299"/>
        <w:gridCol w:w="1048"/>
        <w:gridCol w:w="1048"/>
        <w:gridCol w:w="1048"/>
        <w:gridCol w:w="1048"/>
        <w:gridCol w:w="1048"/>
        <w:gridCol w:w="1048"/>
        <w:gridCol w:w="1048"/>
        <w:gridCol w:w="1048"/>
        <w:gridCol w:w="1048"/>
        <w:gridCol w:w="1048"/>
        <w:gridCol w:w="1179"/>
      </w:tblGrid>
      <w:tr>
        <w:trPr>
          <w:cantSplit/>
          <w:tblHeader/>
        </w:trPr>
        <w:tc>
          <w:tcPr>
            <w:tcW w:type="dxa" w:w="2299"/>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5"/>
                <w:szCs w:val="15"/>
              </w:rPr>
              <w:t xml:space="preserve">Canal</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1</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2</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3</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4</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5</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6</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7</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8</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9</w:t>
            </w:r>
          </w:p>
        </w:tc>
        <w:tc>
          <w:tcPr>
            <w:tcW w:type="dxa" w:w="1048"/>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Año 10</w:t>
            </w:r>
          </w:p>
        </w:tc>
        <w:tc>
          <w:tcPr>
            <w:tcW w:type="dxa" w:w="117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5"/>
                <w:szCs w:val="15"/>
              </w:rPr>
              <w:t xml:space="preserve">Total</w:t>
            </w:r>
          </w:p>
        </w:tc>
      </w:tr>
      <w:tr>
        <w:trPr>
          <w:cantSplit/>
        </w:trPr>
        <w:tc>
          <w:tcPr>
            <w:tcW w:type="dxa" w:w="229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Exportaciones</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0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13.897,7</w:t>
            </w:r>
          </w:p>
        </w:tc>
        <w:tc>
          <w:tcPr>
            <w:tcW w:type="dxa" w:w="11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138.976,8</w:t>
            </w:r>
          </w:p>
        </w:tc>
      </w:tr>
      <w:tr>
        <w:trPr>
          <w:cantSplit/>
        </w:trPr>
        <w:tc>
          <w:tcPr>
            <w:tcW w:type="dxa" w:w="2299"/>
            <w:tcBorders>
              <w:top w:val="single" w:color="94A3B8" w:sz="4"/>
              <w:bottom w:val="single" w:color="64748B" w:sz="8"/>
            </w:tcBorders>
            <w:tcMar>
              <w:top w:type="dxa" w:w="40"/>
              <w:left w:type="dxa" w:w="80"/>
              <w:bottom w:type="dxa" w:w="40"/>
              <w:right w:type="dxa" w:w="80"/>
            </w:tcMar>
          </w:tcPr>
          <w:p>
            <w:pPr>
              <w:jc w:val="left"/>
            </w:pPr>
            <w:r>
              <w:rPr>
                <w:rFonts w:ascii="Calibri" w:cs="Calibri" w:eastAsia="Calibri" w:hAnsi="Calibri"/>
                <w:b/>
                <w:bCs/>
                <w:color w:val="334155"/>
                <w:sz w:val="15"/>
                <w:szCs w:val="15"/>
              </w:rPr>
              <w:t xml:space="preserve">TOTAL</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048"/>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13.897,7</w:t>
            </w:r>
          </w:p>
        </w:tc>
        <w:tc>
          <w:tcPr>
            <w:tcW w:type="dxa" w:w="1179"/>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5"/>
                <w:szCs w:val="15"/>
              </w:rPr>
              <w:t xml:space="preserve">138.976,8</w:t>
            </w:r>
          </w:p>
        </w:tc>
      </w:tr>
    </w:tbl>
    <w:p>
      <w:pPr>
        <w:sectPr>
          <w:headerReference w:type="default" r:id="rId18"/>
          <w:footerReference w:type="default" r:id="rId19"/>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El desglose por canal asigna CADA servicio a un único canal, por lo que ninguna operación se cuenta dos veces; el total por canal y años proviene de los mismos ingresos del estado de resultados. </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mercado — lectura de los datos disponibles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El volumen de negocio modelado en el año 1 (13.897,7 miles de CUP) se apoya en la demanda prevista definida en la tabla de servicios. La aplicación no simula una investigación de mercado: los valores de demanda aparente y demanda solvente declarados en el apartado 4.8 están registrados y deben sustentarse en fuentes verificables. Las fuentes consultadas figuran documentadas: verifique que incluyan fecha de consulta y que la demanda solvente sea coherente con el volumen modelado. La demanda solvente cuantificada y la captación objetivo no están declaradas: no es posible conciliar personas captadas con el volumen de servicios previsto (hipótesis de recurrencia pendiente). Complételas en 4.8. Desglose de ingresos del año 1 por canal (metodología 4.8, sin duplicar operaciones): exportaciones: 13.897,7 kCUP (100,0 %). La estrategia de comercialización contempla ventas al exterior («El balance financiero externo del expediente computa la totalidad de los ingresos como exportaciones de servicios (F08, …»): los ingresos en divisas deben identificarse por separado en la estructura de ingresos (exportaciones / plataformas con pagos desde el exterior / venta en plaza) sin duplicar operaciones. Supuestos de mayor impacto en los resultados de mercado: precios unitarios (crecimiento 0,0 % anual), demanda (crecimiento 0,0 % anual) y tope de capacidad del escenario activo. Un error de ±10 % en la demanda del año 1 desplaza los ingresos del año 1 en ±1.389,8 miles de CUP.</w:t>
      </w:r>
    </w:p>
    <w:p>
      <w:pPr>
        <w:pStyle w:val="Heading1"/>
        <w:pageBreakBefore/>
      </w:pPr>
      <w:bookmarkStart w:name="_Toc9" w:id="9"/>
      <w:r>
        <w:rPr>
          <w:rFonts w:ascii="Calibri" w:cs="Calibri" w:eastAsia="Calibri" w:hAnsi="Calibri"/>
          <w:b/>
          <w:bCs/>
          <w:color w:val="1E3A5F"/>
          <w:sz w:val="30"/>
          <w:szCs w:val="30"/>
        </w:rPr>
        <w:t xml:space="preserve">4.9  Fuerza de trabajo</w:t>
      </w:r>
      <w:bookmarkEnd w:id="9"/>
    </w:p>
    <w:p>
      <w:pPr>
        <w:spacing w:after="60" w:before="60" w:line="276"/>
        <w:jc w:val="both"/>
      </w:pPr>
      <w:r>
        <w:rPr>
          <w:rFonts w:ascii="Calibri" w:cs="Calibri" w:eastAsia="Calibri" w:hAnsi="Calibri"/>
          <w:color w:val="334155"/>
          <w:sz w:val="20"/>
          <w:szCs w:val="20"/>
        </w:rPr>
        <w:t xml:space="preserve">Entidad autorizada a contratar la fuerza de trabajo: [Pendiente: entidad autorizada a contratar — brecha B-15; implícita CSMC, S.A. según el contrato.] El contrato prevé la contratación de la fuerza de trabajo cubana conforme a la legislación vigente y la revisión de currículos por el Consejo de Dirección (F01, cláusula 3).</w:t>
      </w:r>
    </w:p>
    <w:p>
      <w:pPr>
        <w:pStyle w:val="NotaTabla"/>
        <w:keepNext/>
        <w:keepLines/>
        <w:spacing w:after="80" w:before="200"/>
      </w:pPr>
      <w:r>
        <w:rPr>
          <w:rFonts w:ascii="Calibri" w:cs="Calibri" w:eastAsia="Calibri" w:hAnsi="Calibri"/>
          <w:b/>
          <w:bCs/>
          <w:color w:val="1E3A5F"/>
          <w:sz w:val="18"/>
          <w:szCs w:val="18"/>
        </w:rPr>
        <w:t xml:space="preserve">Tabla 14. Fuerza de trabajo por categoría y etapa de contratación (salarios en CUP conforme a la metodología 4.9)</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4121"/>
        <w:gridCol w:w="981"/>
        <w:gridCol w:w="872"/>
        <w:gridCol w:w="3052"/>
      </w:tblGrid>
      <w:tr>
        <w:trPr>
          <w:cantSplit/>
          <w:tblHeader/>
        </w:trPr>
        <w:tc>
          <w:tcPr>
            <w:tcW w:type="dxa" w:w="4121"/>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Categoría</w:t>
            </w:r>
          </w:p>
        </w:tc>
        <w:tc>
          <w:tcPr>
            <w:tcW w:type="dxa" w:w="981"/>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Etapa</w:t>
            </w:r>
          </w:p>
        </w:tc>
        <w:tc>
          <w:tcPr>
            <w:tcW w:type="dxa" w:w="872"/>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Cantidad</w:t>
            </w:r>
          </w:p>
        </w:tc>
        <w:tc>
          <w:tcPr>
            <w:tcW w:type="dxa" w:w="3052"/>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Salario promedio anual (CUP)</w:t>
            </w:r>
          </w:p>
        </w:tc>
      </w:tr>
      <w:tr>
        <w:trPr>
          <w:cantSplit/>
        </w:trPr>
        <w:tc>
          <w:tcPr>
            <w:tcW w:type="dxa" w:w="4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Cubanos — directivos</w:t>
            </w:r>
          </w:p>
        </w:tc>
        <w:tc>
          <w:tcPr>
            <w:tcW w:type="dxa" w:w="98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Operación</w:t>
            </w:r>
          </w:p>
        </w:tc>
        <w:tc>
          <w:tcPr>
            <w:tcW w:type="dxa" w:w="87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305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647.628 CUP</w:t>
            </w:r>
          </w:p>
        </w:tc>
      </w:tr>
      <w:tr>
        <w:trPr>
          <w:cantSplit/>
        </w:trPr>
        <w:tc>
          <w:tcPr>
            <w:tcW w:type="dxa" w:w="4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Cubanos — otros trabajadores</w:t>
            </w:r>
          </w:p>
        </w:tc>
        <w:tc>
          <w:tcPr>
            <w:tcW w:type="dxa" w:w="98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Operación</w:t>
            </w:r>
          </w:p>
        </w:tc>
        <w:tc>
          <w:tcPr>
            <w:tcW w:type="dxa" w:w="87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8</w:t>
            </w:r>
          </w:p>
        </w:tc>
        <w:tc>
          <w:tcPr>
            <w:tcW w:type="dxa" w:w="305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429.047 CUP</w:t>
            </w:r>
          </w:p>
        </w:tc>
      </w:tr>
      <w:tr>
        <w:trPr>
          <w:cantSplit/>
        </w:trPr>
        <w:tc>
          <w:tcPr>
            <w:tcW w:type="dxa" w:w="4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Extranjeros — directivos</w:t>
            </w:r>
          </w:p>
        </w:tc>
        <w:tc>
          <w:tcPr>
            <w:tcW w:type="dxa" w:w="98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Operación</w:t>
            </w:r>
          </w:p>
        </w:tc>
        <w:tc>
          <w:tcPr>
            <w:tcW w:type="dxa" w:w="87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305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240.000 CUP</w:t>
            </w:r>
          </w:p>
        </w:tc>
      </w:tr>
      <w:tr>
        <w:trPr>
          <w:cantSplit/>
        </w:trPr>
        <w:tc>
          <w:tcPr>
            <w:tcW w:type="dxa" w:w="4121"/>
            <w:tcBorders>
              <w:top w:val="single" w:color="94A3B8" w:sz="4"/>
              <w:bottom w:val="single" w:color="64748B" w:sz="8"/>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TOTAL (operación)</w:t>
            </w:r>
          </w:p>
        </w:tc>
        <w:tc>
          <w:tcPr>
            <w:tcW w:type="dxa" w:w="981"/>
            <w:tcBorders>
              <w:top w:val="single" w:color="94A3B8" w:sz="4"/>
              <w:bottom w:val="single" w:color="64748B" w:sz="8"/>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
            </w:r>
          </w:p>
        </w:tc>
        <w:tc>
          <w:tcPr>
            <w:tcW w:type="dxa" w:w="872"/>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10</w:t>
            </w:r>
          </w:p>
        </w:tc>
        <w:tc>
          <w:tcPr>
            <w:tcW w:type="dxa" w:w="3052"/>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432.000 CUP</w:t>
            </w:r>
          </w:p>
        </w:tc>
      </w:tr>
    </w:tbl>
    <w:p>
      <w:pPr>
        <w:pStyle w:val="NotaTexto"/>
        <w:spacing w:after="160" w:before="40"/>
      </w:pPr>
      <w:r>
        <w:rPr>
          <w:rFonts w:ascii="Calibri" w:cs="Calibri" w:eastAsia="Calibri" w:hAnsi="Calibri"/>
          <w:i/>
          <w:iCs/>
          <w:color w:val="64748B"/>
          <w:sz w:val="15"/>
          <w:szCs w:val="15"/>
        </w:rPr>
        <w:t xml:space="preserve">Nota. Los salarios se expresan en CUP (metodología 4.9); en presentación USD se documenta el equivalente sin convertir los importes de origen.</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la fuerza de trabajo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 plantilla de operación prevista es de 10 trabajadores (9 cubanos y 1 extranjero(s)), más 0 trabajador(es) temporal(es) de montaje del año 0. El personal de montaje es transitorio para la ejecución del proyecto y no debe confundirse con la plantilla estable de operación. Distribución por categorías de operación: 1 en cubano — directivo, 8 en cubano — otro, 1 en extranjero — directivo. El salario promedio anual ponderado de la plantilla de operación es 432.000,0 CUP. El costo laboral del año 1 asciende a 4.320,0 miles de CUP (salarios en CUP convertidos con el tipo de cambio parametrizado, multiplicados por el factor de costo laboral de 1,0), equivalente al 31,1 % de los ingresos del año 1. No se registran costos de personal de montaje en el año 0. Los pagos por la fuerza de trabajo son uno de los beneficios directos al país: el costo laboral acumulado de la explotación es 43.200,0 miles de CUP. La remuneración de cada categoría y su etapa de contratación figuran en la tabla 4.9; su validación frente a la legislación laboral vigente queda fuera del modelo.</w:t>
      </w:r>
    </w:p>
    <w:p>
      <w:pPr>
        <w:pStyle w:val="Heading1"/>
        <w:pageBreakBefore/>
      </w:pPr>
      <w:bookmarkStart w:name="_Toc10" w:id="10"/>
      <w:r>
        <w:rPr>
          <w:rFonts w:ascii="Calibri" w:cs="Calibri" w:eastAsia="Calibri" w:hAnsi="Calibri"/>
          <w:b/>
          <w:bCs/>
          <w:color w:val="1E3A5F"/>
          <w:sz w:val="30"/>
          <w:szCs w:val="30"/>
        </w:rPr>
        <w:t xml:space="preserve">4.10  Inversiones</w:t>
      </w:r>
      <w:bookmarkEnd w:id="10"/>
    </w:p>
    <w:p>
      <w:pPr>
        <w:pStyle w:val="NotaTabla"/>
        <w:keepNext/>
        <w:keepLines/>
        <w:spacing w:after="80" w:before="200"/>
      </w:pPr>
      <w:r>
        <w:rPr>
          <w:rFonts w:ascii="Calibri" w:cs="Calibri" w:eastAsia="Calibri" w:hAnsi="Calibri"/>
          <w:b/>
          <w:bCs/>
          <w:color w:val="1E3A5F"/>
          <w:sz w:val="18"/>
          <w:szCs w:val="18"/>
        </w:rPr>
        <w:t xml:space="preserve">Tabla 15. Inversiones por concepto (miles, en la moneda de origen indicada y en la moneda de presentación; activos con disponibilidad y residual)</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530"/>
        <w:gridCol w:w="874"/>
        <w:gridCol w:w="375"/>
        <w:gridCol w:w="375"/>
        <w:gridCol w:w="812"/>
        <w:gridCol w:w="999"/>
        <w:gridCol w:w="687"/>
        <w:gridCol w:w="500"/>
        <w:gridCol w:w="1874"/>
      </w:tblGrid>
      <w:tr>
        <w:trPr>
          <w:cantSplit/>
          <w:tblHeader/>
        </w:trPr>
        <w:tc>
          <w:tcPr>
            <w:tcW w:type="dxa" w:w="2530"/>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Concepto</w:t>
            </w:r>
          </w:p>
        </w:tc>
        <w:tc>
          <w:tcPr>
            <w:tcW w:type="dxa" w:w="874"/>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Categoría</w:t>
            </w:r>
          </w:p>
        </w:tc>
        <w:tc>
          <w:tcPr>
            <w:tcW w:type="dxa" w:w="37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Moneda</w:t>
            </w:r>
          </w:p>
        </w:tc>
        <w:tc>
          <w:tcPr>
            <w:tcW w:type="dxa" w:w="37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Monto</w:t>
            </w:r>
          </w:p>
        </w:tc>
        <w:tc>
          <w:tcPr>
            <w:tcW w:type="dxa" w:w="812"/>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En CUP (kCUP)</w:t>
            </w:r>
          </w:p>
        </w:tc>
        <w:tc>
          <w:tcPr>
            <w:tcW w:type="dxa" w:w="99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Vida útil (años)</w:t>
            </w:r>
          </w:p>
        </w:tc>
        <w:tc>
          <w:tcPr>
            <w:tcW w:type="dxa" w:w="68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Disp. desde</w:t>
            </w:r>
          </w:p>
        </w:tc>
        <w:tc>
          <w:tcPr>
            <w:tcW w:type="dxa" w:w="500"/>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Residual</w:t>
            </w:r>
          </w:p>
        </w:tc>
        <w:tc>
          <w:tcPr>
            <w:tcW w:type="dxa" w:w="1874"/>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Observación</w:t>
            </w:r>
          </w:p>
        </w:tc>
      </w:tr>
      <w:tr>
        <w:trPr>
          <w:cantSplit/>
        </w:trPr>
        <w:tc>
          <w:tcPr>
            <w:tcW w:type="dxa" w:w="25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Compresor de aire seco para uso estomatológico (recupera la conformidad técnica: el actual usa aceite)</w:t>
            </w:r>
          </w:p>
        </w:tc>
        <w:tc>
          <w:tcPr>
            <w:tcW w:type="dxa" w:w="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w:t>
            </w:r>
          </w:p>
        </w:tc>
        <w:tc>
          <w:tcPr>
            <w:tcW w:type="dxa" w:w="37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USD</w:t>
            </w:r>
          </w:p>
        </w:tc>
        <w:tc>
          <w:tcPr>
            <w:tcW w:type="dxa" w:w="37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3,9</w:t>
            </w:r>
          </w:p>
        </w:tc>
        <w:tc>
          <w:tcPr>
            <w:tcW w:type="dxa" w:w="81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466,2</w:t>
            </w:r>
          </w:p>
        </w:tc>
        <w:tc>
          <w:tcPr>
            <w:tcW w:type="dxa" w:w="9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68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1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H-021 (F06: 3 500,00 + envío 350,00 + transporte 35,00 = 3 885,00 USD). Depreciación del expediente: 6 % anual ~ 16,7 años (H-031); se modela lineal a 17.</w:t>
            </w:r>
          </w:p>
        </w:tc>
      </w:tr>
      <w:tr>
        <w:trPr>
          <w:cantSplit/>
        </w:trPr>
        <w:tc>
          <w:tcPr>
            <w:tcW w:type="dxa" w:w="25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Prensa hidráulica de estomatología (moderniza el proceso de prótesis)</w:t>
            </w:r>
          </w:p>
        </w:tc>
        <w:tc>
          <w:tcPr>
            <w:tcW w:type="dxa" w:w="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w:t>
            </w:r>
          </w:p>
        </w:tc>
        <w:tc>
          <w:tcPr>
            <w:tcW w:type="dxa" w:w="37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USD</w:t>
            </w:r>
          </w:p>
        </w:tc>
        <w:tc>
          <w:tcPr>
            <w:tcW w:type="dxa" w:w="37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0,4</w:t>
            </w:r>
          </w:p>
        </w:tc>
        <w:tc>
          <w:tcPr>
            <w:tcW w:type="dxa" w:w="81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49,6</w:t>
            </w:r>
          </w:p>
        </w:tc>
        <w:tc>
          <w:tcPr>
            <w:tcW w:type="dxa" w:w="9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68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1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H-021 (F06: 316,00 + 62,00 + 35,00 = 413,00 USD). H-064: sustituye la prensa antigua con repetición de procesos.</w:t>
            </w:r>
          </w:p>
        </w:tc>
      </w:tr>
      <w:tr>
        <w:trPr>
          <w:cantSplit/>
        </w:trPr>
        <w:tc>
          <w:tcPr>
            <w:tcW w:type="dxa" w:w="25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Micromotor de mano (tecnología nueva para prótesis)</w:t>
            </w:r>
          </w:p>
        </w:tc>
        <w:tc>
          <w:tcPr>
            <w:tcW w:type="dxa" w:w="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w:t>
            </w:r>
          </w:p>
        </w:tc>
        <w:tc>
          <w:tcPr>
            <w:tcW w:type="dxa" w:w="37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USD</w:t>
            </w:r>
          </w:p>
        </w:tc>
        <w:tc>
          <w:tcPr>
            <w:tcW w:type="dxa" w:w="37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0,3</w:t>
            </w:r>
          </w:p>
        </w:tc>
        <w:tc>
          <w:tcPr>
            <w:tcW w:type="dxa" w:w="81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34,1</w:t>
            </w:r>
          </w:p>
        </w:tc>
        <w:tc>
          <w:tcPr>
            <w:tcW w:type="dxa" w:w="9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68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1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H-021 (F06: 209,00 + 40,00 + 35,00 = 284,00 USD). H-064: hoy se corrige con pieza de mano (roturas frecuentes).</w:t>
            </w:r>
          </w:p>
        </w:tc>
      </w:tr>
      <w:tr>
        <w:trPr>
          <w:cantSplit/>
        </w:trPr>
        <w:tc>
          <w:tcPr>
            <w:tcW w:type="dxa" w:w="25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Eliminador de burbujas (calidad de prótesis)</w:t>
            </w:r>
          </w:p>
        </w:tc>
        <w:tc>
          <w:tcPr>
            <w:tcW w:type="dxa" w:w="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w:t>
            </w:r>
          </w:p>
        </w:tc>
        <w:tc>
          <w:tcPr>
            <w:tcW w:type="dxa" w:w="37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USD</w:t>
            </w:r>
          </w:p>
        </w:tc>
        <w:tc>
          <w:tcPr>
            <w:tcW w:type="dxa" w:w="37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0,3</w:t>
            </w:r>
          </w:p>
        </w:tc>
        <w:tc>
          <w:tcPr>
            <w:tcW w:type="dxa" w:w="81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34,8</w:t>
            </w:r>
          </w:p>
        </w:tc>
        <w:tc>
          <w:tcPr>
            <w:tcW w:type="dxa" w:w="9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68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1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H-021 (F06: 285,00 + 70,00 + 35,00 = 290,00 USD).</w:t>
            </w:r>
          </w:p>
        </w:tc>
      </w:tr>
      <w:tr>
        <w:trPr>
          <w:cantSplit/>
        </w:trPr>
        <w:tc>
          <w:tcPr>
            <w:tcW w:type="dxa" w:w="25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Olla polimerizadora a presión (sustituye la cocción en microondas)</w:t>
            </w:r>
          </w:p>
        </w:tc>
        <w:tc>
          <w:tcPr>
            <w:tcW w:type="dxa" w:w="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fija</w:t>
            </w:r>
          </w:p>
        </w:tc>
        <w:tc>
          <w:tcPr>
            <w:tcW w:type="dxa" w:w="37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USD</w:t>
            </w:r>
          </w:p>
        </w:tc>
        <w:tc>
          <w:tcPr>
            <w:tcW w:type="dxa" w:w="37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0,4</w:t>
            </w:r>
          </w:p>
        </w:tc>
        <w:tc>
          <w:tcPr>
            <w:tcW w:type="dxa" w:w="81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48,2</w:t>
            </w:r>
          </w:p>
        </w:tc>
        <w:tc>
          <w:tcPr>
            <w:tcW w:type="dxa" w:w="9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17</w:t>
            </w:r>
          </w:p>
        </w:tc>
        <w:tc>
          <w:tcPr>
            <w:tcW w:type="dxa" w:w="68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w:t>
            </w:r>
          </w:p>
        </w:tc>
        <w:tc>
          <w:tcPr>
            <w:tcW w:type="dxa" w:w="5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0,0 %</w:t>
            </w:r>
          </w:p>
        </w:tc>
        <w:tc>
          <w:tcPr>
            <w:tcW w:type="dxa" w:w="1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H-021 (F06: 289,00 + 78,00 + 35,00 = 402,00 USD).</w:t>
            </w:r>
          </w:p>
        </w:tc>
      </w:tr>
      <w:tr>
        <w:trPr>
          <w:cantSplit/>
        </w:trPr>
        <w:tc>
          <w:tcPr>
            <w:tcW w:type="dxa" w:w="25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financieros del período de inversión</w:t>
            </w:r>
          </w:p>
        </w:tc>
        <w:tc>
          <w:tcPr>
            <w:tcW w:type="dxa" w:w="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previos</w:t>
            </w:r>
          </w:p>
        </w:tc>
        <w:tc>
          <w:tcPr>
            <w:tcW w:type="dxa" w:w="37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CUP</w:t>
            </w:r>
          </w:p>
        </w:tc>
        <w:tc>
          <w:tcPr>
            <w:tcW w:type="dxa" w:w="37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1,2</w:t>
            </w:r>
          </w:p>
        </w:tc>
        <w:tc>
          <w:tcPr>
            <w:tcW w:type="dxa" w:w="812"/>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1,2</w:t>
            </w:r>
          </w:p>
        </w:tc>
        <w:tc>
          <w:tcPr>
            <w:tcW w:type="dxa" w:w="99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w:t>
            </w:r>
          </w:p>
        </w:tc>
        <w:tc>
          <w:tcPr>
            <w:tcW w:type="dxa" w:w="68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w:t>
            </w:r>
          </w:p>
        </w:tc>
        <w:tc>
          <w:tcPr>
            <w:tcW w:type="dxa" w:w="50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w:t>
            </w:r>
          </w:p>
        </w:tc>
        <w:tc>
          <w:tcPr>
            <w:tcW w:type="dxa" w:w="187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H-022 (F08 p. 5). Aportados por CSMC (H-020).</w:t>
            </w:r>
          </w:p>
        </w:tc>
      </w:tr>
      <w:tr>
        <w:trPr>
          <w:cantSplit/>
        </w:trPr>
        <w:tc>
          <w:tcPr>
            <w:tcW w:type="dxa" w:w="2530"/>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gastos de preoperación (sin desglose en el expediente)</w:t>
            </w:r>
          </w:p>
        </w:tc>
        <w:tc>
          <w:tcPr>
            <w:tcW w:type="dxa" w:w="874"/>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previos</w:t>
            </w:r>
          </w:p>
        </w:tc>
        <w:tc>
          <w:tcPr>
            <w:tcW w:type="dxa" w:w="37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CUP</w:t>
            </w:r>
          </w:p>
        </w:tc>
        <w:tc>
          <w:tcPr>
            <w:tcW w:type="dxa" w:w="375"/>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25,0</w:t>
            </w:r>
          </w:p>
        </w:tc>
        <w:tc>
          <w:tcPr>
            <w:tcW w:type="dxa" w:w="812"/>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25,0</w:t>
            </w:r>
          </w:p>
        </w:tc>
        <w:tc>
          <w:tcPr>
            <w:tcW w:type="dxa" w:w="99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w:t>
            </w:r>
          </w:p>
        </w:tc>
        <w:tc>
          <w:tcPr>
            <w:tcW w:type="dxa" w:w="687"/>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w:t>
            </w:r>
          </w:p>
        </w:tc>
        <w:tc>
          <w:tcPr>
            <w:tcW w:type="dxa" w:w="500"/>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w:t>
            </w:r>
          </w:p>
        </w:tc>
        <w:tc>
          <w:tcPr>
            <w:tcW w:type="dxa" w:w="1874"/>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H-022 (F08 p. 5: «Otros gastos de Pre-Operación (Detallar) 25,00»). [Pendiente: desglose y posible solape con los salarios de preapertura — brecha B-11.]</w:t>
            </w:r>
          </w:p>
        </w:tc>
      </w:tr>
    </w:tbl>
    <w:p>
      <w:pPr>
        <w:pStyle w:val="NotaTexto"/>
        <w:spacing w:after="60" w:before="60" w:line="276"/>
        <w:jc w:val="both"/>
      </w:pPr>
      <w:r>
        <w:rPr>
          <w:rFonts w:ascii="Calibri" w:cs="Calibri" w:eastAsia="Calibri" w:hAnsi="Calibri"/>
          <w:color w:val="334155"/>
          <w:sz w:val="16"/>
          <w:szCs w:val="16"/>
        </w:rPr>
        <w:t xml:space="preserve">No se suman monedas diferentes: los montos en CUP se convierten con el tipo de cambio parametrizado (con fecha y fuente) para los totales. Los activos fijos deprecian desde su año de disponibilidad y solo por su importe depreciable.</w:t>
      </w:r>
    </w:p>
    <w:p>
      <w:pPr>
        <w:pStyle w:val="NotaTabla"/>
        <w:keepNext/>
        <w:keepLines/>
        <w:spacing w:after="80" w:before="200"/>
      </w:pPr>
      <w:r>
        <w:rPr>
          <w:rFonts w:ascii="Calibri" w:cs="Calibri" w:eastAsia="Calibri" w:hAnsi="Calibri"/>
          <w:b/>
          <w:bCs/>
          <w:color w:val="1E3A5F"/>
          <w:sz w:val="18"/>
          <w:szCs w:val="18"/>
        </w:rPr>
        <w:t xml:space="preserve">Tabla 16. Cronograma inversionista</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4226"/>
        <w:gridCol w:w="835"/>
        <w:gridCol w:w="835"/>
        <w:gridCol w:w="3130"/>
      </w:tblGrid>
      <w:tr>
        <w:trPr>
          <w:cantSplit/>
          <w:tblHeader/>
        </w:trPr>
        <w:tc>
          <w:tcPr>
            <w:tcW w:type="dxa" w:w="422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Etapa</w:t>
            </w:r>
          </w:p>
        </w:tc>
        <w:tc>
          <w:tcPr>
            <w:tcW w:type="dxa" w:w="83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Inicio</w:t>
            </w:r>
          </w:p>
        </w:tc>
        <w:tc>
          <w:tcPr>
            <w:tcW w:type="dxa" w:w="83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Fin</w:t>
            </w:r>
          </w:p>
        </w:tc>
        <w:tc>
          <w:tcPr>
            <w:tcW w:type="dxa" w:w="3130"/>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Observación</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Preinversión: estudios, investigaciones y permisos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ene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jun 2026</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Fase documentada (F08 p. 17). [Pendiente: fechas precisas — B-14; colocación provisional 2026 editable.]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Preapertura: inscripciones, cuentas, aportes y ejecución de inversiones pactadas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feb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dic 2026</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Período de preapertura del contrato (H-015): cronograma de acciones revisado semanalmente por las partes. [Fechas provisionales — B-14.]</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Ejecución: recepción de suministros importados y montaje de equipos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jul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nov 2026</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Fase documentada (F08 p. 17: recepción de suministros, montaje, asistencia técnica y capacitación). [Provisional — B-14.]</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Pruebas, puesta en marcha e inicio de la explotación</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dic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ene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Fase documentada (F08 p. 17). El inicio de operaciones queda condicionado a las licencias (V-02, V-06). [Provisional — B-14.]</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Operación comercial (horizonte de 10 años)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ene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dic 2036</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Horizonte documentado (H-012): 10 años de operación; el calendario del expediente rotula 2026–2035 con un desfase interno de etiquetado registrado (el EERR y el flujo usan años distintos para la inversión).</w:t>
            </w:r>
          </w:p>
        </w:tc>
      </w:tr>
      <w:tr>
        <w:trPr>
          <w:cantSplit/>
        </w:trPr>
        <w:tc>
          <w:tcPr>
            <w:tcW w:type="dxa" w:w="422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Estudios de postinversión y evaluación de la prórroga</w:t>
            </w:r>
          </w:p>
        </w:tc>
        <w:tc>
          <w:tcPr>
            <w:tcW w:type="dxa" w:w="83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ene 2034</w:t>
            </w:r>
          </w:p>
        </w:tc>
        <w:tc>
          <w:tcPr>
            <w:tcW w:type="dxa" w:w="83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dic 2034</w:t>
            </w:r>
          </w:p>
        </w:tc>
        <w:tc>
          <w:tcPr>
            <w:tcW w:type="dxa" w:w="3130"/>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F02: evaluación en 2034 para valorar 10 años más de vigencia (H-012); F08 p. 17: «Estudios de Postinversión Año 2034».</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inversiones y cronograma</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 inversión se agrupa en Gastos previos (26,2), Inversión fija (5,3). El activo de mayor importe es «Otros gastos de preoperación (sin desglose en el expediente)» con 25,0 CUP y vida útil de 0 años. La relación entre inversión y capacidad queda explícita en la tabla de recursos operativos: el escenario A no contempla ampliaciones; la capacidad final es la instalada inicialmente. El cronograma inversionista define 6 etapas, de «Preinversión: estudios, investigaciones y permisos» (2026-01) a «Estudios de postinversión y evaluación de la prórroga» (2034-12). El modelo no valida licencias, obras ni pruebas: los requisitos previos sin resolver en el cronograma deben resolverse antes de declarar operativa la instalación.</w:t>
      </w:r>
    </w:p>
    <w:p>
      <w:pPr>
        <w:pStyle w:val="Heading1"/>
        <w:pageBreakBefore/>
      </w:pPr>
      <w:bookmarkStart w:name="_Toc11" w:id="11"/>
      <w:r>
        <w:rPr>
          <w:rFonts w:ascii="Calibri" w:cs="Calibri" w:eastAsia="Calibri" w:hAnsi="Calibri"/>
          <w:b/>
          <w:bCs/>
          <w:color w:val="1E3A5F"/>
          <w:sz w:val="30"/>
          <w:szCs w:val="30"/>
        </w:rPr>
        <w:t xml:space="preserve">4.11  Indicadores de beneficios directos al país</w:t>
      </w:r>
      <w:bookmarkEnd w:id="11"/>
    </w:p>
    <w:p>
      <w:pPr>
        <w:pStyle w:val="NotaTabla"/>
        <w:keepNext/>
        <w:keepLines/>
        <w:spacing w:after="80" w:before="200"/>
      </w:pPr>
      <w:r>
        <w:rPr>
          <w:rFonts w:ascii="Calibri" w:cs="Calibri" w:eastAsia="Calibri" w:hAnsi="Calibri"/>
          <w:b/>
          <w:bCs/>
          <w:color w:val="1E3A5F"/>
          <w:sz w:val="18"/>
          <w:szCs w:val="18"/>
        </w:rPr>
        <w:t xml:space="preserve">Tabla 17. Beneficios directos al país por año (miles de CUP; etiqueta de período por partida)</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936"/>
        <w:gridCol w:w="435"/>
        <w:gridCol w:w="507"/>
        <w:gridCol w:w="507"/>
        <w:gridCol w:w="507"/>
        <w:gridCol w:w="507"/>
        <w:gridCol w:w="507"/>
        <w:gridCol w:w="507"/>
        <w:gridCol w:w="507"/>
        <w:gridCol w:w="507"/>
        <w:gridCol w:w="507"/>
        <w:gridCol w:w="507"/>
        <w:gridCol w:w="580"/>
      </w:tblGrid>
      <w:tr>
        <w:trPr>
          <w:cantSplit/>
          <w:tblHeader/>
        </w:trPr>
        <w:tc>
          <w:tcPr>
            <w:tcW w:type="dxa" w:w="293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Partida</w:t>
            </w:r>
          </w:p>
        </w:tc>
        <w:tc>
          <w:tcPr>
            <w:tcW w:type="dxa" w:w="43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0</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1</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2</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3</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4</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5</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6</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7</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8</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9</w:t>
            </w:r>
          </w:p>
        </w:tc>
        <w:tc>
          <w:tcPr>
            <w:tcW w:type="dxa" w:w="507"/>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Año 10</w:t>
            </w:r>
          </w:p>
        </w:tc>
        <w:tc>
          <w:tcPr>
            <w:tcW w:type="dxa" w:w="580"/>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Total</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[años 1–N]</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impuestos, tasas y contribuciones [años 1–N]</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6.816,0</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Dividendos de la parte cubana [años 1–N]</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Aranceles [años 1–N]</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Pagos por la fuerza de trabajo [incluye año 0]</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43.200,0</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 [años 1–N]</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Royalties [años 1–N]</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29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ingresos [años 1–N]</w:t>
            </w:r>
          </w:p>
        </w:tc>
        <w:tc>
          <w:tcPr>
            <w:tcW w:type="dxa" w:w="43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07"/>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2936"/>
            <w:tcBorders>
              <w:top w:val="single" w:color="94A3B8" w:sz="4"/>
              <w:bottom w:val="single" w:color="64748B" w:sz="8"/>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TOTAL BENEFICIOS DIRECTOS AL PAÍS [incluye año 0]</w:t>
            </w:r>
          </w:p>
        </w:tc>
        <w:tc>
          <w:tcPr>
            <w:tcW w:type="dxa" w:w="435"/>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0,0</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07"/>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w:t>
            </w:r>
          </w:p>
        </w:tc>
        <w:tc>
          <w:tcPr>
            <w:tcW w:type="dxa" w:w="580"/>
            <w:tcBorders>
              <w:top w:val="single" w:color="94A3B8" w:sz="4"/>
              <w:bottom w:val="single" w:color="64748B" w:sz="8"/>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50.016,0</w:t>
            </w:r>
          </w:p>
        </w:tc>
      </w:tr>
    </w:tbl>
    <w:p>
      <w:pPr>
        <w:pStyle w:val="NotaTexto"/>
        <w:spacing w:after="60" w:before="60" w:line="276"/>
        <w:jc w:val="both"/>
      </w:pPr>
      <w:r>
        <w:rPr>
          <w:rFonts w:ascii="Calibri" w:cs="Calibri" w:eastAsia="Calibri" w:hAnsi="Calibri"/>
          <w:color w:val="334155"/>
          <w:sz w:val="16"/>
          <w:szCs w:val="16"/>
        </w:rPr>
        <w:t xml:space="preserve">Período de análisis: 10 años de operación, verificando el requisito de contemplar la recuperación más un año. Total acumulado del período completo: 50.016,0 miles de CUP (incluye el año 0). Subtotal de la explotación (años 1–10): 50.016,0 miles de CUP. Ambos totales provienen del mismo cálculo del motor: resumen, tabla y conclusiones coinciden.</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los beneficios directos al país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Los beneficios directos al país acumulan 50.016,0 miles de CUP en el período completo del análisis (años 0 a 10). El subtotal de la explotación (años 1 a 10) es 50.016,0 miles de CUP y el año 0 aporta 0,0 (pagos por la fuerza de trabajo de montaje, único concepto activo en esa fase). Ambos totales provienen del mismo cálculo del motor: resumen, tabla y conclusiones coinciden por construcción. Composición del período: impuestos sobre utilidades 0,0, pagos por la fuerza de trabajo 43.200,0, dividendos de la parte cubana 0,0, canon 0,0, aranceles 0,0 y otros impuestos y tasas 6.816,0 miles de CUP. Los pagos por la fuerza de trabajo referencian el costo laboral del modelo (sin doble contabilización con los salarios ya deducidos en el estado de resultados); los dividendos cubanos provienen del módulo de dividendos (limitado por resultados acumulados, reservas y caja disponible) y no de un porcentaje aplicado en paralelo. El acumulado (50.016,0 kCUP) supera la inversión total del proyecto (659,1 kCUP) dentro del horizonte; aun así, estos son beneficios PROYECTADOS, no ingresos estatales efectivos, y dependen de que la operación ocurra según lo modelado.</w:t>
      </w:r>
    </w:p>
    <w:p>
      <w:pPr>
        <w:pStyle w:val="Heading1"/>
        <w:pageBreakBefore/>
      </w:pPr>
      <w:bookmarkStart w:name="_Toc12" w:id="12"/>
      <w:r>
        <w:rPr>
          <w:rFonts w:ascii="Calibri" w:cs="Calibri" w:eastAsia="Calibri" w:hAnsi="Calibri"/>
          <w:b/>
          <w:bCs/>
          <w:color w:val="1E3A5F"/>
          <w:sz w:val="30"/>
          <w:szCs w:val="30"/>
        </w:rPr>
        <w:t xml:space="preserve">4.12  Conclusiones</w:t>
      </w:r>
      <w:bookmarkEnd w:id="12"/>
    </w:p>
    <w:p>
      <w:pPr>
        <w:spacing w:after="60" w:before="60" w:line="276"/>
        <w:jc w:val="both"/>
      </w:pPr>
      <w:r>
        <w:rPr>
          <w:rFonts w:ascii="Calibri" w:cs="Calibri" w:eastAsia="Calibri" w:hAnsi="Calibri"/>
          <w:color w:val="334155"/>
          <w:sz w:val="20"/>
          <w:szCs w:val="20"/>
        </w:rPr>
        <w:t xml:space="preserve">CONCLUSIONES (marco de lectura del proyecto documental): la síntesis cuantitativa se GENERA a partir del modelo de cálculo activo y se recalcula con cada cambio de datos, parámetros o fórmulas. ESTADO DE LA EVALUACIÓN: preliminar. El expediente documental presenta contradicciones críticas no resueltas que condicionan los resultados — la tasa de cambio 24 frente a 120 (C-01) es determinante: a los precios reales de lista y al costo real de los insumos cotizados, el margen operativo del modelo es negativo, mientras que el modelo del expediente (que valora los insumos a la tasa 24) reporta utilidades; la decisión cambiaria corresponde al promotor con sustento normativo. Adicionalmente, la depreciación del estado de resultados del expediente está mal cargada (C-06), los salarios tienen tres versiones incompatibles (C-07), la capacidad instalada no está estudiada (B-10) y no existe estudio de mercado (B-24). Ninguna cifra del expediente se presenta como validada; la lectura de la inversión, los ingresos, la utilidad, la recuperación, los dividendos y los beneficios directos al país debe hacerse sobre el modelo activo y la sección «Expediente documental», no sobre los indicadores del anexo del expediente (C-02). Antes de cualquier presentación oficial deben resolverse las brechas bloqueantes (B-06, B-16, B-24) y las validaciones normativas (V-01 a V-08).</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Conclusiones (análisis dinámico del modelo)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Sobre los resultados económicos preliminares del modelo: inversión total de 659,1 miles de CUP, ingresos del año 1 de 13.897,7 kCUP, utilidad después de impuestos de -5.719,1 kCUP y beneficios directos al país acumulados de 50.016,0 kCUP en 10 años. El flujo de caja del proyecto NO recupera la inversión total dentro del horizonte: la propuesta, tal como está modelada, no puede presentarse como recuperada. El diagnóstico impide calificar el plan como viable en su estado actual: recuperación no alcanzada en el horizonte. Corrija estas causas y regenere el análisis antes de extraer conclusiones definitivas. Estas conclusiones se generan desde el estado actual del modelo de cálculo. Persisten 3 advertencia(s) de consistencia. En todo caso, la viabilidad jurídica, sanitaria y de mercado de la propuesta queda sujeta a validaciones externas que este documento no sustituye.</w:t>
      </w:r>
    </w:p>
    <w:p>
      <w:pPr>
        <w:pStyle w:val="Heading1"/>
        <w:pageBreakBefore/>
      </w:pPr>
      <w:bookmarkStart w:name="_Toc13" w:id="13"/>
      <w:r>
        <w:rPr>
          <w:rFonts w:ascii="Calibri" w:cs="Calibri" w:eastAsia="Calibri" w:hAnsi="Calibri"/>
          <w:b/>
          <w:bCs/>
          <w:color w:val="1E3A5F"/>
          <w:sz w:val="30"/>
          <w:szCs w:val="30"/>
        </w:rPr>
        <w:t xml:space="preserve">Diagnóstico y controles de consistencia</w:t>
      </w:r>
      <w:bookmarkEnd w:id="13"/>
    </w:p>
    <w:p>
      <w:pPr>
        <w:spacing w:after="60" w:before="60" w:line="276"/>
        <w:jc w:val="both"/>
      </w:pPr>
      <w:r>
        <w:rPr>
          <w:rFonts w:ascii="Calibri" w:cs="Calibri" w:eastAsia="Calibri" w:hAnsi="Calibri"/>
          <w:color w:val="334155"/>
          <w:sz w:val="20"/>
          <w:szCs w:val="20"/>
        </w:rPr>
        <w:t xml:space="preserve">ESTADO GENERAL DEL PLAN: Validación financiera pendiente. Existen 0 error(es) de cálculo y/o hallazgos financieros relevantes sin resolver (FINANCIACION_EXCESO, DEFICIT_CAJA_PROYECTADA, NO_RECUPERACION, PARTICIPACION_INCOHERENTE): el modelo financiero no está en condiciones de validarse.</w:t>
      </w:r>
    </w:p>
    <w:p>
      <w:pPr>
        <w:spacing w:after="60" w:before="60" w:line="276"/>
        <w:jc w:val="both"/>
      </w:pPr>
      <w:r>
        <w:rPr>
          <w:rFonts w:ascii="Calibri" w:cs="Calibri" w:eastAsia="Calibri" w:hAnsi="Calibri"/>
          <w:color w:val="334155"/>
          <w:sz w:val="20"/>
          <w:szCs w:val="20"/>
        </w:rPr>
        <w:t xml:space="preserve">Resumen de control — conteo: 0 error(es) bloqueante(s), 4 advertencia(s) importante(s), 5 información pendiente, 7 observación(es) de calidad. Existen hallazgos que condicionan las conclusiones del plan. Las seis dimensiones se evalúan DE FORMA INDEPENDIENTE: un plan no se clasifica como globalmente «correcto» porque las sumas cuadren, y la completitud formal no se usa como prueba de calidad; la validación legal, tributaria, sanitaria y de mercado queda sujeta a verificación externa que esta aplicación no realiza.</w:t>
      </w:r>
    </w:p>
    <w:p>
      <w:pPr>
        <w:pStyle w:val="NotaTabla"/>
        <w:keepNext/>
        <w:keepLines/>
        <w:spacing w:after="80" w:before="200"/>
      </w:pPr>
      <w:r>
        <w:rPr>
          <w:rFonts w:ascii="Calibri" w:cs="Calibri" w:eastAsia="Calibri" w:hAnsi="Calibri"/>
          <w:b/>
          <w:bCs/>
          <w:color w:val="1E3A5F"/>
          <w:sz w:val="18"/>
          <w:szCs w:val="18"/>
        </w:rPr>
        <w:t xml:space="preserve">Tabla 18. Resumen de control por dimensiones independientes (DOC-002 §5)</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4541"/>
        <w:gridCol w:w="1121"/>
        <w:gridCol w:w="3364"/>
      </w:tblGrid>
      <w:tr>
        <w:trPr>
          <w:cantSplit/>
          <w:tblHeader/>
        </w:trPr>
        <w:tc>
          <w:tcPr>
            <w:tcW w:type="dxa" w:w="4541"/>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Dimensión</w:t>
            </w:r>
          </w:p>
        </w:tc>
        <w:tc>
          <w:tcPr>
            <w:tcW w:type="dxa" w:w="1121"/>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Estado</w:t>
            </w:r>
          </w:p>
        </w:tc>
        <w:tc>
          <w:tcPr>
            <w:tcW w:type="dxa" w:w="3364"/>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Detalle</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Integridad aritmética</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Correcto</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Las reglas evalúan sin errores, la deuda reconcilia saldo a saldo, la depreciación no excede las bases y FCFF/FCFE cumplen la identidad algebraica.</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Coherencia financiera y contable</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659,1 kCUP vs financiación comprometida 9.862,6 kCUP (conciliación total) y fuentes con desembolso en el año 0 9.862,6 kCUP (conciliación temporal, incluida en el informe); recuperación simple del proyecto no alcanzada en el horizonte; del capital aportado no recuperado en el horizonte; capacidad verificada contra los recursos operativos.</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Evidencia y trazabilidad de los supuestos</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 parámetro(s) de demostración sin validación normativa; 1 aportación(es) sin referencia documental IDENTIFICABLE (vacía o hipótesis); 2 con referencia declarada. Las referencias hipotéticas NO cuentan como fuentes validadas.</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Cumplimiento de la estructura metodológica</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Apartados 4.1–4.12 con 5 elemento(s) pendiente(s). Pendientes: financiero, 4.1, aportaciones. La completitud formal no equivale a validación de contenido.</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Estado de validación normativa y comercial</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Aceptable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La aplicación NO valida el cumplimiento legal, tributario, sanitario ni de mercado: la estructura documental no equivale a validación normativa. Los requisitos regulatorios declarados están LISTADOS, no VERIFICADOS: cada autorización exige evidencia externa comprobable (número, emisor, fecha). La demanda solvente y los precios requieren fuentes con fecha.</w:t>
            </w:r>
          </w:p>
        </w:tc>
      </w:tr>
      <w:tr>
        <w:trPr>
          <w:cantSplit/>
        </w:trPr>
        <w:tc>
          <w:tcPr>
            <w:tcW w:type="dxa" w:w="4541"/>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Calidad documental</w:t>
            </w:r>
          </w:p>
        </w:tc>
        <w:tc>
          <w:tcPr>
            <w:tcW w:type="dxa" w:w="1121"/>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Aceptable</w:t>
            </w:r>
          </w:p>
        </w:tc>
        <w:tc>
          <w:tcPr>
            <w:tcW w:type="dxa" w:w="3364"/>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Observaciones de calidad: 6; 0 análisis editados por revisar frente al modelo; campos obligatorios pendientes en 4.1: 3.</w:t>
            </w:r>
          </w:p>
        </w:tc>
      </w:tr>
    </w:tbl>
    <w:p>
      <w:pPr>
        <w:pStyle w:val="NotaTabla"/>
        <w:keepNext/>
        <w:keepLines/>
        <w:spacing w:after="80" w:before="200"/>
      </w:pPr>
      <w:r>
        <w:rPr>
          <w:rFonts w:ascii="Calibri" w:cs="Calibri" w:eastAsia="Calibri" w:hAnsi="Calibri"/>
          <w:b/>
          <w:bCs/>
          <w:color w:val="1E3A5F"/>
          <w:sz w:val="18"/>
          <w:szCs w:val="18"/>
        </w:rPr>
        <w:t xml:space="preserve">Tabla 19. Conciliación del desembolso inicial (miles de CUP; años 0 y 1 con el mismo significado en aportaciones, fuentes y flujos)</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447"/>
        <w:gridCol w:w="2579"/>
      </w:tblGrid>
      <w:tr>
        <w:trPr>
          <w:cantSplit/>
          <w:tblHeader/>
        </w:trPr>
        <w:tc>
          <w:tcPr>
            <w:tcW w:type="dxa" w:w="6447"/>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Concepto</w:t>
            </w:r>
          </w:p>
        </w:tc>
        <w:tc>
          <w:tcPr>
            <w:tcW w:type="dxa" w:w="2579"/>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Monto (kCUP)</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Inversión total (incluye el capital de trabajo: no se duplica)</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659,1</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Nómina de montaje del año 0 (regla «costo_laboral_k»: gasto del período, no capitalizable)</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Interés PAGADO del año 0 según el calendario de deuda (lo capitalizado no es salida de caja)</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DEVENGADO del año 0 (regla contable; supuesto del modelo simplificado: pagado en el mismo período — no es un pago verificado)</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Menos: ingresos explícitos del año 0</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Salidas netas de caja del año 0 explícitamente identificadas</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r>
      <w:tr>
        <w:trPr>
          <w:cantSplit/>
        </w:trPr>
        <w:tc>
          <w:tcPr>
            <w:tcW w:type="dxa" w:w="6447"/>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Necesidad total de arranque (inversión total + salidas netas del año 0)</w:t>
            </w:r>
          </w:p>
        </w:tc>
        <w:tc>
          <w:tcPr>
            <w:tcW w:type="dxa" w:w="257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659,1</w:t>
            </w:r>
          </w:p>
        </w:tc>
      </w:tr>
      <w:tr>
        <w:trPr>
          <w:cantSplit/>
        </w:trPr>
        <w:tc>
          <w:tcPr>
            <w:tcW w:type="dxa" w:w="6447"/>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Fuentes con desembolso EFECTIVO en el año 0 (aportaciones del año 0 + otras fuentes + principal del crédito desembolsado en el año 0)</w:t>
            </w:r>
          </w:p>
        </w:tc>
        <w:tc>
          <w:tcPr>
            <w:tcW w:type="dxa" w:w="257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9.862,6</w:t>
            </w:r>
          </w:p>
        </w:tc>
      </w:tr>
      <w:tr>
        <w:trPr>
          <w:cantSplit/>
        </w:trPr>
        <w:tc>
          <w:tcPr>
            <w:tcW w:type="dxa" w:w="6447"/>
            <w:tcBorders>
              <w:top w:val="single" w:color="94A3B8" w:sz="4"/>
            </w:tcBorders>
            <w:tcMar>
              <w:top w:type="dxa" w:w="40"/>
              <w:left w:type="dxa" w:w="80"/>
              <w:bottom w:type="dxa" w:w="40"/>
              <w:right w:type="dxa" w:w="80"/>
            </w:tcMar>
          </w:tcPr>
          <w:p>
            <w:pPr>
              <w:jc w:val="left"/>
            </w:pPr>
            <w:r>
              <w:rPr>
                <w:rFonts w:ascii="Calibri" w:cs="Calibri" w:eastAsia="Calibri" w:hAnsi="Calibri"/>
                <w:b/>
                <w:bCs/>
                <w:color w:val="334155"/>
                <w:sz w:val="17"/>
                <w:szCs w:val="17"/>
              </w:rPr>
              <w:t xml:space="preserve">BRECHA TEMPORAL del arranque (fuentes del año 0 - necesidad total)</w:t>
            </w:r>
          </w:p>
        </w:tc>
        <w:tc>
          <w:tcPr>
            <w:tcW w:type="dxa" w:w="2579"/>
            <w:tcBorders>
              <w:top w:val="single" w:color="94A3B8" w:sz="4"/>
            </w:tcBorders>
            <w:tcMar>
              <w:top w:type="dxa" w:w="40"/>
              <w:left w:type="dxa" w:w="80"/>
              <w:bottom w:type="dxa" w:w="40"/>
              <w:right w:type="dxa" w:w="80"/>
            </w:tcMar>
          </w:tcPr>
          <w:p>
            <w:pPr>
              <w:jc w:val="right"/>
            </w:pPr>
            <w:r>
              <w:rPr>
                <w:rFonts w:ascii="Calibri" w:cs="Calibri" w:eastAsia="Calibri" w:hAnsi="Calibri"/>
                <w:b/>
                <w:bCs/>
                <w:color w:val="334155"/>
                <w:sz w:val="17"/>
                <w:szCs w:val="17"/>
              </w:rPr>
              <w:t xml:space="preserve">9.203,6</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 financiación COMPROMETIDA para todo el proyecto (conciliación total)</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9.862,6</w:t>
            </w:r>
          </w:p>
        </w:tc>
      </w:tr>
      <w:tr>
        <w:trPr>
          <w:cantSplit/>
        </w:trPr>
        <w:tc>
          <w:tcPr>
            <w:tcW w:type="dxa" w:w="6447"/>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 brecha según el total nominal comprometido</w:t>
            </w:r>
          </w:p>
        </w:tc>
        <w:tc>
          <w:tcPr>
            <w:tcW w:type="dxa" w:w="2579"/>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9.203,6</w:t>
            </w:r>
          </w:p>
        </w:tc>
      </w:tr>
    </w:tbl>
    <w:p>
      <w:pPr>
        <w:pStyle w:val="NotaTexto"/>
        <w:spacing w:after="160" w:before="40"/>
      </w:pPr>
      <w:r>
        <w:rPr>
          <w:rFonts w:ascii="Calibri" w:cs="Calibri" w:eastAsia="Calibri" w:hAnsi="Calibri"/>
          <w:i/>
          <w:iCs/>
          <w:color w:val="64748B"/>
          <w:sz w:val="15"/>
          <w:szCs w:val="15"/>
        </w:rPr>
        <w:t xml:space="preserve">Nota. Devengado &lt;&gt; pagado: el impuesto del año 0 es una regla contable con supuesto de pago simultáneo (no un pago verificado); el interés capitalizado no es salida de caja. Las partidas se inventarían una a una en la tabla siguiente.</w:t>
      </w:r>
    </w:p>
    <w:p>
      <w:pPr>
        <w:pStyle w:val="NotaTexto"/>
        <w:spacing w:after="60" w:before="60" w:line="276"/>
        <w:jc w:val="both"/>
      </w:pPr>
      <w:r>
        <w:rPr>
          <w:rFonts w:ascii="Calibri" w:cs="Calibri" w:eastAsia="Calibri" w:hAnsi="Calibri"/>
          <w:color w:val="334155"/>
          <w:sz w:val="16"/>
          <w:szCs w:val="16"/>
        </w:rPr>
        <w:t xml:space="preserve">La brecha del arranque se cuantifica desde partidas de salida de caja del año 0 explícitamente identificadas e inventariadas como no capitalizables y no incluidas en la inversión total; NO se deduce del resultado contable después de impuestos del año 0, que puede contener pérdidas no monetarias (depreciación), intereses devengados capitalizados (no pagados) u otros efectos que no representan caja. La brecha TEMPORAL se mide contra las fuentes con desembolso efectivo en el año 0: unas aportaciones o un crédito que entran en años posteriores no pueden financiar las necesidades del arranque, aunque la conciliación total del horizonte cuadre.</w:t>
      </w:r>
    </w:p>
    <w:p>
      <w:pPr>
        <w:pStyle w:val="NotaTabla"/>
        <w:keepNext/>
        <w:keepLines/>
        <w:spacing w:after="80" w:before="200"/>
      </w:pPr>
      <w:r>
        <w:rPr>
          <w:rFonts w:ascii="Calibri" w:cs="Calibri" w:eastAsia="Calibri" w:hAnsi="Calibri"/>
          <w:b/>
          <w:bCs/>
          <w:color w:val="1E3A5F"/>
          <w:sz w:val="18"/>
          <w:szCs w:val="18"/>
        </w:rPr>
        <w:t xml:space="preserve">Tabla 20. Inventario de partidas de caja del año 0 (miles de CUP; período = año 0 de montaje; mecanismo trazable con barrido de reglas de gasto)</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583"/>
        <w:gridCol w:w="765"/>
        <w:gridCol w:w="1595"/>
        <w:gridCol w:w="1914"/>
        <w:gridCol w:w="2169"/>
      </w:tblGrid>
      <w:tr>
        <w:trPr>
          <w:cantSplit/>
          <w:tblHeader/>
        </w:trPr>
        <w:tc>
          <w:tcPr>
            <w:tcW w:type="dxa" w:w="258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Partida</w:t>
            </w:r>
          </w:p>
        </w:tc>
        <w:tc>
          <w:tcPr>
            <w:tcW w:type="dxa" w:w="765"/>
            <w:tcBorders>
              <w:top w:val="single" w:color="64748B" w:sz="8"/>
              <w:bottom w:val="single" w:color="94A3B8" w:sz="4"/>
            </w:tcBorders>
            <w:shd w:fill="EEF2F7" w:color="auto" w:val="clear"/>
            <w:tcMar>
              <w:top w:type="dxa" w:w="40"/>
              <w:left w:type="dxa" w:w="80"/>
              <w:bottom w:type="dxa" w:w="40"/>
              <w:right w:type="dxa" w:w="80"/>
            </w:tcMar>
          </w:tcPr>
          <w:p>
            <w:pPr>
              <w:jc w:val="center"/>
            </w:pPr>
            <w:r>
              <w:rPr>
                <w:rFonts w:ascii="Calibri" w:cs="Calibri" w:eastAsia="Calibri" w:hAnsi="Calibri"/>
                <w:b/>
                <w:bCs/>
                <w:color w:val="1E3A5F"/>
                <w:sz w:val="17"/>
                <w:szCs w:val="17"/>
              </w:rPr>
              <w:t xml:space="preserve">Monto (kCUP)</w:t>
            </w:r>
          </w:p>
        </w:tc>
        <w:tc>
          <w:tcPr>
            <w:tcW w:type="dxa" w:w="159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¿Computa en la necesidad?</w:t>
            </w:r>
          </w:p>
        </w:tc>
        <w:tc>
          <w:tcPr>
            <w:tcW w:type="dxa" w:w="1914"/>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Estado de pago</w:t>
            </w:r>
          </w:p>
        </w:tc>
        <w:tc>
          <w:tcPr>
            <w:tcW w:type="dxa" w:w="2169"/>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Tratamiento dentro de la inversión</w:t>
            </w:r>
          </w:p>
        </w:tc>
      </w:tr>
      <w:tr>
        <w:trPr>
          <w:cantSplit/>
        </w:trPr>
        <w:tc>
          <w:tcPr>
            <w:tcW w:type="dxa" w:w="25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Nómina de montaje del año 0</w:t>
            </w:r>
          </w:p>
        </w:tc>
        <w:tc>
          <w:tcPr>
            <w:tcW w:type="dxa" w:w="7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59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SÍ</w:t>
            </w:r>
          </w:p>
        </w:tc>
        <w:tc>
          <w:tcPr>
            <w:tcW w:type="dxa" w:w="191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pagadera en el año 0 (nómina de la fase de montaje)</w:t>
            </w:r>
          </w:p>
        </w:tc>
        <w:tc>
          <w:tcPr>
            <w:tcW w:type="dxa" w:w="216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 del período NO capitalizable y NO incluido en la inversión total: financia con caja del arranque. No es gasto previo capitalizable ni duplica el capital de trabajo.</w:t>
            </w:r>
          </w:p>
        </w:tc>
      </w:tr>
      <w:tr>
        <w:trPr>
          <w:cantSplit/>
        </w:trPr>
        <w:tc>
          <w:tcPr>
            <w:tcW w:type="dxa" w:w="25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Interés PAGADO del año 0</w:t>
            </w:r>
          </w:p>
        </w:tc>
        <w:tc>
          <w:tcPr>
            <w:tcW w:type="dxa" w:w="7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59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c>
          <w:tcPr>
            <w:tcW w:type="dxa" w:w="191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pagado en el año 0 según el calendario de deuda</w:t>
            </w:r>
          </w:p>
        </w:tc>
        <w:tc>
          <w:tcPr>
            <w:tcW w:type="dxa" w:w="216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 corriente de la deuda: salida de caja del arranque, no capitalizable. Solo computa si el calendario lo sitúa en el año 0.</w:t>
            </w:r>
          </w:p>
        </w:tc>
      </w:tr>
      <w:tr>
        <w:trPr>
          <w:cantSplit/>
        </w:trPr>
        <w:tc>
          <w:tcPr>
            <w:tcW w:type="dxa" w:w="25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DEVENGADO del año 0</w:t>
            </w:r>
          </w:p>
        </w:tc>
        <w:tc>
          <w:tcPr>
            <w:tcW w:type="dxa" w:w="765"/>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59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c>
          <w:tcPr>
            <w:tcW w:type="dxa" w:w="1914"/>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DEVENGADO según la regla contable; SUPUESTO del modelo simplificado: pagado en el mismo período (NO es un pago verificado: no existe calendario de pagos tributario)</w:t>
            </w:r>
          </w:p>
        </w:tc>
        <w:tc>
          <w:tcPr>
            <w:tcW w:type="dxa" w:w="216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Valor de una regla contable, no un pago observado. Con pérdidas de montaje la regla plana devuelve cero. Documentar el supuesto y su diferencia frente a un calendario tributario real.</w:t>
            </w:r>
          </w:p>
        </w:tc>
      </w:tr>
      <w:tr>
        <w:trPr>
          <w:cantSplit/>
        </w:trPr>
        <w:tc>
          <w:tcPr>
            <w:tcW w:type="dxa" w:w="258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Ingresos explícitos del año 0</w:t>
            </w:r>
          </w:p>
        </w:tc>
        <w:tc>
          <w:tcPr>
            <w:tcW w:type="dxa" w:w="765"/>
            <w:tcBorders>
              <w:bottom w:val="single" w:color="64748B" w:sz="8"/>
            </w:tcBorders>
            <w:tcMar>
              <w:top w:type="dxa" w:w="40"/>
              <w:left w:type="dxa" w:w="80"/>
              <w:bottom w:type="dxa" w:w="40"/>
              <w:right w:type="dxa" w:w="80"/>
            </w:tcMar>
          </w:tcPr>
          <w:p>
            <w:pPr>
              <w:jc w:val="right"/>
            </w:pPr>
            <w:r>
              <w:rPr>
                <w:rFonts w:ascii="Calibri" w:cs="Calibri" w:eastAsia="Calibri" w:hAnsi="Calibri"/>
                <w:b w:val="false"/>
                <w:bCs w:val="false"/>
                <w:color w:val="334155"/>
                <w:sz w:val="17"/>
                <w:szCs w:val="17"/>
              </w:rPr>
              <w:t xml:space="preserve">0,0</w:t>
            </w:r>
          </w:p>
        </w:tc>
        <w:tc>
          <w:tcPr>
            <w:tcW w:type="dxa" w:w="159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c>
          <w:tcPr>
            <w:tcW w:type="dxa" w:w="1914"/>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cobro supuesto en el mismo período</w:t>
            </w:r>
          </w:p>
        </w:tc>
        <w:tc>
          <w:tcPr>
            <w:tcW w:type="dxa" w:w="2169"/>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Reduce la necesidad de caja del arranque. No incluye ingresos de servicios de operación (año 0 = montaje sin servicios).</w:t>
            </w:r>
          </w:p>
        </w:tc>
      </w:tr>
    </w:tbl>
    <w:p>
      <w:pPr>
        <w:pStyle w:val="NotaTabla"/>
        <w:keepNext/>
        <w:keepLines/>
        <w:spacing w:after="80" w:before="200"/>
      </w:pPr>
      <w:r>
        <w:rPr>
          <w:rFonts w:ascii="Calibri" w:cs="Calibri" w:eastAsia="Calibri" w:hAnsi="Calibri"/>
          <w:b/>
          <w:bCs/>
          <w:color w:val="1E3A5F"/>
          <w:sz w:val="18"/>
          <w:szCs w:val="18"/>
        </w:rPr>
        <w:t xml:space="preserve">Tabla 21. Hallazgos del diagnóstico</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536"/>
        <w:gridCol w:w="2135"/>
        <w:gridCol w:w="2562"/>
        <w:gridCol w:w="1793"/>
      </w:tblGrid>
      <w:tr>
        <w:trPr>
          <w:cantSplit/>
          <w:tblHeader/>
        </w:trPr>
        <w:tc>
          <w:tcPr>
            <w:tcW w:type="dxa" w:w="253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Nivel</w:t>
            </w:r>
          </w:p>
        </w:tc>
        <w:tc>
          <w:tcPr>
            <w:tcW w:type="dxa" w:w="2135"/>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Código</w:t>
            </w:r>
          </w:p>
        </w:tc>
        <w:tc>
          <w:tcPr>
            <w:tcW w:type="dxa" w:w="2562"/>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Hallazgo</w:t>
            </w:r>
          </w:p>
        </w:tc>
        <w:tc>
          <w:tcPr>
            <w:tcW w:type="dxa" w:w="179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¿Afecta conclusiones?</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advertencia_importante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FINANCIACION_EXCESO</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Exceso de financiación sin asignar: 76,7 kUSD por encima de la inversión total. Verifique si corresponde a capital de trabajo adicional o ajuste las fuentes.</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advertencia_importante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DEFICIT_CAJA_PROYECTADA</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La tesorería proyectada (aportaciones fechadas + otras fuentes + desembolsos del crédito + flujos operativos - dividendos) es NEGATIVA en: año 2: faltan 396,8 kUSD (no cubiertas dentro del horizonte). Aunque la financiación total pueda cuadrar en el horizonte completo, las necesidades no están cubiertas cuando se producen: reprogramen desembolsos, amplié el capital de trabajo o declare el supuesto.</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SÍ</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advertencia_importante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NO_RECUPERACION</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La inversión total del proyecto no se recupera dentro del horizonte de 10 años con el flujo de caja del proyecto (FCFF). Amplíe el horizonte o revise los supuestos; no debe presentarse como recuperado.</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SÍ</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informacion_pendiente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NO_RECUPERACION_SOCIOS</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 capital aportado por los socios no se recupera dentro del horizonte de 10 años según el flujo de caja de los socios (FCFE). Si se presenta, debe decirse expresamente.</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observacion_calidad</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DEP_FUERA_HORIZONTE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 activo «Compresor de aire seco para uso estomatológico (recupera la conformidad técnica: el actual usa aceite)» (vida útil 17 años, disponible en el año 1) no termina de depreciarse dentro del horizonte de 10 años: quedará un valor neto en libros al final del análisis.</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observacion_calidad</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DEP_FUERA_HORIZONTE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 activo «Prensa hidráulica de estomatología (moderniza el proceso de prótesis)» (vida útil 17 años, disponible en el año 1) no termina de depreciarse dentro del horizonte de 10 años: quedará un valor neto en libros al final del análisis.</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observacion_calidad</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DEP_FUERA_HORIZONTE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 activo «Micromotor de mano (tecnología nueva para prótesis)» (vida útil 17 años, disponible en el año 1) no termina de depreciarse dentro del horizonte de 10 años: quedará un valor neto en libros al final del análisis.</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observacion_calidad</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DEP_FUERA_HORIZONTE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 activo «Eliminador de burbujas (calidad de prótesis)» (vida útil 17 años, disponible en el año 1) no termina de depreciarse dentro del horizonte de 10 años: quedará un valor neto en libros al final del análisis.</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observacion_calidad</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DEP_FUERA_HORIZONTE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El activo «Olla polimerizadora a presión (sustituye la cocción en microondas)» (vida útil 17 años, disponible en el año 1) no termina de depreciarse dentro del horizonte de 10 años: quedará un valor neto en libros al final del análisis.</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observacion_calidad</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INVERSION_CUP</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Existen partidas de inversión en CUP: se convierten con el tipo de cambio parametrizado. Verifique la tasa, la fecha de referencia y la fuente.</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advertencia_importante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PARTICIPACION_INCOHERENTE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La participación cubana parametrizada (50,0 %) difiere de la composición real de las aportaciones (16,2 %). Los dividendos se reparten con el parámetro, no con la composición.</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SÍ</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observacion_calidad</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ESCUDO_FISCAL_CLASE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Escudo fiscal — clasificación de la regla de impuestos activa: sin deuda. No hay intereses devengados en el horizonte (sin crédito o importe cero): el escudo fiscal es cero por definición y no se requiere reevaluación contrafactual.</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informacion_pendiente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PENDIENTE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Falta identificar al elaborador del plan (4.1): el campo está vacío o marcado como pendiente.</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informacion_pendiente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PENDIENTE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Falta la firma o identificación del elaborador (4.1).</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informacion_pendiente</w:t>
            </w:r>
          </w:p>
        </w:tc>
        <w:tc>
          <w:tcPr>
            <w:tcW w:type="dxa" w:w="2135"/>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PENDIENTE</w:t>
            </w:r>
          </w:p>
        </w:tc>
        <w:tc>
          <w:tcPr>
            <w:tcW w:type="dxa" w:w="256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La declaración de responsabilidad no ha sido aceptada (4.1): el documento NO está en condiciones de presentarse como definitivo.</w:t>
            </w:r>
          </w:p>
        </w:tc>
        <w:tc>
          <w:tcPr>
            <w:tcW w:type="dxa" w:w="179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r>
        <w:trPr>
          <w:cantSplit/>
        </w:trPr>
        <w:tc>
          <w:tcPr>
            <w:tcW w:type="dxa" w:w="253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informacion_pendiente</w:t>
            </w:r>
          </w:p>
        </w:tc>
        <w:tc>
          <w:tcPr>
            <w:tcW w:type="dxa" w:w="2135"/>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REFERENCIA_HIPOTESIS</w:t>
            </w:r>
          </w:p>
        </w:tc>
        <w:tc>
          <w:tcPr>
            <w:tcW w:type="dxa" w:w="2562"/>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 aportación(es) declaran una «referencia documental» que en realidad es una HIPÓTESIS de demostración (figuran como ficticia, ilustrativa, proforma o pendiente). Una referencia documental exigible debe identificar el documento, su emisor y su fecha, y adjuntar el soporte cuando corresponda.</w:t>
            </w:r>
          </w:p>
        </w:tc>
        <w:tc>
          <w:tcPr>
            <w:tcW w:type="dxa" w:w="179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w:t>
            </w:r>
          </w:p>
        </w:tc>
      </w:tr>
    </w:tbl>
    <w:p>
      <w:pPr>
        <w:pStyle w:val="NotaTexto"/>
        <w:spacing w:after="60" w:before="60" w:line="276"/>
        <w:jc w:val="both"/>
      </w:pPr>
      <w:r>
        <w:rPr>
          <w:rFonts w:ascii="Calibri" w:cs="Calibri" w:eastAsia="Calibri" w:hAnsi="Calibri"/>
          <w:color w:val="334155"/>
          <w:sz w:val="16"/>
          <w:szCs w:val="16"/>
        </w:rPr>
        <w:t xml:space="preserve">Los importes de los hallazgos derivados de las reglas del motor se expresan en kUSD (unidad nativa del motor); los del propio diagnóstico, en miles de CUP.</w:t>
      </w:r>
    </w:p>
    <w:p>
      <w:pPr>
        <w:pStyle w:val="Heading1"/>
        <w:pageBreakBefore/>
      </w:pPr>
      <w:bookmarkStart w:name="_Toc14" w:id="14"/>
      <w:r>
        <w:rPr>
          <w:rFonts w:ascii="Calibri" w:cs="Calibri" w:eastAsia="Calibri" w:hAnsi="Calibri"/>
          <w:b/>
          <w:bCs/>
          <w:color w:val="1E3A5F"/>
          <w:sz w:val="30"/>
          <w:szCs w:val="30"/>
        </w:rPr>
        <w:t xml:space="preserve">Notas, parámetros y supuestos del modelo</w:t>
      </w:r>
      <w:bookmarkEnd w:id="14"/>
    </w:p>
    <w:p>
      <w:pPr>
        <w:spacing w:after="60" w:before="60" w:line="276"/>
        <w:jc w:val="both"/>
      </w:pPr>
      <w:r>
        <w:rPr>
          <w:rFonts w:ascii="Calibri" w:cs="Calibri" w:eastAsia="Calibri" w:hAnsi="Calibri"/>
          <w:color w:val="334155"/>
          <w:sz w:val="20"/>
          <w:szCs w:val="20"/>
        </w:rPr>
        <w:t xml:space="preserve">Estilo editorial: PLANEX adopta un estilo de informe profesional basado en APA 7 para la jerarquía de títulos, numeración y notas de tablas y figuras, citas y referencias. El CUERPO NARRATIVO se presenta con texto justificado como convención editorial propia de PLANEX: el justificado NO se presenta como requisito de APA 7, que alinea el texto a la izquierda. Títulos, encabezados de tabla, etiquetas breves y celdas numéricas no se justifican: los conceptos se alinean a la izquierda y las cifras a la derecha, con unidades explícitas.</w:t>
      </w:r>
    </w:p>
    <w:p>
      <w:pPr>
        <w:pStyle w:val="NotaTabla"/>
        <w:keepNext/>
        <w:keepLines/>
        <w:spacing w:after="80" w:before="200"/>
      </w:pPr>
      <w:r>
        <w:rPr>
          <w:rFonts w:ascii="Calibri" w:cs="Calibri" w:eastAsia="Calibri" w:hAnsi="Calibri"/>
          <w:b/>
          <w:bCs/>
          <w:color w:val="1E3A5F"/>
          <w:sz w:val="18"/>
          <w:szCs w:val="18"/>
        </w:rPr>
        <w:t xml:space="preserve">Tabla 22. Parámetros de cálculo activos (Nivel A — editables en la aplicación)</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4226"/>
        <w:gridCol w:w="1357"/>
        <w:gridCol w:w="2400"/>
        <w:gridCol w:w="1043"/>
      </w:tblGrid>
      <w:tr>
        <w:trPr>
          <w:cantSplit/>
          <w:tblHeader/>
        </w:trPr>
        <w:tc>
          <w:tcPr>
            <w:tcW w:type="dxa" w:w="422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Parámetro</w:t>
            </w:r>
          </w:p>
        </w:tc>
        <w:tc>
          <w:tcPr>
            <w:tcW w:type="dxa" w:w="1357"/>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Valor</w:t>
            </w:r>
          </w:p>
        </w:tc>
        <w:tc>
          <w:tcPr>
            <w:tcW w:type="dxa" w:w="2400"/>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Naturaleza</w:t>
            </w:r>
          </w:p>
        </w:tc>
        <w:tc>
          <w:tcPr>
            <w:tcW w:type="dxa" w:w="104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Fecha ref.</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del impuesto sobre utilidades (demostrativa)</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Tipo de cambio (CUP por USD)</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120,0 CUP/USD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2026-10-25</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 interés anual del crédito</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8,0 %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Plazo de amortización del crédito</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5,0 años</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Período de gracia del crédito</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1,0 años</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Inflación prevista (costos variables unitarios de servicios)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Inflación de costos fijos (contratos nominales)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Crecimiento anual de precios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Variación anual del volumen (demanda)</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Crecimiento anual de salarios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administrativos (% de los ingresos)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Mantenimiento (% de la inversión fija)</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Factor de costo laboral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Participación de la parte cubana en el capital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50,0 %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Reparto de dividendos (% de la utilidad distribuible)</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100,0 %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Reserva sobre la base distribuible acumulada</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16,0 %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Recuperación del capital de trabajo al cierre</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Servicios públicos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 anual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gastos fijos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Monto del crédito externo</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Otras fuentes de financiamiento</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Capital de trabajo inicial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Aranceles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impuestos y tasas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5,7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Royalties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ingresos anuales al país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Umbral de utilización de recursos (análisis)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90,0 %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r>
        <w:trPr>
          <w:cantSplit/>
        </w:trPr>
        <w:tc>
          <w:tcPr>
            <w:tcW w:type="dxa" w:w="422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Umbral de margen de contribución mínimo (análisis)</w:t>
            </w:r>
          </w:p>
        </w:tc>
        <w:tc>
          <w:tcPr>
            <w:tcW w:type="dxa" w:w="1357"/>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15,0 %</w:t>
            </w:r>
          </w:p>
        </w:tc>
        <w:tc>
          <w:tcPr>
            <w:tcW w:type="dxa" w:w="2400"/>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Definido por el usuario</w:t>
            </w:r>
          </w:p>
        </w:tc>
        <w:tc>
          <w:tcPr>
            <w:tcW w:type="dxa" w:w="104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r>
    </w:tbl>
    <w:p>
      <w:pPr>
        <w:pStyle w:val="NotaTabla"/>
        <w:keepNext/>
        <w:keepLines/>
        <w:spacing w:after="80" w:before="200"/>
      </w:pPr>
      <w:r>
        <w:rPr>
          <w:rFonts w:ascii="Calibri" w:cs="Calibri" w:eastAsia="Calibri" w:hAnsi="Calibri"/>
          <w:b/>
          <w:bCs/>
          <w:color w:val="1E3A5F"/>
          <w:sz w:val="18"/>
          <w:szCs w:val="18"/>
        </w:rPr>
        <w:t xml:space="preserve">Tabla 23. Alcance documentado de cada parámetro financiero (partidas afectadas derivadas de las reglas activas)</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083"/>
        <w:gridCol w:w="1543"/>
        <w:gridCol w:w="1543"/>
        <w:gridCol w:w="771"/>
        <w:gridCol w:w="1543"/>
        <w:gridCol w:w="1543"/>
      </w:tblGrid>
      <w:tr>
        <w:trPr>
          <w:cantSplit/>
          <w:tblHeader/>
        </w:trPr>
        <w:tc>
          <w:tcPr>
            <w:tcW w:type="dxa" w:w="208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Parámetro</w:t>
            </w:r>
          </w:p>
        </w:tc>
        <w:tc>
          <w:tcPr>
            <w:tcW w:type="dxa" w:w="154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Partidas que afecta</w:t>
            </w:r>
          </w:p>
        </w:tc>
        <w:tc>
          <w:tcPr>
            <w:tcW w:type="dxa" w:w="154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Fórmula/regla activa</w:t>
            </w:r>
          </w:p>
        </w:tc>
        <w:tc>
          <w:tcPr>
            <w:tcW w:type="dxa" w:w="771"/>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Ámbito</w:t>
            </w:r>
          </w:p>
        </w:tc>
        <w:tc>
          <w:tcPr>
            <w:tcW w:type="dxa" w:w="154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Efecto</w:t>
            </w:r>
          </w:p>
        </w:tc>
        <w:tc>
          <w:tcPr>
            <w:tcW w:type="dxa" w:w="1543"/>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Redondeo</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del impuesto sobre utilidades (demostrativa)</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(regla demostrativa) (impuesto_utilidades_k)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impuesto_utilidades_k = IF(PERIODO &gt;= 8, MAX(0, utilidad_antes_impuestos_k * tasa_impuesto_utilidades),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Tipo de cambio (CUP por USD)</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previos (USD) (gastos_previos_k) · Inversión fija en CUP convertida (inversion_fija_cup_k) · Costo laboral (costo_laboral_k)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gastos_previos_k = SUMA_INVERSIONES(IF(AND(categoria_inv = "gastos_previos", moneda_inv = "USD"), monto_inv, 0)) + SUMA_INVERSIONES(IF(AND(categoria_inv = "gastos_previos", moneda_inv = "CUP"), monto_inv, 0)) / tipo_cambio · inversion_fija_cup_k = SUMA_INVERSIONES(IF(AND(categoria_inv = "inversion_fija", moneda_inv = "CUP"), monto_inv, 0)) / tipo_cambio · costo_laboral_k = costo_laboral_cup / tipo_cambio / 1000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proyecto · 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presentación documental y la conversión entre monedas, no los datos de origen</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 interés anual del crédito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Plazo de amortización del crédito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Período de gracia del crédito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Inflación prevista (costos variables unitarios de servicios)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 variable unitario proyectado (srv_costo_unitario_proy)</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srv_costo_unitario_proy = costo_variable_unitario * (1 + inflacion) ^ MAX(0, PERIODO - 1)</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Inflación de costos fijos (contratos nominales)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 (años de operación) (canon_k) · Servicios públicos (años de operación) (servicios_publicos_k) · Otros gastos fijos (años de operación) (otros_gastos_k) · Otros impuestos y tasas (años de operación) (otros_impuestos_k) · Aranceles (años de operación) (aranceles_k) · Royalties (años de operación) (royalties_k)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canon_k = IF(PERIODO &gt;= 1, canon_anual_k * (1 + inflacion_costos_fijos) ^ MAX(0, PERIODO - 1), 0) · servicios_publicos_k = IF(PERIODO &gt;= 1, servicios_publicos_anual_k * (1 + inflacion_costos_fijos) ^ MAX(0, PERIODO - 1), 0) · otros_gastos_k = IF(PERIODO &gt;= 1, otros_gastos_fijos_k * (1 + inflacion_costos_fijos) ^ MAX(0, PERIODO - 1), 0) · otros_impuestos_k = IF(PERIODO &gt;= 1, otros_impuestos_anual_k * (1 + inflacion_costos_fijos) ^ MAX(0, PERIODO - 1), 0) · aranceles_k = IF(PERIODO &gt;= 1, aranceles_anual_k * (1 + inflacion_costos_fijos) ^ MAX(0, PERIODO - 1), 0) · royalties_k = IF(PERIODO &gt;= 1, royalties_anual_k * (1 + inflacion_costos_fijos) ^ MAX(0, PERIODO - 1),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Crecimiento anual de precios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Precio proyectado del servicio (srv_precio_proy)</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srv_precio_proy = precio_base * (1 + crecimiento_precios) ^ MAX(0, PERIODO - 1)</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Variación anual del volumen (demanda)</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Demanda mensual prevista (srv_cantidad_mensual_proy)</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srv_cantidad_mensual_proy = IF(PERIODO &gt;= anio_inicio_demanda, cantidad_base_mensual * (1 + crecimiento_volumen) ^ MAX(0, PERIODO - anio_inicio_demanda),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Crecimiento anual de salarios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Salario anual proyectado (salario_anual_proy)</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salario_anual_proy = salario_promedio_anual * (1 + crecimiento_salarios) ^ MAX(0, PERIODO - 1)</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personal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administrativos (% de los ingresos)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 administrativos (gastos_admin_k)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gastos_admin_k = pct_gastos_admin * ingresos_totales_k</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Mantenimiento (% de la inversión fija)</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Mantenimiento (años de operación) (mantenimiento_k)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mantenimiento_k = IF(PERIODO &gt;= 1, pct_mantenimiento * inversion_fija_k,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Factor de costo laboral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 laboral en CUP (costo_laboral_cup)</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costo_laboral_cup = SUMA_PERSONAL(cantidad * salario_anual_proy) * factor_costo_laboral</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Participación de la parte cubana en el capital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Reparto de dividendos (% de la utilidad distribuible)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Reserva sobre la base distribuible acumulada</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Recuperación del capital de trabajo al cierre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Servicios públicos anuales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Servicios públicos (años de operación) (servicios_publicos_k)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servicios_publicos_k = IF(PERIODO &gt;= 1, servicios_publicos_anual_k * (1 + inflacion_costos_fijos) ^ MAX(0, PERIODO - 1),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 anual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 (años de operación) (canon_k)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canon_k = IF(PERIODO &gt;= 1, canon_anual_k * (1 + inflacion_costos_fijos) ^ MAX(0, PERIODO - 1),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gastos fijos anuales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gastos fijos (años de operación) (otros_gastos_k)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otros_gastos_k = IF(PERIODO &gt;= 1, otros_gastos_fijos_k * (1 + inflacion_costos_fijos) ^ MAX(0, PERIODO - 1),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Monto del crédito externo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Financiación disponible (financiacion_disponible_k)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financiacion_disponible_k = aportaciones_total_k + otras_fuentes_k + credito_monto_k</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proyecto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Otras fuentes de financiamiento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Financiación disponible (financiacion_disponible_k) · Necesidad de financiación (necesidad_financiacion_k)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financiacion_disponible_k = aportaciones_total_k + otras_fuentes_k + credito_monto_k · necesidad_financiacion_k = inversion_total_k - aportaciones_total_k - otras_fuentes_k</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proyecto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Capital de trabajo inicial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Costo total de la inversión inicial (inversion_total_k)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inversion_total_k = gastos_previos_k + inversion_fija_k + capital_trabajo_k</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proyecto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la caja (flujo de financiación/distribución), no el estado de resultados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Aranceles anuales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Aranceles (años de operación) (aranceles_k)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aranceles_k = IF(PERIODO &gt;= 1, aranceles_anual_k * (1 + inflacion_costos_fijos) ^ MAX(0, PERIODO - 1),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impuestos y tasas anuales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impuestos y tasas (años de operación) (otros_impuestos_k)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otros_impuestos_k = IF(PERIODO &gt;= 1, otros_impuestos_anual_k * (1 + inflacion_costos_fijos) ^ MAX(0, PERIODO - 1),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Royalties anuales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Royalties (años de operación) (royalties_k)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royalties_k = IF(PERIODO &gt;= 1, royalties_anual_k * (1 + inflacion_costos_fijos) ^ MAX(0, PERIODO - 1),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ingresos anuales al país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 ingresos al país (años de operación) (otros_beneficios_pais_k)</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otros_beneficios_pais_k = IF(PERIODO &gt;= 1, otros_beneficios_pais_anual_k, 0)</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anio</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Afecta el estado de resultados y la caja (ambos)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Umbral de utilización de recursos (análisis)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 interviene en el cálculo: califica los análisis y alertas</w:t>
            </w:r>
          </w:p>
        </w:tc>
        <w:tc>
          <w:tcPr>
            <w:tcW w:type="dxa" w:w="1543"/>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r>
        <w:trPr>
          <w:cantSplit/>
        </w:trPr>
        <w:tc>
          <w:tcPr>
            <w:tcW w:type="dxa" w:w="208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Umbral de margen de contribución mínimo (análisis)</w:t>
            </w:r>
          </w:p>
        </w:tc>
        <w:tc>
          <w:tcPr>
            <w:tcW w:type="dxa" w:w="154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(ninguna partida activa lo referencia: parámetro informativo o sin uso actual)</w:t>
            </w:r>
          </w:p>
        </w:tc>
        <w:tc>
          <w:tcPr>
            <w:tcW w:type="dxa" w:w="154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771"/>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54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 interviene en el cálculo: califica los análisis y alertas</w:t>
            </w:r>
          </w:p>
        </w:tc>
        <w:tc>
          <w:tcPr>
            <w:tcW w:type="dxa" w:w="1543"/>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Precisión interna completa; el redondeo es solo de presentación (un decimal al formatear)</w:t>
            </w:r>
          </w:p>
        </w:tc>
      </w:tr>
    </w:tbl>
    <w:p>
      <w:pPr>
        <w:pStyle w:val="NotaTexto"/>
        <w:spacing w:after="60" w:before="60" w:line="276"/>
        <w:jc w:val="both"/>
      </w:pPr>
      <w:r>
        <w:rPr>
          <w:rFonts w:ascii="Calibri" w:cs="Calibri" w:eastAsia="Calibri" w:hAnsi="Calibri"/>
          <w:color w:val="334155"/>
          <w:sz w:val="16"/>
          <w:szCs w:val="16"/>
        </w:rPr>
        <w:t xml:space="preserve">El alcance anterior se DERIVA de las reglas activas del propio proyecto: si un parámetro no referencia la partida que usted cree, es que no la afecta (p. ej., la inflación de costos variables no indexa el canon ni los servicios públicos, que se rigen por el parámetro de inflación de costos fijos, 0 % por defecto = contratos nominales fijos). Ningún parámetro genérico sugiere que se ha indexado una partida a la que en realidad no se aplica.</w:t>
      </w:r>
    </w:p>
    <w:p>
      <w:pPr>
        <w:pStyle w:val="NotaTabla"/>
        <w:keepNext/>
        <w:keepLines/>
        <w:spacing w:after="80" w:before="200"/>
      </w:pPr>
      <w:r>
        <w:rPr>
          <w:rFonts w:ascii="Calibri" w:cs="Calibri" w:eastAsia="Calibri" w:hAnsi="Calibri"/>
          <w:b/>
          <w:bCs/>
          <w:color w:val="1E3A5F"/>
          <w:sz w:val="18"/>
          <w:szCs w:val="18"/>
        </w:rPr>
        <w:t xml:space="preserve">Tabla 24. Trazabilidad de fuentes y supuestos (normas oficiales / referencias legales / cotizaciones / datos del usuario / hipótesis ilustrativas)</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196"/>
        <w:gridCol w:w="1409"/>
        <w:gridCol w:w="1626"/>
        <w:gridCol w:w="542"/>
        <w:gridCol w:w="1626"/>
        <w:gridCol w:w="1626"/>
      </w:tblGrid>
      <w:tr>
        <w:trPr>
          <w:cantSplit/>
          <w:tblHeader/>
        </w:trPr>
        <w:tc>
          <w:tcPr>
            <w:tcW w:type="dxa" w:w="219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Fuente</w:t>
            </w:r>
          </w:p>
        </w:tc>
        <w:tc>
          <w:tcPr>
            <w:tcW w:type="dxa" w:w="1409"/>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Tipo</w:t>
            </w:r>
          </w:p>
        </w:tc>
        <w:tc>
          <w:tcPr>
            <w:tcW w:type="dxa" w:w="162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Emisor</w:t>
            </w:r>
          </w:p>
        </w:tc>
        <w:tc>
          <w:tcPr>
            <w:tcW w:type="dxa" w:w="542"/>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Fecha/Ref.</w:t>
            </w:r>
          </w:p>
        </w:tc>
        <w:tc>
          <w:tcPr>
            <w:tcW w:type="dxa" w:w="162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Qué respalda</w:t>
            </w:r>
          </w:p>
        </w:tc>
        <w:tc>
          <w:tcPr>
            <w:tcW w:type="dxa" w:w="1626"/>
            <w:tcBorders>
              <w:top w:val="single" w:color="64748B" w:sz="8"/>
              <w:bottom w:val="single" w:color="94A3B8" w:sz="4"/>
            </w:tcBorders>
            <w:shd w:fill="EEF2F7" w:color="auto" w:val="clear"/>
            <w:tcMar>
              <w:top w:type="dxa" w:w="40"/>
              <w:left w:type="dxa" w:w="80"/>
              <w:bottom w:type="dxa" w:w="40"/>
              <w:right w:type="dxa" w:w="80"/>
            </w:tcMar>
          </w:tcPr>
          <w:p>
            <w:pPr>
              <w:jc w:val="left"/>
            </w:pPr>
            <w:r>
              <w:rPr>
                <w:rFonts w:ascii="Calibri" w:cs="Calibri" w:eastAsia="Calibri" w:hAnsi="Calibri"/>
                <w:b/>
                <w:bCs/>
                <w:color w:val="1E3A5F"/>
                <w:sz w:val="17"/>
                <w:szCs w:val="17"/>
              </w:rPr>
              <w:t xml:space="preserve">Estado</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Bases Metodológicas — Resolución 78/2026, Gaceta Oficial GOC-2026-O57</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Norma oficial</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Ministerio de Economía y Planificación / Gaceta Oficial de la República de Cuba</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09/07/2026</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Estructura metodológica 4.1–4.12, unidades y contenido requeridos del plan de negocios (incluidos los desgloses por canal y los indicadores de beneficios directos al país).</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Estructura APLICADA por la aplicación; el cumplimiento del CONTENIDO depende de los datos del plan y de sus validaciones.</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Ley 118/2014 «Ley de la Inversión Extranjera» y Decreto-Ley 335/2018 (según la modalidad declarada en 4.5)</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 legal declarada</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Asamblea Nacional del Poder Popular / Consejo de Estado (referencia declarada por el usuario)</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Modalidad de la inversión extranjera declarada en el apartado 4.5.</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 legal declarada: la aplicabilidad al proyecto concreto REQUIERE verificación jurídica documentada (el plan no acredita su cumplimiento).</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Tipo de cambio 120,0 CUP por USD (parámetro «tipo_cambio»)</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Cotización / tasa</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Documental (H-025): lista de precios de CSMC «A TASA DE 1*120» (F02/F08 p. 23) y precios por caso en USD de F09 (TPR 80,00; blanqueamiento 150,00) que equivalen a los CUP ÷ 120. CONTRADICCIÓN REGISTRADA (C-01): los encabezados del expediente usan 1×24; decisión de tasa a cargo del promotor con sustento normativo (V-07).</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2026-10-25</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Conversión de salarios (CUP-&gt;USD), partidas de inversión en CUP y presentación dual del documento.</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definida por el usuario: verifique su fuente oficial y fecha de vigencia.</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Tasa de impuesto sobre utilidades 15,0 % (parámetro «tasa_impuesto_utilidades»)</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Dato del usuario</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Expediente (H-033): el EERR aplica 15 % solo en los años 8–10; SIN base legal citada (brecha B-16, validación V-05).</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Impuesto sobre utilidades y, a través de él, utilidad neta, FCFF/FCFE (vía escudo fiscal), recuperaciones, dividendos y beneficios al país.</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Definida por el usuario: exija la norma tributaria aplicable y su vigencia.</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Aportación ap-cu-ef — Efectivo de CSMC: 1 600,0 miles de CUP (H-026; F02/F08 p. 1) = 13,33 kUSD a la tasa 120 del modelo (H-025). Destino documentado: salarios de preapertura y arrendamiento en preapertura y primeros 6 meses (F02). [El expediente lo expresa como 66,7 «USD» usando su tasa 24: véase C-01.]</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Dato del usuario</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Socio nacional</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Aporte de 13,3 kUSD al capital social.</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 declarada por el usuario: verifique el documento identificable y su soporte.</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Aportación ap-ex-ac — Insumos y material gastable (stock de 6 meses): cotización F03, total 63 581,30 USD (H-027/H-029) = 1 526,0 miles de CUP a la tasa 24 que declara el expediente (conciliado).</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Dato del usuario</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Socio extranjero</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Aporte de 63,6 kUSD al capital social.</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 declarada por el usuario: verifique el documento identificable y su soporte.</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Aportación ap-ex-af — Cinco equipos de tecnología estomatológica: cotización F06, total 5 274,00 USD (H-021) = 126,6 miles de CUP a la tasa 24 del expediente. [El escáner intraoral 3D cotizado en F02 (12 035,00 USD) NO está incluido: decisión pendiente, contradicción C-08 / brecha B-07.]</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HIPÓTESIS ilustrativa</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Socio extranjero</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Aporte de 5,3 kUSD al capital social.</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Referencia NO identificable (vacía, ficticia, proforma o pendiente): no cuenta como respaldo validado; adjunte el instrumento identificable (título, emisor, fecha).</w:t>
            </w:r>
          </w:p>
        </w:tc>
      </w:tr>
      <w:tr>
        <w:trPr>
          <w:cantSplit/>
        </w:trPr>
        <w:tc>
          <w:tcPr>
            <w:tcW w:type="dxa" w:w="219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Demanda solvente, captación y precios de servicios (apartados 4.6 y 4.8)</w:t>
            </w:r>
          </w:p>
        </w:tc>
        <w:tc>
          <w:tcPr>
            <w:tcW w:type="dxa" w:w="1409"/>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Dato del usuario</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Sin método de estimación documentado. La valoración recomienda el estudio de factibilidad con las estadísticas de 2019 como año pre-crisis (F02); F09 aporta referencias anecdóticas de demanda represada. La app exige documentar fuentes y fechas: ninguna estimación de mercado se incorpora como dato.</w:t>
            </w:r>
          </w:p>
        </w:tc>
        <w:tc>
          <w:tcPr>
            <w:tcW w:type="dxa" w:w="542"/>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Volumen de servicios, ingresos por línea y desglose por canales.</w:t>
            </w:r>
          </w:p>
        </w:tc>
        <w:tc>
          <w:tcPr>
            <w:tcW w:type="dxa" w:w="1626"/>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Estimación del usuario/hipótesis ilustrativa: sin estudio de mercado verificable, la demanda NO debe presentarse como dato validado.</w:t>
            </w:r>
          </w:p>
        </w:tc>
      </w:tr>
      <w:tr>
        <w:trPr>
          <w:cantSplit/>
        </w:trPr>
        <w:tc>
          <w:tcPr>
            <w:tcW w:type="dxa" w:w="219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Requisitos regulatorios declarados (apartado 4.8)</w:t>
            </w:r>
          </w:p>
        </w:tc>
        <w:tc>
          <w:tcPr>
            <w:tcW w:type="dxa" w:w="1409"/>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Dato del usuario</w:t>
            </w:r>
          </w:p>
        </w:tc>
        <w:tc>
          <w:tcPr>
            <w:tcW w:type="dxa" w:w="162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Usuario del plan</w:t>
            </w:r>
          </w:p>
        </w:tc>
        <w:tc>
          <w:tcPr>
            <w:tcW w:type="dxa" w:w="542"/>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w:t>
            </w:r>
          </w:p>
        </w:tc>
        <w:tc>
          <w:tcPr>
            <w:tcW w:type="dxa" w:w="162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Requisitos legales, sanitarios y ambientales identificados.</w:t>
            </w:r>
          </w:p>
        </w:tc>
        <w:tc>
          <w:tcPr>
            <w:tcW w:type="dxa" w:w="1626"/>
            <w:tcBorders>
              <w:bottom w:val="single" w:color="64748B" w:sz="8"/>
            </w:tcBorders>
            <w:tcMar>
              <w:top w:type="dxa" w:w="40"/>
              <w:left w:type="dxa" w:w="80"/>
              <w:bottom w:type="dxa" w:w="40"/>
              <w:right w:type="dxa" w:w="80"/>
            </w:tcMar>
          </w:tcPr>
          <w:p>
            <w:pPr>
              <w:jc w:val="left"/>
            </w:pPr>
            <w:r>
              <w:rPr>
                <w:rFonts w:ascii="Calibri" w:cs="Calibri" w:eastAsia="Calibri" w:hAnsi="Calibri"/>
                <w:b w:val="false"/>
                <w:bCs w:val="false"/>
                <w:color w:val="334155"/>
                <w:sz w:val="17"/>
                <w:szCs w:val="17"/>
              </w:rPr>
              <w:t xml:space="preserve">LISTADO no verificado: cada autorización exige evidencia externa comprobable (número, emisor, fecha y estado de aprobación). La aplicación NO declara su cumplimiento.</w:t>
            </w:r>
          </w:p>
        </w:tc>
      </w:tr>
    </w:tbl>
    <w:p>
      <w:pPr>
        <w:spacing w:after="60" w:before="60" w:line="276"/>
        <w:jc w:val="both"/>
      </w:pPr>
      <w:r>
        <w:rPr>
          <w:rFonts w:ascii="Calibri" w:cs="Calibri" w:eastAsia="Calibri" w:hAnsi="Calibri"/>
          <w:color w:val="334155"/>
          <w:sz w:val="20"/>
          <w:szCs w:val="20"/>
        </w:rPr>
        <w:t xml:space="preserve">Reglas de cálculo activas (Nivel B): fórmulas completas, ámbito y equivalencias Excel pueden consultarse en «Configuración de cálculos» de la aplicación y en la hoja «Reglas» del libro exportado. Las variables del motor (mtr_*) provienen de las hojas Depreciacion, Deuda, FlujosCaja, Dividendos y Capacidad. La regla del impuesto sobre utilidades es demostrativa y editable: no constituye la tasa legal aplicable.</w:t>
      </w:r>
    </w:p>
    <w:p>
      <w:pPr>
        <w:spacing w:after="60" w:before="60" w:line="276"/>
        <w:jc w:val="both"/>
      </w:pPr>
      <w:r>
        <w:rPr>
          <w:rFonts w:ascii="Calibri" w:cs="Calibri" w:eastAsia="Calibri" w:hAnsi="Calibri"/>
          <w:color w:val="334155"/>
          <w:sz w:val="20"/>
          <w:szCs w:val="20"/>
        </w:rPr>
        <w:t xml:space="preserve">Redondeo: los cálculos usan precisión interna completa y el redondeo es solo de presentación (miles de CUP con un decimal); pequeñas diferencias con la suma visual de cifras redondeadas se explican por este motivo de forma uniforme.</w:t>
      </w:r>
    </w:p>
    <w:p>
      <w:pPr>
        <w:spacing w:after="60" w:before="60" w:line="276"/>
        <w:jc w:val="both"/>
      </w:pPr>
      <w:r>
        <w:rPr>
          <w:rFonts w:ascii="Calibri" w:cs="Calibri" w:eastAsia="Calibri" w:hAnsi="Calibri"/>
          <w:color w:val="334155"/>
          <w:sz w:val="20"/>
          <w:szCs w:val="20"/>
        </w:rPr>
        <w:t xml:space="preserve">Moneda de presentación del documento: CUP. Conversión aplicada una sola vez desde la moneda de origen de cada importe con el tipo de cambio parametrizado de 120,0 CUP por USD (fecha de referencia: 2026-10-25); fuente: Documental (H-025): lista de precios de CSMC «A TASA DE 1*120» (F02/F08 p. 23) y precios por caso en USD de F09 (TPR 80,00; blanqueamiento 150,00) que equivalen a los CUP ÷ 120. CONTRADICCIÓN REGISTRADA (C-01): los encabezados del expediente usan 1×24; decisión de tasa a cargo del promotor con sustento normativo (V-07).. Los porcentajes, cantidades físicas, plantillas, horas y períodos no se convierten; los salarios se expresan en CUP conforme a la metodología 4.9. El redondeo es solo de presentación: los totales se calculan con precisión completa y pueden diferir de la suma de cifras redondeadas.</w:t>
      </w:r>
    </w:p>
    <w:p>
      <w:pPr>
        <w:pStyle w:val="NotaTexto"/>
        <w:spacing w:after="60" w:before="60" w:line="276"/>
        <w:jc w:val="both"/>
      </w:pPr>
      <w:r>
        <w:rPr>
          <w:rFonts w:ascii="Calibri" w:cs="Calibri" w:eastAsia="Calibri" w:hAnsi="Calibri"/>
          <w:color w:val="334155"/>
          <w:sz w:val="16"/>
          <w:szCs w:val="16"/>
        </w:rPr>
        <w:t xml:space="preserve">Figuras: las figuras de este informe se generan localmente desde los mismos datos que alimentan las tablas (motor de cálculo activo), sin servicios externos; cada figura lleva número, título, unidades, leyenda y nota de fuentes y supuestos, y es referida desde el texto. Las limitaciones de paginación entre PDF y Word existen, pero los contenidos, cifras, tablas, títulos, fórmulas y figuras coinciden entre ambos formatos.</w:t>
      </w:r>
    </w:p>
    <w:sectPr>
      <w:headerReference w:type="default" r:id="rId20"/>
      <w:footerReference w:type="default" r:id="rId21"/>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Centro Estomatológico Internacional Holguín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3A5F"/>
      <w:sz w:val="30"/>
      <w:szCs w:val="30"/>
    </w:rPr>
  </w:style>
  <w:style w:type="paragraph" w:styleId="Heading2">
    <w:name w:val="Heading 2"/>
    <w:basedOn w:val="Normal"/>
    <w:next w:val="Normal"/>
    <w:qFormat/>
    <w:rPr>
      <w:rFonts w:ascii="Calibri" w:cs="Calibri" w:eastAsia="Calibri" w:hAnsi="Calibri"/>
      <w:b/>
      <w:bCs/>
      <w:color w:val="1E3A5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NotaTabla">
    <w:name w:val="Nota de tabla"/>
    <w:basedOn w:val="Normal"/>
    <w:rPr>
      <w:rFonts w:ascii="Calibri" w:cs="Calibri" w:eastAsia="Calibri" w:hAnsi="Calibri"/>
      <w:color w:val="1E3A5F"/>
    </w:rPr>
  </w:style>
  <w:style w:type="paragraph" w:styleId="NotaTexto">
    <w:name w:val="Texto de nota"/>
    <w:basedOn w:val="Normal"/>
    <w:rPr>
      <w:rFonts w:ascii="Calibri" w:cs="Calibri" w:eastAsia="Calibri" w:hAnsi="Calibri"/>
      <w:color w:val="64748B"/>
      <w:sz w:val="16"/>
      <w:szCs w:val="16"/>
    </w:rPr>
  </w:style>
  <w:style w:type="paragraph" w:styleId="AnalisisPlanex">
    <w:name w:val="Análisis PLANEX"/>
    <w:basedOn w:val="Normal"/>
    <w:rPr>
      <w:rFonts w:ascii="Calibri" w:cs="Calibri" w:eastAsia="Calibri" w:hAnsi="Calibri"/>
    </w:rPr>
  </w:style>
  <w:style w:type="paragraph" w:styleId="AnalisisCuerpo">
    <w:name w:val="Cuerpo de análisis PLANEX"/>
    <w:basedOn w:val="Normal"/>
    <w:rPr>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theme" Target="theme/theme1.xml"/><Relationship Id="rId23" Type="http://schemas.openxmlformats.org/officeDocument/2006/relationships/image" Target="media/d1942f3304ab5698d233bfcdf31d985c64490ef0.png"/><Relationship Id="rId24" Type="http://schemas.openxmlformats.org/officeDocument/2006/relationships/image" Target="media/537aed1bb4d1b7700ff6e19c0e1ba615a4bb0bfe.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Estomatológico Internacional Holguín — Plan de Negocios</dc:title>
  <dc:creator>PLANEX Cuba</dc:creator>
  <dc:description>Documento generado por PLANEX Cuba. Moneda de presentación: CUP.</dc:description>
  <cp:lastModifiedBy>Un-named</cp:lastModifiedBy>
  <cp:revision>1</cp:revision>
  <dcterms:created xsi:type="dcterms:W3CDTF">2026-10-27T11:58:58.165Z</dcterms:created>
  <dcterms:modified xsi:type="dcterms:W3CDTF">2026-10-27T11:58:58.165Z</dcterms:modified>
</cp:coreProperties>
</file>

<file path=docProps/custom.xml><?xml version="1.0" encoding="utf-8"?>
<Properties xmlns="http://schemas.openxmlformats.org/officeDocument/2006/custom-properties" xmlns:vt="http://schemas.openxmlformats.org/officeDocument/2006/docPropsVTypes"/>
</file>