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Calibri" w:cs="Calibri" w:eastAsia="Calibri" w:hAnsi="Calibri"/>
          <w:b/>
          <w:bCs/>
          <w:color w:val="1E3A5F"/>
          <w:sz w:val="52"/>
          <w:szCs w:val="52"/>
        </w:rPr>
        <w:t xml:space="preserve">CONSULTAS AL PROMOTOR</w:t>
      </w:r>
    </w:p>
    <w:p>
      <w:pPr>
        <w:spacing w:after="80"/>
        <w:jc w:val="center"/>
      </w:pPr>
      <w:r>
        <w:rPr>
          <w:rFonts w:ascii="Calibri" w:cs="Calibri" w:eastAsia="Calibri" w:hAnsi="Calibri"/>
          <w:color w:val="334155"/>
          <w:sz w:val="22"/>
          <w:szCs w:val="22"/>
        </w:rPr>
        <w:t xml:space="preserve">Supuestos adoptados, dudas y pendientes para concluir el plan de negocios</w:t>
      </w:r>
    </w:p>
    <w:p>
      <w:pPr>
        <w:spacing w:after="400"/>
        <w:jc w:val="center"/>
      </w:pPr>
      <w:r>
        <w:rPr>
          <w:rFonts w:ascii="Calibri" w:cs="Calibri" w:eastAsia="Calibri" w:hAnsi="Calibri"/>
          <w:color w:val="64748B"/>
          <w:sz w:val="17"/>
          <w:szCs w:val="17"/>
        </w:rPr>
        <w:t xml:space="preserve">PLANEX Cuba — expediente real en evaluación preliminar</w:t>
      </w:r>
    </w:p>
    <w:p>
      <w:pPr>
        <w:spacing w:after="120"/>
        <w:jc w:val="center"/>
      </w:pPr>
      <w:r>
        <w:rPr>
          <w:rFonts w:ascii="Calibri" w:cs="Calibri" w:eastAsia="Calibri" w:hAnsi="Calibri"/>
          <w:b/>
          <w:bCs/>
          <w:color w:val="334155"/>
          <w:sz w:val="34"/>
          <w:szCs w:val="34"/>
        </w:rPr>
        <w:t xml:space="preserve">Centro Estomatológico Internacional Holguín</w:t>
      </w:r>
    </w:p>
    <w:p>
      <w:pPr>
        <w:spacing w:after="300"/>
        <w:jc w:val="center"/>
      </w:pPr>
      <w:r>
        <w:rPr>
          <w:rFonts w:ascii="Calibri" w:cs="Calibri" w:eastAsia="Calibri" w:hAnsi="Calibri"/>
          <w:color w:val="64748B"/>
          <w:sz w:val="21"/>
          <w:szCs w:val="21"/>
        </w:rPr>
        <w:t xml:space="preserve">Asociación Económica Internacional (CSMC, S.A. + Leisure Exporting LLC) — provincia de Holguín</w:t>
      </w:r>
    </w:p>
    <w:p>
      <w:pPr>
        <w:spacing w:after="50"/>
        <w:jc w:val="center"/>
      </w:pPr>
      <w:r>
        <w:rPr>
          <w:rFonts w:ascii="Calibri" w:cs="Calibri" w:eastAsia="Calibri" w:hAnsi="Calibri"/>
          <w:b/>
          <w:bCs/>
          <w:color w:val="334155"/>
          <w:sz w:val="19"/>
          <w:szCs w:val="19"/>
        </w:rPr>
        <w:t xml:space="preserve">Consultas al promotor: </w:t>
      </w:r>
      <w:r>
        <w:rPr>
          <w:rFonts w:ascii="Calibri" w:cs="Calibri" w:eastAsia="Calibri" w:hAnsi="Calibri"/>
          <w:color w:val="334155"/>
          <w:sz w:val="19"/>
          <w:szCs w:val="19"/>
        </w:rPr>
        <w:t xml:space="preserve">28 (críticas: 6)</w:t>
      </w:r>
    </w:p>
    <w:p>
      <w:pPr>
        <w:spacing w:after="50"/>
        <w:jc w:val="center"/>
      </w:pPr>
      <w:r>
        <w:rPr>
          <w:rFonts w:ascii="Calibri" w:cs="Calibri" w:eastAsia="Calibri" w:hAnsi="Calibri"/>
          <w:b/>
          <w:bCs/>
          <w:color w:val="334155"/>
          <w:sz w:val="19"/>
          <w:szCs w:val="19"/>
        </w:rPr>
        <w:t xml:space="preserve">Supuestos del modelo: </w:t>
      </w:r>
      <w:r>
        <w:rPr>
          <w:rFonts w:ascii="Calibri" w:cs="Calibri" w:eastAsia="Calibri" w:hAnsi="Calibri"/>
          <w:color w:val="334155"/>
          <w:sz w:val="19"/>
          <w:szCs w:val="19"/>
        </w:rPr>
        <w:t xml:space="preserve">17</w:t>
      </w:r>
    </w:p>
    <w:p>
      <w:pPr>
        <w:spacing w:after="50"/>
        <w:jc w:val="center"/>
      </w:pPr>
      <w:r>
        <w:rPr>
          <w:rFonts w:ascii="Calibri" w:cs="Calibri" w:eastAsia="Calibri" w:hAnsi="Calibri"/>
          <w:b/>
          <w:bCs/>
          <w:color w:val="334155"/>
          <w:sz w:val="19"/>
          <w:szCs w:val="19"/>
        </w:rPr>
        <w:t xml:space="preserve">Normas consultadas: </w:t>
      </w:r>
      <w:r>
        <w:rPr>
          <w:rFonts w:ascii="Calibri" w:cs="Calibri" w:eastAsia="Calibri" w:hAnsi="Calibri"/>
          <w:color w:val="334155"/>
          <w:sz w:val="19"/>
          <w:szCs w:val="19"/>
        </w:rPr>
        <w:t xml:space="preserve">6 (fecha de consulta: 29/10/2026)</w:t>
      </w:r>
    </w:p>
    <w:p>
      <w:pPr>
        <w:spacing w:after="50"/>
        <w:jc w:val="center"/>
      </w:pPr>
      <w:r>
        <w:rPr>
          <w:rFonts w:ascii="Calibri" w:cs="Calibri" w:eastAsia="Calibri" w:hAnsi="Calibri"/>
          <w:b/>
          <w:bCs/>
          <w:color w:val="334155"/>
          <w:sz w:val="19"/>
          <w:szCs w:val="19"/>
        </w:rPr>
        <w:t xml:space="preserve">Impuesto sobre utilidades: </w:t>
      </w:r>
      <w:r>
        <w:rPr>
          <w:rFonts w:ascii="Calibri" w:cs="Calibri" w:eastAsia="Calibri" w:hAnsi="Calibri"/>
          <w:color w:val="334155"/>
          <w:sz w:val="19"/>
          <w:szCs w:val="19"/>
        </w:rPr>
        <w:t xml:space="preserve">15 % (Ley 118, art. 36.1) — verificación jurídica pendiente</w:t>
      </w:r>
    </w:p>
    <w:p>
      <w:pPr>
        <w:spacing w:after="50"/>
        <w:jc w:val="center"/>
      </w:pPr>
      <w:r>
        <w:rPr>
          <w:rFonts w:ascii="Calibri" w:cs="Calibri" w:eastAsia="Calibri" w:hAnsi="Calibri"/>
          <w:b/>
          <w:bCs/>
          <w:color w:val="334155"/>
          <w:sz w:val="19"/>
          <w:szCs w:val="19"/>
        </w:rPr>
        <w:t xml:space="preserve">Tasa de cambio del modelo: </w:t>
      </w:r>
      <w:r>
        <w:rPr>
          <w:rFonts w:ascii="Calibri" w:cs="Calibri" w:eastAsia="Calibri" w:hAnsi="Calibri"/>
          <w:color w:val="334155"/>
          <w:sz w:val="19"/>
          <w:szCs w:val="19"/>
        </w:rPr>
        <w:t xml:space="preserve">120 CUP/USD documental (oficial vigente: 758,00)</w:t>
      </w:r>
    </w:p>
    <w:p>
      <w:pPr>
        <w:spacing w:after="50"/>
        <w:jc w:val="center"/>
      </w:pPr>
      <w:r>
        <w:rPr>
          <w:rFonts w:ascii="Calibri" w:cs="Calibri" w:eastAsia="Calibri" w:hAnsi="Calibri"/>
          <w:b/>
          <w:bCs/>
          <w:color w:val="334155"/>
          <w:sz w:val="19"/>
          <w:szCs w:val="19"/>
        </w:rPr>
        <w:t xml:space="preserve">Fecha de corte: </w:t>
      </w:r>
      <w:r>
        <w:rPr>
          <w:rFonts w:ascii="Calibri" w:cs="Calibri" w:eastAsia="Calibri" w:hAnsi="Calibri"/>
          <w:color w:val="334155"/>
          <w:sz w:val="19"/>
          <w:szCs w:val="19"/>
        </w:rPr>
        <w:t xml:space="preserve">2026-10-29</w:t>
      </w:r>
    </w:p>
    <w:p>
      <w:pPr>
        <w:spacing w:after="50"/>
        <w:jc w:val="center"/>
      </w:pPr>
      <w:r>
        <w:rPr>
          <w:rFonts w:ascii="Calibri" w:cs="Calibri" w:eastAsia="Calibri" w:hAnsi="Calibri"/>
          <w:b/>
          <w:bCs/>
          <w:color w:val="334155"/>
          <w:sz w:val="19"/>
          <w:szCs w:val="19"/>
        </w:rPr>
        <w:t xml:space="preserve">Versión del documento: </w:t>
      </w:r>
      <w:r>
        <w:rPr>
          <w:rFonts w:ascii="Calibri" w:cs="Calibri" w:eastAsia="Calibri" w:hAnsi="Calibri"/>
          <w:color w:val="334155"/>
          <w:sz w:val="19"/>
          <w:szCs w:val="19"/>
        </w:rPr>
        <w:t xml:space="preserve">1.0 (documento de trabajo para el promotor)</w:t>
      </w:r>
    </w:p>
    <w:p>
      <w:pPr>
        <w:spacing w:before="200"/>
      </w:pP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DOCUMENTO DE TRABAJO PARA EL PROMOTOR: recopila los supuestos adoptados por el modelo, las dudas con sustancia económica o jurídica y la información que falta responder para terminar el plan de negocios. Ninguna cifra se presenta como validada mientras las consultas críticas (Q-06, Q-08, Q-09, Q-11, Q-19, Q-23) estén sin respuesta.</w:t>
            </w:r>
          </w:p>
        </w:tc>
      </w:tr>
    </w:tbl>
    <w:p>
      <w:pPr>
        <w:sectPr>
          <w:pgSz w:w="11906" w:h="16838" w:orient="portrait"/>
          <w:pgMar w:top="1440" w:right="1440" w:bottom="1440" w:left="1440" w:header="708" w:footer="708" w:gutter="0"/>
          <w:pgNumType/>
          <w:docGrid w:linePitch="360"/>
        </w:sectPr>
      </w:pPr>
    </w:p>
    <w:p>
      <w:pPr>
        <w:pStyle w:val="Heading1"/>
        <w:pageBreakBefore/>
      </w:pPr>
      <w:bookmarkStart w:name="_Toc1" w:id="1"/>
      <w:r>
        <w:rPr>
          <w:rFonts w:ascii="Calibri" w:cs="Calibri" w:eastAsia="Calibri" w:hAnsi="Calibri"/>
          <w:b/>
          <w:bCs/>
          <w:color w:val="1E3A5F"/>
          <w:sz w:val="30"/>
          <w:szCs w:val="30"/>
        </w:rPr>
        <w:t xml:space="preserve">Índice</w:t>
      </w:r>
      <w:bookmarkEnd w:id="1"/>
    </w:p>
    <w:sdt>
      <w:sdtPr>
        <w:alias w:val="Índice del plan de negocios"/>
      </w:sdtPr>
      <w:sdtContent>
        <w:p>
          <w:pPr>
            <w:pStyle w:val="TOC1"/>
            <w:tabs>
              <w:tab w:val="right" w:pos="9026" w:leader="dot"/>
            </w:tabs>
          </w:pPr>
          <w:r>
            <w:fldChar w:fldCharType="begin" w:dirty="true"/>
            <w:instrText xml:space="preserve">TOC \h \o "1-1"</w:instrText>
            <w:fldChar w:fldCharType="separate"/>
          </w:r>
          <w:hyperlink w:history="1" w:anchor="_Toc1">
            <w:r>
              <w:t xml:space="preserve">Índice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Propósito del documento y cómo responder</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Supuestos adoptados en el modelo</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3. Marco normativo consultado</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 Consultas al promotor</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4.1 Identidad y marco jurídico (7)</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4.2 Financiero y fiscal (11)</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4.3 Mercado y precios (3)</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4.4 Operación y fuerza de trabajo (3)</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4.5 Suministros e inversión (2)</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4.6 Validaciones normativas y administrativas (2)</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5. Resumen de consultas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6. Efecto de las respuestas sobre el modelo</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Anexo A — Mapa de trazabilidad de las consultas</w:t>
            </w:r>
            <w:r>
              <w:tab/>
            </w:r>
            <w:r>
              <w:fldChar w:fldCharType="begin" w:dirty="true"/>
              <w:instrText xml:space="preserve">PAGEREF _Toc14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ageBreakBefore/>
      </w:pPr>
      <w:bookmarkStart w:name="_Toc2" w:id="2"/>
      <w:r>
        <w:rPr>
          <w:rFonts w:ascii="Calibri" w:cs="Calibri" w:eastAsia="Calibri" w:hAnsi="Calibri"/>
          <w:b/>
          <w:bCs/>
          <w:color w:val="1E3A5F"/>
          <w:sz w:val="30"/>
          <w:szCs w:val="30"/>
        </w:rPr>
        <w:t xml:space="preserve">1. Propósito del documento y cómo responder</w:t>
      </w:r>
      <w:bookmarkEnd w:id="2"/>
    </w:p>
    <w:p>
      <w:pPr>
        <w:spacing w:after="60" w:before="60" w:line="276"/>
        <w:jc w:val="both"/>
      </w:pPr>
      <w:r>
        <w:rPr>
          <w:rFonts w:ascii="Calibri" w:cs="Calibri" w:eastAsia="Calibri" w:hAnsi="Calibri"/>
          <w:color w:val="334155"/>
          <w:sz w:val="20"/>
          <w:szCs w:val="20"/>
        </w:rPr>
        <w:t xml:space="preserve">Este documento destila el diagnóstico del expediente en una lista operativa de trabajo para el promotor: qué supuestos adoptó el modelo para poder calcular, qué dudas tienen sustancia económica o jurídica, y qué falta por responder para convertir el plan en evaluación preliminar en un plan de negocios presentable. Acompaña —y no sustituye— al «Informe de análisis documental y brechas de información» de esta misma serie, donde cada punto tiene su evidencia completa.</w:t>
      </w:r>
    </w:p>
    <w:p>
      <w:pPr>
        <w:spacing w:after="60" w:before="60" w:line="276"/>
        <w:jc w:val="both"/>
      </w:pPr>
      <w:r>
        <w:rPr>
          <w:rFonts w:ascii="Calibri" w:cs="Calibri" w:eastAsia="Calibri" w:hAnsi="Calibri"/>
          <w:color w:val="334155"/>
          <w:sz w:val="20"/>
          <w:szCs w:val="20"/>
        </w:rPr>
        <w:t xml:space="preserve">El plan de negocios del Centro Estomatológico Internacional Holguín quedó medido en un 55,3 % de campos obligatorios con evidencia suficiente, con 17 contradicciones visibles (la crítica: dos tasas de cambio coexistentes, C-01) y 27 brechas. Ninguna se resolvió en silencio: este documento las convierte en preguntas concretas, con destinatario y con el documento que cierra cada una. Mientras las respuestas no lleguen, el modelo conserva los supuestos de la sección 2 y el plan sigue marcado como evaluación preliminar.</w:t>
      </w:r>
    </w:p>
    <w:p>
      <w:pPr>
        <w:spacing w:after="60" w:before="60" w:line="276"/>
        <w:jc w:val="both"/>
      </w:pPr>
      <w:r>
        <w:rPr>
          <w:rFonts w:ascii="Calibri" w:cs="Calibri" w:eastAsia="Calibri" w:hAnsi="Calibri"/>
          <w:color w:val="334155"/>
          <w:sz w:val="20"/>
          <w:szCs w:val="20"/>
        </w:rPr>
        <w:t xml:space="preserve">Cómo responder: cada consulta tiene un identificador (Q-01 a Q-28), un destinatario y el documento o decisión que la cierra. Se recomienda responder en el archivo DOCX de esta misma versión (intercalando la respuesta bajo cada pregunta), o en carta simple citando los identificadores. Las consultas CRÍTICAS (Q-06, Q-08, Q-09, Q-11, Q-19 y Q-23) bloquean la presentación del plan: sin ellas, ningún indicador del modelo puede presentarse como definitivo. Las respuestas económicas (tasa de cambio, impuesto, salarios) se aplican en PLANEX cambiando parámetros editables — el plan se recalcula en el acto, sin editar fórmulas.</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DOCUMENTO DE TRABAJO PARA EL PROMOTOR: las normas citadas en la sección 3 se consultaron en fuentes oficiales y especializadas el 29/10/2026, pero ninguna se presenta como acreditada para este negocio: la verificación jurídica formal corresponde al asesor del promotor. Este documento no sustituye la evaluación oficial ni acredita el cumplimiento de requisitos legales, tributarios, sanitarios o de inversión.</w:t>
            </w:r>
          </w:p>
        </w:tc>
      </w:tr>
    </w:tbl>
    <w:p>
      <w:pPr>
        <w:pStyle w:val="Heading1"/>
        <w:pageBreakBefore/>
      </w:pPr>
      <w:bookmarkStart w:name="_Toc3" w:id="3"/>
      <w:r>
        <w:rPr>
          <w:rFonts w:ascii="Calibri" w:cs="Calibri" w:eastAsia="Calibri" w:hAnsi="Calibri"/>
          <w:b/>
          <w:bCs/>
          <w:color w:val="1E3A5F"/>
          <w:sz w:val="30"/>
          <w:szCs w:val="30"/>
        </w:rPr>
        <w:t xml:space="preserve">2. Supuestos adoptados en el modelo</w:t>
      </w:r>
      <w:bookmarkEnd w:id="3"/>
    </w:p>
    <w:p>
      <w:pPr>
        <w:spacing w:after="60" w:before="60" w:line="276"/>
        <w:jc w:val="both"/>
      </w:pPr>
      <w:r>
        <w:rPr>
          <w:rFonts w:ascii="Calibri" w:cs="Calibri" w:eastAsia="Calibri" w:hAnsi="Calibri"/>
          <w:color w:val="334155"/>
          <w:sz w:val="20"/>
          <w:szCs w:val="20"/>
        </w:rPr>
        <w:t xml:space="preserve">Para poder calcular con el expediente recibido, el modelo adoptó 17 supuestos, todos trazables: 10 de origen documental (expediente), 3 de origen provisional, 3 de origen derivado (fórmula conservada), 1 de origen regla extendida (plantilla). Cada uno se adoptó por fidelidad a una fuente documentada o por una regla conservada y derivada; ninguno es una invención, y todos permanecen visibles en la app (parámetros con su fuente, fichas de trazabilidad).</w:t>
      </w:r>
    </w:p>
    <w:p>
      <w:pPr>
        <w:spacing w:after="60" w:before="60" w:line="276"/>
        <w:jc w:val="both"/>
      </w:pPr>
      <w:r>
        <w:rPr>
          <w:rFonts w:ascii="Calibri" w:cs="Calibri" w:eastAsia="Calibri" w:hAnsi="Calibri"/>
          <w:color w:val="334155"/>
          <w:sz w:val="20"/>
          <w:szCs w:val="20"/>
        </w:rPr>
        <w:t xml:space="preserve">Dos supuestos concentran el riesgo económico del plan. S-01 (tasa de cambio 120): el expediente usa además la tasa 24 en sus encabezados y la tasa oficial vigente es otra (véase la sección 3); es la contradicción C-01, que bloquea todos los indicadores. S-02 (impuesto del 15 % solo en los años 8–10): la investigación normativa halló su sustento directo en la Ley 118, artículo 36 — pero su aplicación a este contrato debe confirmarla el asesor jurídico (consulta Q-09).</w:t>
      </w:r>
    </w:p>
    <w:p>
      <w:pPr>
        <w:pStyle w:val="NotaTabla"/>
        <w:keepNext/>
        <w:keepLines/>
        <w:spacing w:after="80" w:before="200"/>
      </w:pPr>
      <w:r>
        <w:rPr>
          <w:rFonts w:ascii="Calibri" w:cs="Calibri" w:eastAsia="Calibri" w:hAnsi="Calibri"/>
          <w:b/>
          <w:bCs/>
          <w:color w:val="1E3A5F"/>
          <w:sz w:val="18"/>
          <w:szCs w:val="18"/>
        </w:rPr>
        <w:t xml:space="preserve">Supuestos adoptados por el modelo (S-01 a S-17)</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745"/>
        <w:gridCol w:w="2760"/>
        <w:gridCol w:w="2760"/>
        <w:gridCol w:w="2760"/>
      </w:tblGrid>
      <w:tr>
        <w:trPr>
          <w:cantSplit/>
          <w:tblHeader/>
        </w:trPr>
        <w:tc>
          <w:tcPr>
            <w:tcW w:type="dxa" w:w="74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ID</w:t>
            </w:r>
          </w:p>
        </w:tc>
        <w:tc>
          <w:tcPr>
            <w:tcW w:type="dxa" w:w="276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Concepto y valor adoptado</w:t>
            </w:r>
          </w:p>
        </w:tc>
        <w:tc>
          <w:tcPr>
            <w:tcW w:type="dxa" w:w="276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Origen</w:t>
            </w:r>
          </w:p>
        </w:tc>
        <w:tc>
          <w:tcPr>
            <w:tcW w:type="dxa" w:w="276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Cómo se confirma</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S-01</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Tipo de cambio del modelo: 120 CUP/USD. Lista de precios de CSMC «A TASA DE 1*120» (F02 y F08 p. 23) y precios por caso en USD de F09 (TPR 80,00; blanqueamiento 150,00) que equivalen exactamente a los precios en CUP divididos entre 120 (registro H-025). El expediente usa ADEMÁS la tasa 24 en TODOS los encabezados de sus tablas: contradicción crítica C-01 conservada con ambos valores. EFECTO SI CAMBIA: Recalcula salarios (4 320 kCUP/año -&gt; kUSD), la aportación en efectivo de CSMC, los otros impuestos (682,1 kCUP/año) y toda la presentación CUP&lt;-&gt;USD del plan. Un parámetro, sin tocar fórmulas.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«tipo_cambio» (editable) — 4.7 y todos los cálculos que convierten monedas.)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Decisión escrita del promotor con sustento normativo: tasa aplicable a la contabilidad de la AEI bajo el régimen vigente de divisas (V-07). El modelo puede recalcularse en el acto con la tasa decidida. [Ref: C-01, V-07, H-025]</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S-02</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15 % sobre la utilidad neta imponible, aplicado solo en los años 8 a 10. Patrón del propio expediente (H-033): el EERR de F08 p. 9 aplica 0,00 en los años 1–7 y 15 % en los años 8–10 (903,94 / 902,86 / 901,78 kCUP), sin citar base legal. La investigación normativa de esta misión halló sustento directo: la Ley 118/2014 (Inversión Extranjera), artículo 36.1, fija el 15 % para las partes en contratos de asociación económica internacional, y su artículo 36.2 exime del impuesto durante ocho años a partir de la constitución. EFECTO SI CAMBIA: Si la exención de los años 1–7 no procede, la utilidad neta de esos años baja ~15 % cada año. Si el proyecto quedara excluido del régimen especial (art. 43), la tasa general aplicable sería la de la Ley 113 (35 %, confirmada por la Ley 181/2025 del Presupuesto 2026).</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«tasa_impuesto_utilidades» (0,15) + regla editable «impuesto_utilidades_k» (IF(PERIODO &gt;= 8, …)).)</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Pronunciamiento escrito (ONAT/asesoría jurídica) de que este CAEI tributa por el artículo 36 de la Ley 118 y de que las modificaciones de 2026 no alteran los artículos 34 a 45. Con la norma verificada, la regla se sustituye desde la interfaz sin editar código. [Ref: C-15, B-16, V-05, H-033]</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S-03</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Ventana de la exención de 8 años: Exención aplicada a los años 1–7 del horizonte de operación; impuesto desde el año 8. La Ley 118, artículo 36.2, concede la exención «por un período de ocho años a partir de su constitución». El expediente tributa desde su año 8 de operación, lo que solo es consistente si la constitución y el inicio de operaciones coinciden aproximadamente. La fecha de constitución formal no consta en el expediente (las fechas del cronograma de F08 p. 17 son marcas ilegibles). EFECTO SI CAMBIA: Si la AEI se constituyó antes del inicio de operaciones, parte de la exención ya está consumida y el impuesto debería empezar antes del año 8 del modelo.</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Provisional
(en PLANEX: Expresión de la regla «impuesto_utilidades_k» (condición PERIODO &gt;= 8).)</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Fecha de constitución formal de la AEI y fecha del Acta de Inicio de las Operaciones (contrato F01, cláusula de preapertura), más cualquier prórroga de la exención aprobada por el Consejo de Ministros. [Ref: C-15, B-16, H-033]</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S-04</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Reparto de beneficios: 50 % / 50 % entre CSMC, S.A. y Leisure Exporting LLC. Contrato de AEI, cláusula 7.5 (F01; registro H-013): reparto 50/50. CONTRADICCIÓN conservada: la tabla de aportaciones del propio expediente declara participación 49 % / 51 % (C-05, brecha B-04) — el diagnóstico de la app la señala mientras no se aclare. EFECTO SI CAMBIA: Cambia el reparto de dividendos y el beneficio país por socio en 4.11; no altera los resultados del proyecto.</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«pct_parte_cubiana» (0,50) — sección 4.11 y reparto de dividendos.)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Decisión escrita de las partes sobre cuál de las dos reglas gobierna (contrato vs tabla de aportaciones). [Ref: C-05, B-04, H-013]</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S-05</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 variable de materiales por servicio: Precio del servicio × 1,09805 (factor de materiales). El expediente NO desglosa el consumo material por línea de servicio: solo documenta el consumo anual total. El factor conserva ese total documentado (127 162,60 USD anuales desde el año 2 = cotización de 6 meses 63 581,30 × 2) repartido proporcionalmente al precio de cada servicio (H-040, brecha B-13). EFECTO SI CAMBIA: Con el consumo real por servicio, el costo variable de cada línea cambia y con él el margen por servicio y la utilidad; el total documentado dejaría de ser la referencia.</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Derivado (fórmula conservada)
(en PLANEX: Constante FACTOR_MATERIALES de la plantilla (editable), usada en el costo unitario de cada servicio (4.6).)</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Desglose del consumo de materiales por servicio (cuadro básico × servicios) o al menos por los renglones de mayor peso (prótesis, TPR, blanqueamiento). [Ref: B-13, H-040]</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S-06</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Materiales del año 1 por solo 6 meses: Año 1: 63 581,30 USD (stock de 6 meses); año 2 en adelante: 127 162,60 USD/año. La cotización F03 es explícitamente un stock de 6 meses (H-027/H-029) y el EERR del expediente computa 6 meses de materiales en el año 1 con ingresos de 12 meses (C-16): el costo del año 1 queda subestimado frente a un año completo de operación. EFECTO SI CAMBIA: Si el año 1 opera 12 meses completos, su costo material se duplica y la utilidad del año 1 (ya negativa a tasas documentadas) empeora.</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Costos variables de 4.6/4.7 (derivados de la cotización F03).)</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Aclarar si el año 1 del EERR es un año de operación plena o un año de arranque con 6 meses de operación real (cronograma con fechas legibles — B-15). [Ref: C-16, H-027, H-029]</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S-07</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 de la fuerza de trabajo: 4 320,0 kCUP/año como costo TOTAL (factor 1,0), 10 trabajadores. El EERR del expediente (H-035) carga 4 320 kCUP/año de fuerza de trabajo. CONTRADICCIÓN conservada (C-07): el anexo de fuerza de trabajo suma además seguridad social (540,0) y provisión (86,4) que no concilian con el EERR, y existen tres versiones de la escala salarial (H-090 y anexo). La escala por plaza es DERIVADA: la estructura relativa del anexo escalada para cerrar exacto en 4 320 kCUP/año. EFECTO SI CAMBIA: Si el costo real incluye seguridad social u otras cargas, el costo laboral anual sube (con 540,0 kCUP más: +12,5 %) y los resultados empeoran.</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«factor_costo_laboral» (1,0) + plantilla de 4.9 con escala salarial derivada (fórmula conservada).)</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Escala salarial definitiva y aclaración de si el 4 320 kCUP/año del EERR ya incluye las cargas de seguridad social, o si estas se suman aparte. [Ref: C-07, B-14, H-035, H-090]</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S-08</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Depreciación del equipamiento: Depreciación ANUAL lineal sobre los equipos (tasa del 6 % declarada por el expediente ~ 16,7 años de vida útil). El expediente declara una tasa de depreciación del 6 % anual, pero su EERR carga la depreciación ACUMULADA de cada período como gasto del período (C-06), lo que infla el costo de los años finales. El modelo corrige ese error de carga y aplica la depreciación anual correcta a la tasa declarada, conservando el total del expediente. La vida útil resultante (~16,7 años) es más larga que la usual para equipamiento médico de alta tecnología. EFECTO SI CAMBIA: Una vida útil más corta (p. ej. 10 años) eleva la depreciación anual, reduce la utilidad contable de cada año y cambia la recuperación del capital.</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Derivado (fórmula conservada)
(en PLANEX: Cálculo de depreciación de 4.7 (regla de fábrica del motor, vidas útiles por partida de inversión).)</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Vida útil económica autorizada para cada equipo y criterio de depreciación aplicable a la AEI (norma contable vigente y política del Consejo de Administración). [Ref: C-06, B-15, H-047]</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S-09</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 y servicios públicos: 0,00 kUSD/año en ambos conceptos durante todo el horizonte. El EERR del expediente declara «Gastos de Mantenimiento 0,0» y «Servicios Públicos 0,0» en todos los años (H-048). Brecha de realismo registrada: una instalación con rayos X, autoclave y climatización difícilmente sostiene costos nulos de mantenimiento y energía. EFECTO SI CAMBIA: Cada kUSD anual de mantenimiento o servicios públicos que se reconozca reduce la utilidad año a año y retrasa la recuperación.</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Parámetros «pct_mantenimiento» (0) y «servicios_publicos_anual_k» (0) — costos fijos de 4.7/4.9.)</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Presupuesto realista de mantenimiento y servicios públicos de la Sucursal Holguín (o su costo histórico), y decisión de quién lo asume (AEI o CSMC como aportación en especie). [Ref: B-19, H-048]</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S-10</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o arrendamiento del inmueble: 0,00 kUSD/año tras la preapertura. CSMC garantiza el arrendamiento solo en la preapertura y los primeros 6 meses (F02); el importe del canon NO consta en el expediente (H-047, brecha B-18) y el inmueble se aporta por derecho real de usufructo al fondo común (F01). EFECTO SI CAMBIA: Un canon anual reconocido reduce la utilidad de cada año de operación en ese importe.</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Provisional
(en PLANEX: Parámetro «canon_anual_k» (0) — costos fijos de 4.7.)</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Importe del canon/arrendamiento tras el mes 7 y su tratamiento contractual (incluido en el usufructo o pagado por la AEI). [Ref: B-18, H-047]</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S-11</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impuestos, tasas y contribuciones: 682,1 kCUP/año (5,68 kUSD a la tasa 120): impuesto de transporte terrestre + contribución al desarrollo local (1 % de las ventas brutas) + tasa de radicación de anuncios. Partidas del propio expediente (H-034), sin desglose adjunto (brecha B-17). Hallazgo normativo: la Ley 118, artículo 42, EXIME a las partes en AEI de la contribución territorial para el desarrollo local DURANTE el período de recuperación de la inversión — si el proyecto aún no se recupera, esa partida podría no corresponder todavía. EFECTO SI CAMBIA: Sin la contribución territorial (1 % de las ventas), los otros impuestos bajan ~1 159 kCUP/año ~ 9,66 kUSD/año y la utilidad sube en igual medida.</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«otros_impuestos_anual_k» (5,68) — 4.10 y beneficios al país.)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Desglose de las tres partidas y confirmación del asesor jurídico sobre la exención del artículo 42 mientras no concluya la recuperación de la inversión. [Ref: B-17, H-034]</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S-12</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Aranceles de importación: 0,00 kUSD/año («Libre de impuestos x AEI» según la cotización de equipos). La cotización de equipos declara «Libre de impuestos x AEI» (H-049) y el balance externo computa aranceles 0. La Ley 118, artículo 41, EXIME del impuesto aduanero a las AEI por las importaciones de equipos y maquinarias DURANTE el proceso inversionista, según las normas del Ministerio de Finanzas y Precios — sustento que la cotización invoca sin citar. EFECTO SI CAMBIA: Si la exención no procede o no cubre reposiciones futuras (p. ej. el monitor del equipo de rayos X), aparecen costos de importación no modelados.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«aranceles_anual_k» (0) — costos de 4.7/4.10.)</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Certificado o resolución de la exención arancelaria para este negocio (V-04) y alcance: solo inversión inicial o también reposiciones. [Ref: V-04, H-049]</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S-13</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Precios y demanda constantes: Sin crecimiento de precios ni de volumen en el horizonte (0 % ambos). La lista de precios y la demanda mensual prevista del expediente son constantes (H-037). CONTRADICCIÓN conservada: el EERR del expediente reduce los ingresos un 4,95 % desde el año 2 sin explicación (C-14); el modelo mantiene la demanda del año 1 y registra la divergencia en lugar de reproducirla sin causa. EFECTO SI CAMBIA: Cualquier indexación de precios o variación de demanda recalcula la proyección completa; replicar el -4,95 % del EERR requeriría su justificación documentada.</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Parámetros «crecimiento_precios» (0) y «crecimiento_volumen» (0) — proyección de 4.7.)</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Política de actualización de la lista de precios de CSMC y sustento del -4,95 % del EERR (o su corrección). [Ref: C-14, H-037]</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S-14</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Escáner intraoral 3D: EXCLUIDO de la inversión (no cotizado en el modelo). El escáner intraoral 3D aparece cotizado en F02 (12 035,00 USD) pero NO está en la tabla de inversión del anexo (C-08, brecha B-07): decidir si se incluye es competencia del promotor. Las tecnologías del objeto contractual (rehabilitación protésica digital, cirugía guiada) lo hacen plausible. EFECTO SI CAMBIA: Incluirlo suma 12 035,00 USD a la inversión (~ +230 % sobre los equipos actuales) y activa su depreciación; excluirlo exige declarar qué tecnologías sustituyen al escáner en los servicios digitales prometidos.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Provisional
(en PLANEX: Inversión fija de 4.6 — solo los 5 equipos de F06 (5 274,00 USD).)</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Decisión escrita de las partes sobre incluirlo, excluirlo o diferirlo a una segunda fase. [Ref: C-08, B-07, H-021]</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S-15</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Capital de trabajo inicial: 0,00 kUSD. La tabla de financiamientos del expediente declara capital de trabajo 0,00 (H-023), pero su propio estado de situación proyecta existencias y cuentas por cobrar: anomalía registrada (brecha B-12). EFECTO SI CAMBIA: Un capital de trabajo real (p. ej. el stock semestral de insumos ya cotizado) eleva la inversión total y la necesidad de aportaciones.</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(expediente)
(en PLANEX: Parámetro «capital_trabajo_k» (0) — inversión y financiamiento de 4.5/4.6.)</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Cálculo del capital de trabajo necesario para el ciclo operativo (insumos + cuentas por cobrar - proveedores). [Ref: B-12, H-023]</w:t>
            </w:r>
          </w:p>
        </w:tc>
      </w:tr>
      <w:tr>
        <w:trPr>
          <w:cantSplit/>
        </w:trPr>
        <w:tc>
          <w:tcPr>
            <w:tcW w:type="dxa" w:w="74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S-16</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Reserva legal y fondos: ~16 % de la base distribuible en los años 1–7 (11 % en los años 8–10). Aproximación derivada del patrón del propio EERR (H-042): 5 % contingencias + 1 % fondo de estimulación + ~10 % reservas voluntarias en los años 1–7. La política societaria real no está documentada. EFECTO SI CAMBIA: Cambia el monto repartible entre socios cada año (no el resultado del proyecto). El Decreto-Ley 128/2026 (art. 29 reformado) faculta a los órganos de dirección a decidir el destino de las utilidades, incluido el fondo de estimulación.</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Derivado (fórmula conservada)
(en PLANEX: Parámetro «pct_reserva_legal» (0,16) — reparto de 4.11.)</w:t>
            </w:r>
          </w:p>
        </w:tc>
        <w:tc>
          <w:tcPr>
            <w:tcW w:type="dxa" w:w="27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Política de reservas y distribución aprobada por el Consejo de Administración de la AEI. [Ref: H-042]</w:t>
            </w:r>
          </w:p>
        </w:tc>
      </w:tr>
      <w:tr>
        <w:trPr>
          <w:cantSplit/>
        </w:trPr>
        <w:tc>
          <w:tcPr>
            <w:tcW w:type="dxa" w:w="74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S-17</w:t>
            </w:r>
          </w:p>
        </w:tc>
        <w:tc>
          <w:tcPr>
            <w:tcW w:type="dxa" w:w="2760"/>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previos en CUP dentro del total de inversión: 26,20 kCUP de preoperación se suman al total (regla extendida de la plantilla). Los gastos previos del expediente están en CUP (H-022). La regla de fábrica solo sumaba partidas en USD y las habría IGNORADO en silencio; la plantilla extiende la EXPRESIÓN (mecanismo diseñado de la app) para incluirlas. Hallazgo documentado al propietario: extender la regla de fábrica exige recalibrar la línea base editorial de DOC-003. EFECTO SI CAMBIA: Sin la extensión, la inversión total del proyecto pierde 26,20 kCUP (~0,22 kUSD) — efecto pequeño pero de integridad.</w:t>
            </w:r>
          </w:p>
        </w:tc>
        <w:tc>
          <w:tcPr>
            <w:tcW w:type="dxa" w:w="2760"/>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Regla extendida (plantilla)
(en PLANEX: Regla «gastos_previos_k» con expresión extendida (suma partidas en USD y en CUP convertidas).)</w:t>
            </w:r>
          </w:p>
        </w:tc>
        <w:tc>
          <w:tcPr>
            <w:tcW w:type="dxa" w:w="2760"/>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Decisión del propietario de la app sobre extender la regla de fábrica para todos los proyectos. [Ref: H-022]</w:t>
            </w:r>
          </w:p>
        </w:tc>
      </w:tr>
    </w:tbl>
    <w:p>
      <w:pPr>
        <w:pStyle w:val="NotaTexto"/>
        <w:spacing w:after="160" w:before="40"/>
      </w:pPr>
      <w:r>
        <w:rPr>
          <w:rFonts w:ascii="Calibri" w:cs="Calibri" w:eastAsia="Calibri" w:hAnsi="Calibri"/>
          <w:i/>
          <w:iCs/>
          <w:color w:val="64748B"/>
          <w:sz w:val="15"/>
          <w:szCs w:val="15"/>
        </w:rPr>
        <w:t xml:space="preserve">Nota. Todos los supuestos viven en parámetros y reglas EDITABLES de PLANEX: con la respuesta del promotor se sustituye el valor o la expresión y el plan recalcula. Ninguna cifra de este cuadro se presentó como validada en el plan.</w:t>
      </w:r>
    </w:p>
    <w:p>
      <w:pPr>
        <w:pStyle w:val="Heading1"/>
        <w:pageBreakBefore/>
      </w:pPr>
      <w:bookmarkStart w:name="_Toc4" w:id="4"/>
      <w:r>
        <w:rPr>
          <w:rFonts w:ascii="Calibri" w:cs="Calibri" w:eastAsia="Calibri" w:hAnsi="Calibri"/>
          <w:b/>
          <w:bCs/>
          <w:color w:val="1E3A5F"/>
          <w:sz w:val="30"/>
          <w:szCs w:val="30"/>
        </w:rPr>
        <w:t xml:space="preserve">3. Marco normativo consultado</w:t>
      </w:r>
      <w:bookmarkEnd w:id="4"/>
    </w:p>
    <w:p>
      <w:pPr>
        <w:spacing w:after="60" w:before="60" w:line="276"/>
        <w:jc w:val="both"/>
      </w:pPr>
      <w:r>
        <w:rPr>
          <w:rFonts w:ascii="Calibri" w:cs="Calibri" w:eastAsia="Calibri" w:hAnsi="Calibri"/>
          <w:color w:val="334155"/>
          <w:sz w:val="20"/>
          <w:szCs w:val="20"/>
        </w:rPr>
        <w:t xml:space="preserve">Se consultaron fuentes oficiales y especializadas el 29/10/2026 para sustentar o refutar los valores que el plan necesita. Resultado central: la Ley 118 «De la Inversión Extranjera» (2014), artículo 36.1, FIJA el impuesto sobre utilidades de las partes en contratos de asociación económica internacional en el 15 % sobre la utilidad neta imponible, y su artículo 36.2 las exime durante ocho años a partir de la constitución — el patrón del expediente (15 % en los años 8–10, exención en los años 1–7) tiene, por tanto, sustento legal directo. La tasa general del 35 % de la Ley 113 solo aplicaría si el negocio quedara excluido del régimen especial por el artículo 43 de la propia Ley 118 (contratos de administración hotelera, productiva o de servicios y de prestación de servicios profesionales) — exclusión que el asesor jurídico debe descartar por escrito para este CAEI.</w:t>
      </w:r>
    </w:p>
    <w:p>
      <w:pPr>
        <w:spacing w:after="60" w:before="60" w:line="276"/>
        <w:jc w:val="both"/>
      </w:pPr>
      <w:r>
        <w:rPr>
          <w:rFonts w:ascii="Calibri" w:cs="Calibri" w:eastAsia="Calibri" w:hAnsi="Calibri"/>
          <w:color w:val="334155"/>
          <w:sz w:val="20"/>
          <w:szCs w:val="20"/>
        </w:rPr>
        <w:t xml:space="preserve">Segundo resultado central: el régimen de divisas cambió después del expediente. La tasa de cambio oficial del Banco Central de Cuba consultada el 29/10/2026 es de 758,00 CUP por USD — ni la tasa 24 de los encabezados del expediente ni la 120 de su lista de precios coinciden con la oficial vigente. La decisión de tasa (consulta Q-08) es, con diferencia, la respuesta que más mueve el modelo.</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Las citas siguientes reproducen el tenor de las normas en la fecha de consulta; su vigencia y su aplicación a este negocio deben confirmarse con el asesor jurídico del promotor antes de presentar el plan.</w:t>
            </w:r>
          </w:p>
        </w:tc>
      </w:tr>
    </w:tbl>
    <w:p>
      <w:pPr>
        <w:pStyle w:val="Heading2"/>
        <w:spacing w:after="80" w:before="220"/>
      </w:pPr>
      <w:r>
        <w:rPr>
          <w:rFonts w:ascii="Calibri" w:cs="Calibri" w:eastAsia="Calibri" w:hAnsi="Calibri"/>
          <w:b/>
          <w:bCs/>
          <w:color w:val="1E3A5F"/>
          <w:sz w:val="24"/>
          <w:szCs w:val="24"/>
        </w:rPr>
        <w:t xml:space="preserve">N-01 — Ley 118 «De la Inversión Extranjera», de 29 de marzo de 2014 (GOC-2014-O29), Título VIII — régimen tributario especial, artículos 34 a 45.</w:t>
      </w:r>
    </w:p>
    <w:p>
      <w:pPr>
        <w:spacing w:after="40" w:before="40"/>
        <w:jc w:val="left"/>
      </w:pPr>
      <w:r>
        <w:rPr>
          <w:rFonts w:ascii="Calibri" w:cs="Calibri" w:eastAsia="Calibri" w:hAnsi="Calibri"/>
          <w:b/>
          <w:bCs/>
          <w:color w:val="1E3A5F"/>
          <w:sz w:val="19"/>
          <w:szCs w:val="19"/>
        </w:rPr>
        <w:t xml:space="preserve">Qué establece: </w:t>
      </w:r>
      <w:r>
        <w:rPr>
          <w:rFonts w:ascii="Calibri" w:cs="Calibri" w:eastAsia="Calibri" w:hAnsi="Calibri"/>
          <w:color w:val="334155"/>
          <w:sz w:val="19"/>
          <w:szCs w:val="19"/>
        </w:rPr>
        <w:t xml:space="preserve">Art. 36.1: las partes en contratos de asociación económica internacional pagan el impuesto sobre utilidades aplicando «un tipo impositivo del quince por ciento (15 %) sobre la utilidad neta imponible». Art. 36.2: exención del impuesto sobre utilidades «por un período de ocho años a partir de su constitución», prorrogable por el Consejo de Ministros. Art. 36.3: exención de la utilidad neta autorizada a reinvertir. Art. 39: exención del impuesto por la utilización de la fuerza de trabajo. Art. 41: exención del impuesto aduanero por las importaciones de equipos y maquinarias durante el proceso inversionista, según normas del MFP. Art. 42: exención de la contribución territorial para el desarrollo local durante el período de recuperación de la inversión. Arts. 37 y 38: bonificación del 50 % en los impuestos sobre las ventas y sobre los servicios, con exención durante el primer año de operación. Art. 35: exención del impuesto sobre ingresos personales a los inversionistas por dividendos. Art. 43: EXCLUYE del régimen especial a los contratos de administración hotelera, productiva o de servicios y de prestación de servicios profesionales, que tributan por la Ley del Sistema Tributario (salvo la exención de los impuestos sobre ventas y servicios para el inversionista extranjero en esos contratos).</w:t>
      </w:r>
    </w:p>
    <w:p>
      <w:pPr>
        <w:spacing w:after="40" w:before="40"/>
        <w:jc w:val="left"/>
      </w:pPr>
      <w:r>
        <w:rPr>
          <w:rFonts w:ascii="Calibri" w:cs="Calibri" w:eastAsia="Calibri" w:hAnsi="Calibri"/>
          <w:b/>
          <w:bCs/>
          <w:color w:val="1E3A5F"/>
          <w:sz w:val="19"/>
          <w:szCs w:val="19"/>
        </w:rPr>
        <w:t xml:space="preserve">Aplicación al proyecto: </w:t>
      </w:r>
      <w:r>
        <w:rPr>
          <w:rFonts w:ascii="Calibri" w:cs="Calibri" w:eastAsia="Calibri" w:hAnsi="Calibri"/>
          <w:color w:val="334155"/>
          <w:sz w:val="19"/>
          <w:szCs w:val="19"/>
        </w:rPr>
        <w:t xml:space="preserve">SUSTENTA el patrón del expediente que el modelo adopta (S-02 y S-03): 15 % a partir del año 8 de la exención. Implica además dos partidas del modelo posiblemente sobretaxadas hoy (S-11: contribución al desarrollo local exenta durante la recuperación) o eximibles (S-12: aranceles del proceso inversionista).</w:t>
      </w:r>
    </w:p>
    <w:p>
      <w:pPr>
        <w:spacing w:after="40" w:before="40"/>
        <w:jc w:val="left"/>
      </w:pPr>
      <w:r>
        <w:rPr>
          <w:rFonts w:ascii="Calibri" w:cs="Calibri" w:eastAsia="Calibri" w:hAnsi="Calibri"/>
          <w:b/>
          <w:bCs/>
          <w:color w:val="1E3A5F"/>
          <w:sz w:val="19"/>
          <w:szCs w:val="19"/>
        </w:rPr>
        <w:t xml:space="preserve">Verificación pendiente: </w:t>
      </w:r>
      <w:r>
        <w:rPr>
          <w:rFonts w:ascii="Calibri" w:cs="Calibri" w:eastAsia="Calibri" w:hAnsi="Calibri"/>
          <w:color w:val="334155"/>
          <w:sz w:val="19"/>
          <w:szCs w:val="19"/>
        </w:rPr>
        <w:t xml:space="preserve">Pronunciamiento jurídico de que este CAEI NO queda excluido por el artículo 43 (prestación de servicios estomatológicos: ¿asociación para producir servicios directamente, o contrato de «prestación de servicios profesionales»?), y de que los artículos 34 a 45 no fueron alterados por el Decreto-Ley 128 de 2026.</w:t>
      </w:r>
    </w:p>
    <w:p>
      <w:pPr>
        <w:spacing w:after="40" w:before="40"/>
        <w:jc w:val="left"/>
      </w:pPr>
      <w:r>
        <w:rPr>
          <w:rFonts w:ascii="Calibri" w:cs="Calibri" w:eastAsia="Calibri" w:hAnsi="Calibri"/>
          <w:b/>
          <w:bCs/>
          <w:color w:val="1E3A5F"/>
          <w:sz w:val="19"/>
          <w:szCs w:val="19"/>
        </w:rPr>
        <w:t xml:space="preserve">Fuente de la consulta: </w:t>
      </w:r>
      <w:r>
        <w:rPr>
          <w:rFonts w:ascii="Calibri" w:cs="Calibri" w:eastAsia="Calibri" w:hAnsi="Calibri"/>
          <w:color w:val="334155"/>
          <w:sz w:val="19"/>
          <w:szCs w:val="19"/>
        </w:rPr>
        <w:t xml:space="preserve">Texto consolidado de la Ley 118/2014 (arts. 34–45), Diario Oficial/RAE y copias de la Gaceta Oficial de la República de Cuba. (consultado el 29/10/2026).</w:t>
      </w:r>
    </w:p>
    <w:p>
      <w:pPr>
        <w:pStyle w:val="Heading2"/>
        <w:spacing w:after="80" w:before="220"/>
      </w:pPr>
      <w:r>
        <w:rPr>
          <w:rFonts w:ascii="Calibri" w:cs="Calibri" w:eastAsia="Calibri" w:hAnsi="Calibri"/>
          <w:b/>
          <w:bCs/>
          <w:color w:val="1E3A5F"/>
          <w:sz w:val="24"/>
          <w:szCs w:val="24"/>
        </w:rPr>
        <w:t xml:space="preserve">N-02 — Decreto-Ley 128 de 2026, modificativo de la Ley 118 «De la Inversión Extranjera» (firmado el 28 de julio de 2026; publicado en la Gaceta Oficial No. 73 Ordinaria de 2026, con vigencia inmediata; parte de las 176 transformaciones aprobadas el 19 de junio de 2026).</w:t>
      </w:r>
    </w:p>
    <w:p>
      <w:pPr>
        <w:spacing w:after="40" w:before="40"/>
        <w:jc w:val="left"/>
      </w:pPr>
      <w:r>
        <w:rPr>
          <w:rFonts w:ascii="Calibri" w:cs="Calibri" w:eastAsia="Calibri" w:hAnsi="Calibri"/>
          <w:b/>
          <w:bCs/>
          <w:color w:val="1E3A5F"/>
          <w:sz w:val="19"/>
          <w:szCs w:val="19"/>
        </w:rPr>
        <w:t xml:space="preserve">Qué establece: </w:t>
      </w:r>
      <w:r>
        <w:rPr>
          <w:rFonts w:ascii="Calibri" w:cs="Calibri" w:eastAsia="Calibri" w:hAnsi="Calibri"/>
          <w:color w:val="334155"/>
          <w:sz w:val="19"/>
          <w:szCs w:val="19"/>
        </w:rPr>
        <w:t xml:space="preserve">Art. 25 reformado: empresas mixtas y partes en AEI pueden abrir y operar cuentas en bancos del exterior con NOTIFICACIÓN al Banco Central (ya no autorización previa), y concertar operaciones crediticias con instituciones financieras extranjeras (Resolución 100/2026 del BCU). Art. 29 reformado: los órganos de dirección deciden el destino de las utilidades, incluida la creación de un fondo de estimulación; posibilidad de gratificaciones en divisas a trabajadores; EXCLUIDO para contratos de administración hotelera, productiva o de servicios y de prestación de servicios profesionales. Art. 30.1 reformado: los trabajadores pueden ser contratados DIRECTAMENTE por las partes de la AEI o a través de entidades empleadoras autorizadas por el MTSS (Acuerdo 10443/2026 del Consejo de Ministros; Resolución 56/2026 del MTSS).</w:t>
      </w:r>
    </w:p>
    <w:p>
      <w:pPr>
        <w:spacing w:after="40" w:before="40"/>
        <w:jc w:val="left"/>
      </w:pPr>
      <w:r>
        <w:rPr>
          <w:rFonts w:ascii="Calibri" w:cs="Calibri" w:eastAsia="Calibri" w:hAnsi="Calibri"/>
          <w:b/>
          <w:bCs/>
          <w:color w:val="1E3A5F"/>
          <w:sz w:val="19"/>
          <w:szCs w:val="19"/>
        </w:rPr>
        <w:t xml:space="preserve">Aplicación al proyecto: </w:t>
      </w:r>
      <w:r>
        <w:rPr>
          <w:rFonts w:ascii="Calibri" w:cs="Calibri" w:eastAsia="Calibri" w:hAnsi="Calibri"/>
          <w:color w:val="334155"/>
          <w:sz w:val="19"/>
          <w:szCs w:val="19"/>
        </w:rPr>
        <w:t xml:space="preserve">Define la modalidad de contratación laboral aplicable (consulta de fuerza de trabajo) y amplía la gestión de divisas y utilidades del negocio. No se identificó en las reseñas consultadas que modifique los artículos 34 a 45 (régimen tributario).</w:t>
      </w:r>
    </w:p>
    <w:p>
      <w:pPr>
        <w:spacing w:after="40" w:before="40"/>
        <w:jc w:val="left"/>
      </w:pPr>
      <w:r>
        <w:rPr>
          <w:rFonts w:ascii="Calibri" w:cs="Calibri" w:eastAsia="Calibri" w:hAnsi="Calibri"/>
          <w:b/>
          <w:bCs/>
          <w:color w:val="1E3A5F"/>
          <w:sz w:val="19"/>
          <w:szCs w:val="19"/>
        </w:rPr>
        <w:t xml:space="preserve">Verificación pendiente: </w:t>
      </w:r>
      <w:r>
        <w:rPr>
          <w:rFonts w:ascii="Calibri" w:cs="Calibri" w:eastAsia="Calibri" w:hAnsi="Calibri"/>
          <w:color w:val="334155"/>
          <w:sz w:val="19"/>
          <w:szCs w:val="19"/>
        </w:rPr>
        <w:t xml:space="preserve">Texto íntegro del Decreto-Ley 128 (Gaceta No. 73/2026) para confirmar qué artículos de la Ley 118 quedaron reformados y su efecto sobre ESTE CAEI, incluida la exclusión del art. 29 reformado.</w:t>
      </w:r>
    </w:p>
    <w:p>
      <w:pPr>
        <w:spacing w:after="40" w:before="40"/>
        <w:jc w:val="left"/>
      </w:pPr>
      <w:r>
        <w:rPr>
          <w:rFonts w:ascii="Calibri" w:cs="Calibri" w:eastAsia="Calibri" w:hAnsi="Calibri"/>
          <w:b/>
          <w:bCs/>
          <w:color w:val="1E3A5F"/>
          <w:sz w:val="19"/>
          <w:szCs w:val="19"/>
        </w:rPr>
        <w:t xml:space="preserve">Fuente de la consulta: </w:t>
      </w:r>
      <w:r>
        <w:rPr>
          <w:rFonts w:ascii="Calibri" w:cs="Calibri" w:eastAsia="Calibri" w:hAnsi="Calibri"/>
          <w:color w:val="334155"/>
          <w:sz w:val="19"/>
          <w:szCs w:val="19"/>
        </w:rPr>
        <w:t xml:space="preserve">Gaceta Oficial No. 73 Ordinaria de 2026; reseñas de MINCEX (octubre 2026) y prensa especializada del 3 de septiembre de 2026. (consultado el 29/10/2026).</w:t>
      </w:r>
    </w:p>
    <w:p>
      <w:pPr>
        <w:pStyle w:val="Heading2"/>
        <w:spacing w:after="80" w:before="220"/>
      </w:pPr>
      <w:r>
        <w:rPr>
          <w:rFonts w:ascii="Calibri" w:cs="Calibri" w:eastAsia="Calibri" w:hAnsi="Calibri"/>
          <w:b/>
          <w:bCs/>
          <w:color w:val="1E3A5F"/>
          <w:sz w:val="24"/>
          <w:szCs w:val="24"/>
        </w:rPr>
        <w:t xml:space="preserve">N-03 — Ley 113 «Del Sistema Tributario», de 23 de julio de 2012 (GOC-2012-O53), texto concordado y actualizado (Edición Especial No. 1 de 12 de enero de 2026 tras el Decreto-Ley 21/2020 y el Decreto-Ley 107/2025, entre otros).</w:t>
      </w:r>
    </w:p>
    <w:p>
      <w:pPr>
        <w:spacing w:after="40" w:before="40"/>
        <w:jc w:val="left"/>
      </w:pPr>
      <w:r>
        <w:rPr>
          <w:rFonts w:ascii="Calibri" w:cs="Calibri" w:eastAsia="Calibri" w:hAnsi="Calibri"/>
          <w:b/>
          <w:bCs/>
          <w:color w:val="1E3A5F"/>
          <w:sz w:val="19"/>
          <w:szCs w:val="19"/>
        </w:rPr>
        <w:t xml:space="preserve">Qué establece: </w:t>
      </w:r>
      <w:r>
        <w:rPr>
          <w:rFonts w:ascii="Calibri" w:cs="Calibri" w:eastAsia="Calibri" w:hAnsi="Calibri"/>
          <w:color w:val="334155"/>
          <w:sz w:val="19"/>
          <w:szCs w:val="19"/>
        </w:rPr>
        <w:t xml:space="preserve">Tributos, principios y procedimientos generales del sistema tributario cubano. El impuesto sobre utilidades de las entidades aplica la tasa general del 35 % — confirmada para 2026 por la Ley del Presupuesto del Estado (Ley 181/2025): «35 % sobre utilidades». Contiene además el impuesto de transporte terrestre, la contribución territorial para el desarrollo local (aplicación local) y la tasa de radicación de anuncios, partidas que el expediente incluye en «otros impuestos».</w:t>
      </w:r>
    </w:p>
    <w:p>
      <w:pPr>
        <w:spacing w:after="40" w:before="40"/>
        <w:jc w:val="left"/>
      </w:pPr>
      <w:r>
        <w:rPr>
          <w:rFonts w:ascii="Calibri" w:cs="Calibri" w:eastAsia="Calibri" w:hAnsi="Calibri"/>
          <w:b/>
          <w:bCs/>
          <w:color w:val="1E3A5F"/>
          <w:sz w:val="19"/>
          <w:szCs w:val="19"/>
        </w:rPr>
        <w:t xml:space="preserve">Aplicación al proyecto: </w:t>
      </w:r>
      <w:r>
        <w:rPr>
          <w:rFonts w:ascii="Calibri" w:cs="Calibri" w:eastAsia="Calibri" w:hAnsi="Calibri"/>
          <w:color w:val="334155"/>
          <w:sz w:val="19"/>
          <w:szCs w:val="19"/>
        </w:rPr>
        <w:t xml:space="preserve">Es la tasa general (35 %) que aplicaría SOLO si el negocio quedara excluido del régimen especial de la Ley 118 por su artículo 43. Las demás partidas del expediente (transporte, desarrollo local, anuncios) se rigen por esta ley en lo que no esté eximido.</w:t>
      </w:r>
    </w:p>
    <w:p>
      <w:pPr>
        <w:spacing w:after="40" w:before="40"/>
        <w:jc w:val="left"/>
      </w:pPr>
      <w:r>
        <w:rPr>
          <w:rFonts w:ascii="Calibri" w:cs="Calibri" w:eastAsia="Calibri" w:hAnsi="Calibri"/>
          <w:b/>
          <w:bCs/>
          <w:color w:val="1E3A5F"/>
          <w:sz w:val="19"/>
          <w:szCs w:val="19"/>
        </w:rPr>
        <w:t xml:space="preserve">Verificación pendiente: </w:t>
      </w:r>
      <w:r>
        <w:rPr>
          <w:rFonts w:ascii="Calibri" w:cs="Calibri" w:eastAsia="Calibri" w:hAnsi="Calibri"/>
          <w:color w:val="334155"/>
          <w:sz w:val="19"/>
          <w:szCs w:val="19"/>
        </w:rPr>
        <w:t xml:space="preserve">Confirmación con el asesor jurídico de la tasa vigente para cada tributo en 2026 y de las exenciones aplicables por la Ley 118 (arts. 41 y 42) durante el período que corresponda.</w:t>
      </w:r>
    </w:p>
    <w:p>
      <w:pPr>
        <w:spacing w:after="40" w:before="40"/>
        <w:jc w:val="left"/>
      </w:pPr>
      <w:r>
        <w:rPr>
          <w:rFonts w:ascii="Calibri" w:cs="Calibri" w:eastAsia="Calibri" w:hAnsi="Calibri"/>
          <w:b/>
          <w:bCs/>
          <w:color w:val="1E3A5F"/>
          <w:sz w:val="19"/>
          <w:szCs w:val="19"/>
        </w:rPr>
        <w:t xml:space="preserve">Fuente de la consulta: </w:t>
      </w:r>
      <w:r>
        <w:rPr>
          <w:rFonts w:ascii="Calibri" w:cs="Calibri" w:eastAsia="Calibri" w:hAnsi="Calibri"/>
          <w:color w:val="334155"/>
          <w:sz w:val="19"/>
          <w:szCs w:val="19"/>
        </w:rPr>
        <w:t xml:space="preserve">Gaceta Oficial (gacetaoficial.gob.cu), ficha de la Ley 113 con sus normas modificativas; reseña de la Ley 181/2025 (Presupuesto 2026). (consultado el 29/10/2026).</w:t>
      </w:r>
    </w:p>
    <w:p>
      <w:pPr>
        <w:pStyle w:val="Heading2"/>
        <w:spacing w:after="80" w:before="220"/>
      </w:pPr>
      <w:r>
        <w:rPr>
          <w:rFonts w:ascii="Calibri" w:cs="Calibri" w:eastAsia="Calibri" w:hAnsi="Calibri"/>
          <w:b/>
          <w:bCs/>
          <w:color w:val="1E3A5F"/>
          <w:sz w:val="24"/>
          <w:szCs w:val="24"/>
        </w:rPr>
        <w:t xml:space="preserve">N-04 — Decreto-Ley 113 de 2025 «Sobre las transacciones en divisas en la economía nacional» (10 de diciembre de 2025; GOC-2025-536-O89), con la Resolución 140/2025 del MEP (bases generales del sistema de gestión, control y asignación de divisas — modificada en 2026, GOC-2026-O141) y las Resoluciones 125 y 126/2025 del BCU (cuentas en divisas y asignación de capacidad de acceso a la divisa, ACAD).</w:t>
      </w:r>
    </w:p>
    <w:p>
      <w:pPr>
        <w:spacing w:after="40" w:before="40"/>
        <w:jc w:val="left"/>
      </w:pPr>
      <w:r>
        <w:rPr>
          <w:rFonts w:ascii="Calibri" w:cs="Calibri" w:eastAsia="Calibri" w:hAnsi="Calibri"/>
          <w:b/>
          <w:bCs/>
          <w:color w:val="1E3A5F"/>
          <w:sz w:val="19"/>
          <w:szCs w:val="19"/>
        </w:rPr>
        <w:t xml:space="preserve">Qué establece: </w:t>
      </w:r>
      <w:r>
        <w:rPr>
          <w:rFonts w:ascii="Calibri" w:cs="Calibri" w:eastAsia="Calibri" w:hAnsi="Calibri"/>
          <w:color w:val="334155"/>
          <w:sz w:val="19"/>
          <w:szCs w:val="19"/>
        </w:rPr>
        <w:t xml:space="preserve">Actualiza el régimen jurídico de las transacciones en divisas: autoriza operaciones en divisas a personas jurídicas y naturales (incluidas las asociaciones económicas internacionales, expresamente dentro del ámbito de la Resolución 140/2025), regula las cuentas en divisas y el acceso a la divisa mediante capacidad asignada (ACAD), y faculta al BCU a declarar monedas de curso legal. El Ministerio de Economía y Planificación informa trimestralmente al Consejo de Ministros.</w:t>
      </w:r>
    </w:p>
    <w:p>
      <w:pPr>
        <w:spacing w:after="40" w:before="40"/>
        <w:jc w:val="left"/>
      </w:pPr>
      <w:r>
        <w:rPr>
          <w:rFonts w:ascii="Calibri" w:cs="Calibri" w:eastAsia="Calibri" w:hAnsi="Calibri"/>
          <w:b/>
          <w:bCs/>
          <w:color w:val="1E3A5F"/>
          <w:sz w:val="19"/>
          <w:szCs w:val="19"/>
        </w:rPr>
        <w:t xml:space="preserve">Aplicación al proyecto: </w:t>
      </w:r>
      <w:r>
        <w:rPr>
          <w:rFonts w:ascii="Calibri" w:cs="Calibri" w:eastAsia="Calibri" w:hAnsi="Calibri"/>
          <w:color w:val="334155"/>
          <w:sz w:val="19"/>
          <w:szCs w:val="19"/>
        </w:rPr>
        <w:t xml:space="preserve">Es el marco vigente de la divisa para la AEI (ingresos en divisas, pagos de insumos importados, cuentas bancarias). La tasa de cambio oficial del Banco Central de Cuba consultada el 29/10/2026 es de 758,00 CUP por USD (844,18 por EUR; 539,41 por CAD), con tasas de compra/venta por segmento — sustancialmente distinta de las tasas 24 y 120 que coexisten en el expediente (C-01).</w:t>
      </w:r>
    </w:p>
    <w:p>
      <w:pPr>
        <w:spacing w:after="40" w:before="40"/>
        <w:jc w:val="left"/>
      </w:pPr>
      <w:r>
        <w:rPr>
          <w:rFonts w:ascii="Calibri" w:cs="Calibri" w:eastAsia="Calibri" w:hAnsi="Calibri"/>
          <w:b/>
          <w:bCs/>
          <w:color w:val="1E3A5F"/>
          <w:sz w:val="19"/>
          <w:szCs w:val="19"/>
        </w:rPr>
        <w:t xml:space="preserve">Verificación pendiente: </w:t>
      </w:r>
      <w:r>
        <w:rPr>
          <w:rFonts w:ascii="Calibri" w:cs="Calibri" w:eastAsia="Calibri" w:hAnsi="Calibri"/>
          <w:color w:val="334155"/>
          <w:sz w:val="19"/>
          <w:szCs w:val="19"/>
        </w:rPr>
        <w:t xml:space="preserve">Determinación del régimen cambiario aplicable a la contabilidad y los estados financieros de ESTA AEI (tasa oficial de referencia, fecha de aplicación y conversión de los aportes en especie importados), y de la capacidad de acceso a la divisa que se le asignará (Q-08 y V-07).</w:t>
      </w:r>
    </w:p>
    <w:p>
      <w:pPr>
        <w:spacing w:after="40" w:before="40"/>
        <w:jc w:val="left"/>
      </w:pPr>
      <w:r>
        <w:rPr>
          <w:rFonts w:ascii="Calibri" w:cs="Calibri" w:eastAsia="Calibri" w:hAnsi="Calibri"/>
          <w:b/>
          <w:bCs/>
          <w:color w:val="1E3A5F"/>
          <w:sz w:val="19"/>
          <w:szCs w:val="19"/>
        </w:rPr>
        <w:t xml:space="preserve">Fuente de la consulta: </w:t>
      </w:r>
      <w:r>
        <w:rPr>
          <w:rFonts w:ascii="Calibri" w:cs="Calibri" w:eastAsia="Calibri" w:hAnsi="Calibri"/>
          <w:color w:val="334155"/>
          <w:sz w:val="19"/>
          <w:szCs w:val="19"/>
        </w:rPr>
        <w:t xml:space="preserve">Banco Central de Cuba (bc.gob.cu, tasas del 29/10/2026); Gaceta Oficial No. 89 Ordinaria de 2025; reseñas oficiales de diciembre de 2025. (consultado el 29/10/2026).</w:t>
      </w:r>
    </w:p>
    <w:p>
      <w:pPr>
        <w:pStyle w:val="Heading2"/>
        <w:spacing w:after="80" w:before="220"/>
      </w:pPr>
      <w:r>
        <w:rPr>
          <w:rFonts w:ascii="Calibri" w:cs="Calibri" w:eastAsia="Calibri" w:hAnsi="Calibri"/>
          <w:b/>
          <w:bCs/>
          <w:color w:val="1E3A5F"/>
          <w:sz w:val="24"/>
          <w:szCs w:val="24"/>
        </w:rPr>
        <w:t xml:space="preserve">N-05 — GOC-2026-O57, de 9 de julio de 2026 — «Bases metodológicas para la elaboración del Plan de Negocios para la presentación de las propuestas de negocios con inversión extranjera».</w:t>
      </w:r>
    </w:p>
    <w:p>
      <w:pPr>
        <w:spacing w:after="40" w:before="40"/>
        <w:jc w:val="left"/>
      </w:pPr>
      <w:r>
        <w:rPr>
          <w:rFonts w:ascii="Calibri" w:cs="Calibri" w:eastAsia="Calibri" w:hAnsi="Calibri"/>
          <w:b/>
          <w:bCs/>
          <w:color w:val="1E3A5F"/>
          <w:sz w:val="19"/>
          <w:szCs w:val="19"/>
        </w:rPr>
        <w:t xml:space="preserve">Qué establece: </w:t>
      </w:r>
      <w:r>
        <w:rPr>
          <w:rFonts w:ascii="Calibri" w:cs="Calibri" w:eastAsia="Calibri" w:hAnsi="Calibri"/>
          <w:color w:val="334155"/>
          <w:sz w:val="19"/>
          <w:szCs w:val="19"/>
        </w:rPr>
        <w:t xml:space="preserve">Metodología de referencia del plan de negocios: estructura de los apartados 4.1 a 4.12 (información general, resumen ejecutivo, descripción del negocio, aspectos técnicos y operativos, análisis financiero, flujos de caja, mercado, fuerza de trabajo, inversiones, beneficios directos al país y conclusiones), exigencias de coherencia de cifras y presentación de la propuesta ante las autoridades competentes.</w:t>
      </w:r>
    </w:p>
    <w:p>
      <w:pPr>
        <w:spacing w:after="40" w:before="40"/>
        <w:jc w:val="left"/>
      </w:pPr>
      <w:r>
        <w:rPr>
          <w:rFonts w:ascii="Calibri" w:cs="Calibri" w:eastAsia="Calibri" w:hAnsi="Calibri"/>
          <w:b/>
          <w:bCs/>
          <w:color w:val="1E3A5F"/>
          <w:sz w:val="19"/>
          <w:szCs w:val="19"/>
        </w:rPr>
        <w:t xml:space="preserve">Aplicación al proyecto: </w:t>
      </w:r>
      <w:r>
        <w:rPr>
          <w:rFonts w:ascii="Calibri" w:cs="Calibri" w:eastAsia="Calibri" w:hAnsi="Calibri"/>
          <w:color w:val="334155"/>
          <w:sz w:val="19"/>
          <w:szCs w:val="19"/>
        </w:rPr>
        <w:t xml:space="preserve">Es la metodología que la aplicación PLANEX implementa y contra la cual se midió la cobertura del expediente (55,3 % de campos obligatorios con evidencia suficiente, 15 parciales, 6 pendientes y 4 dinámicos). El plan solo puede presentarse cuando los campos pendientes tengan evidencia y las contradicciones registradas estén resueltas por el promotor.</w:t>
      </w:r>
    </w:p>
    <w:p>
      <w:pPr>
        <w:spacing w:after="40" w:before="40"/>
        <w:jc w:val="left"/>
      </w:pPr>
      <w:r>
        <w:rPr>
          <w:rFonts w:ascii="Calibri" w:cs="Calibri" w:eastAsia="Calibri" w:hAnsi="Calibri"/>
          <w:b/>
          <w:bCs/>
          <w:color w:val="1E3A5F"/>
          <w:sz w:val="19"/>
          <w:szCs w:val="19"/>
        </w:rPr>
        <w:t xml:space="preserve">Verificación pendiente: </w:t>
      </w:r>
      <w:r>
        <w:rPr>
          <w:rFonts w:ascii="Calibri" w:cs="Calibri" w:eastAsia="Calibri" w:hAnsi="Calibri"/>
          <w:color w:val="334155"/>
          <w:sz w:val="19"/>
          <w:szCs w:val="19"/>
        </w:rPr>
        <w:t xml:space="preserve">Revisión por especialistas de la versión vigente del documento metodológico y de los requisitos de presentación formal para la modalidad CAEI.</w:t>
      </w:r>
    </w:p>
    <w:p>
      <w:pPr>
        <w:spacing w:after="40" w:before="40"/>
        <w:jc w:val="left"/>
      </w:pPr>
      <w:r>
        <w:rPr>
          <w:rFonts w:ascii="Calibri" w:cs="Calibri" w:eastAsia="Calibri" w:hAnsi="Calibri"/>
          <w:b/>
          <w:bCs/>
          <w:color w:val="1E3A5F"/>
          <w:sz w:val="19"/>
          <w:szCs w:val="19"/>
        </w:rPr>
        <w:t xml:space="preserve">Fuente de la consulta: </w:t>
      </w:r>
      <w:r>
        <w:rPr>
          <w:rFonts w:ascii="Calibri" w:cs="Calibri" w:eastAsia="Calibri" w:hAnsi="Calibri"/>
          <w:color w:val="334155"/>
          <w:sz w:val="19"/>
          <w:szCs w:val="19"/>
        </w:rPr>
        <w:t xml:space="preserve">Documento de referencia de la misión (texto suministrado del GOC-2026-O57, 9 de julio de 2026). (consultado el 29/10/2026).</w:t>
      </w:r>
    </w:p>
    <w:p>
      <w:pPr>
        <w:pStyle w:val="Heading2"/>
        <w:spacing w:after="80" w:before="220"/>
      </w:pPr>
      <w:r>
        <w:rPr>
          <w:rFonts w:ascii="Calibri" w:cs="Calibri" w:eastAsia="Calibri" w:hAnsi="Calibri"/>
          <w:b/>
          <w:bCs/>
          <w:color w:val="1E3A5F"/>
          <w:sz w:val="24"/>
          <w:szCs w:val="24"/>
        </w:rPr>
        <w:t xml:space="preserve">N-06 — Ley 181/2025 «Del Presupuesto del Estado» para el año 2026 (GOC-2025-O99), y leyes anuales del presupuesto precedentes (Ley 174/2024) en lo que adecúan la Ley 113.</w:t>
      </w:r>
    </w:p>
    <w:p>
      <w:pPr>
        <w:spacing w:after="40" w:before="40"/>
        <w:jc w:val="left"/>
      </w:pPr>
      <w:r>
        <w:rPr>
          <w:rFonts w:ascii="Calibri" w:cs="Calibri" w:eastAsia="Calibri" w:hAnsi="Calibri"/>
          <w:b/>
          <w:bCs/>
          <w:color w:val="1E3A5F"/>
          <w:sz w:val="19"/>
          <w:szCs w:val="19"/>
        </w:rPr>
        <w:t xml:space="preserve">Qué establece: </w:t>
      </w:r>
      <w:r>
        <w:rPr>
          <w:rFonts w:ascii="Calibri" w:cs="Calibri" w:eastAsia="Calibri" w:hAnsi="Calibri"/>
          <w:color w:val="334155"/>
          <w:sz w:val="19"/>
          <w:szCs w:val="19"/>
        </w:rPr>
        <w:t xml:space="preserve">Consolida para 2026 los tipos impositivos vigentes: «35 % sobre utilidades» y 15 % como tasa general de los impuestos sobre las ventas minoristas y los servicios (incluyendo mipymes y cooperativas no agropecuarias).</w:t>
      </w:r>
    </w:p>
    <w:p>
      <w:pPr>
        <w:spacing w:after="40" w:before="40"/>
        <w:jc w:val="left"/>
      </w:pPr>
      <w:r>
        <w:rPr>
          <w:rFonts w:ascii="Calibri" w:cs="Calibri" w:eastAsia="Calibri" w:hAnsi="Calibri"/>
          <w:b/>
          <w:bCs/>
          <w:color w:val="1E3A5F"/>
          <w:sz w:val="19"/>
          <w:szCs w:val="19"/>
        </w:rPr>
        <w:t xml:space="preserve">Aplicación al proyecto: </w:t>
      </w:r>
      <w:r>
        <w:rPr>
          <w:rFonts w:ascii="Calibri" w:cs="Calibri" w:eastAsia="Calibri" w:hAnsi="Calibri"/>
          <w:color w:val="334155"/>
          <w:sz w:val="19"/>
          <w:szCs w:val="19"/>
        </w:rPr>
        <w:t xml:space="preserve">Confirma que la tasa general del impuesto sobre utilidades sigue siendo 35 % en 2026, y que el 15 % del expediente SOLO puede sostenerse por el régimen especial de la Ley 118 (art. 36.1) para esta modalidad de AEI.</w:t>
      </w:r>
    </w:p>
    <w:p>
      <w:pPr>
        <w:spacing w:after="40" w:before="40"/>
        <w:jc w:val="left"/>
      </w:pPr>
      <w:r>
        <w:rPr>
          <w:rFonts w:ascii="Calibri" w:cs="Calibri" w:eastAsia="Calibri" w:hAnsi="Calibri"/>
          <w:b/>
          <w:bCs/>
          <w:color w:val="1E3A5F"/>
          <w:sz w:val="19"/>
          <w:szCs w:val="19"/>
        </w:rPr>
        <w:t xml:space="preserve">Verificación pendiente: </w:t>
      </w:r>
      <w:r>
        <w:rPr>
          <w:rFonts w:ascii="Calibri" w:cs="Calibri" w:eastAsia="Calibri" w:hAnsi="Calibri"/>
          <w:color w:val="334155"/>
          <w:sz w:val="19"/>
          <w:szCs w:val="19"/>
        </w:rPr>
        <w:t xml:space="preserve">Comprobación anual (ley del presupuesto vigente al momento de la presentación) de que no cambia la tasa aplicable al negocio.</w:t>
      </w:r>
    </w:p>
    <w:p>
      <w:pPr>
        <w:spacing w:after="40" w:before="40"/>
        <w:jc w:val="left"/>
      </w:pPr>
      <w:r>
        <w:rPr>
          <w:rFonts w:ascii="Calibri" w:cs="Calibri" w:eastAsia="Calibri" w:hAnsi="Calibri"/>
          <w:b/>
          <w:bCs/>
          <w:color w:val="1E3A5F"/>
          <w:sz w:val="19"/>
          <w:szCs w:val="19"/>
        </w:rPr>
        <w:t xml:space="preserve">Fuente de la consulta: </w:t>
      </w:r>
      <w:r>
        <w:rPr>
          <w:rFonts w:ascii="Calibri" w:cs="Calibri" w:eastAsia="Calibri" w:hAnsi="Calibri"/>
          <w:color w:val="334155"/>
          <w:sz w:val="19"/>
          <w:szCs w:val="19"/>
        </w:rPr>
        <w:t xml:space="preserve">Reseñas de la Gaceta Oficial y prensa económica (enero de 2026) sobre la Ley del Presupuesto 2026. (consultado el 29/10/2026).</w:t>
      </w:r>
    </w:p>
    <w:p>
      <w:pPr>
        <w:pStyle w:val="Heading1"/>
        <w:pageBreakBefore/>
      </w:pPr>
      <w:bookmarkStart w:name="_Toc5" w:id="5"/>
      <w:r>
        <w:rPr>
          <w:rFonts w:ascii="Calibri" w:cs="Calibri" w:eastAsia="Calibri" w:hAnsi="Calibri"/>
          <w:b/>
          <w:bCs/>
          <w:color w:val="1E3A5F"/>
          <w:sz w:val="30"/>
          <w:szCs w:val="30"/>
        </w:rPr>
        <w:t xml:space="preserve">4. Consultas al promotor</w:t>
      </w:r>
      <w:bookmarkEnd w:id="5"/>
    </w:p>
    <w:p>
      <w:pPr>
        <w:spacing w:after="60" w:before="60" w:line="276"/>
        <w:jc w:val="both"/>
      </w:pPr>
      <w:r>
        <w:rPr>
          <w:rFonts w:ascii="Calibri" w:cs="Calibri" w:eastAsia="Calibri" w:hAnsi="Calibri"/>
          <w:color w:val="334155"/>
          <w:sz w:val="20"/>
          <w:szCs w:val="20"/>
        </w:rPr>
        <w:t xml:space="preserve">Se formulan 28 consultas: 6 críticas (bloquean la presentación del plan), 18 de prioridad alta y el resto de prioridad media. Cada consulta es autocontenida: puede enviarse a su destinatario por separado. La numeración es estable — las respuestas pueden citarse por su identificador Q-## en cualquier correspondencia.</w:t>
      </w:r>
    </w:p>
    <w:p>
      <w:pPr>
        <w:pStyle w:val="Heading1"/>
        <w:pageBreakBefore/>
      </w:pPr>
      <w:bookmarkStart w:name="_Toc6" w:id="6"/>
      <w:r>
        <w:rPr>
          <w:rFonts w:ascii="Calibri" w:cs="Calibri" w:eastAsia="Calibri" w:hAnsi="Calibri"/>
          <w:b/>
          <w:bCs/>
          <w:color w:val="1E3A5F"/>
          <w:sz w:val="30"/>
          <w:szCs w:val="30"/>
        </w:rPr>
        <w:t xml:space="preserve">4.1 Identidad y marco jurídico (7)</w:t>
      </w:r>
      <w:bookmarkEnd w:id="6"/>
    </w:p>
    <w:p>
      <w:pPr>
        <w:pStyle w:val="Heading2"/>
        <w:spacing w:after="80" w:before="220"/>
      </w:pPr>
      <w:r>
        <w:rPr>
          <w:rFonts w:ascii="Calibri" w:cs="Calibri" w:eastAsia="Calibri" w:hAnsi="Calibri"/>
          <w:b/>
          <w:bCs/>
          <w:color w:val="1E3A5F"/>
          <w:sz w:val="24"/>
          <w:szCs w:val="24"/>
        </w:rPr>
        <w:t xml:space="preserve">Q-01 · Alta · Denominación formal del proyecto e identificación comercial</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la denominación formal del proyecto y la identificación comercial con la que debe presentarse el plan (nombre del Centro, marca, siglas)?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alterna «Centro Internacional Estomatológico de alta tecnología» (F01, objeto contractual), «CENTRO INTERNACIONAL ESTOMATOLOGIA HOLGUIN» (F02, portada) y referencias al «Centro» sin nombre propio (F01, cláusula del usufructo). Brecha B-02.</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portada, el título del plan (4.1/4.2) y todos los documentos exportados deben llevar la denominación exacta que el promotor presentará a las autoridades; un nombre no documentado no puede inventarse.</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Escrito breve de las partes con la denominación oficial y la identificación comercial (incluida la marca, si está registrada — V-08).</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B-02 · V-08</w:t>
      </w:r>
    </w:p>
    <w:p>
      <w:pPr>
        <w:pStyle w:val="Heading2"/>
        <w:spacing w:after="80" w:before="220"/>
      </w:pPr>
      <w:r>
        <w:rPr>
          <w:rFonts w:ascii="Calibri" w:cs="Calibri" w:eastAsia="Calibri" w:hAnsi="Calibri"/>
          <w:b/>
          <w:bCs/>
          <w:color w:val="1E3A5F"/>
          <w:sz w:val="24"/>
          <w:szCs w:val="24"/>
        </w:rPr>
        <w:t xml:space="preserve">Q-02 · Alta · Localización exacta del Centro</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la dirección exacta del inmueble y su descripción (superficie, estado, plantas)?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contrato de AEI (F01) deja EN BLANCO la ubicación del inmueble aportado por usufructo: «su ubicación se encuentra en __________, provincia Holguín». Brecha B-08.</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localización es un campo obligatorio del apartado 4.1, condiciona licencias, costos de remodelación y el estudio de mercado territorial; no puede sustituirse por «provincia Holguín».</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Dirección exacta del inmueble (y plano o croquis si existe), con la referencia catastral de que se disponga.</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B-08</w:t>
      </w:r>
    </w:p>
    <w:p>
      <w:pPr>
        <w:pStyle w:val="Heading2"/>
        <w:spacing w:after="80" w:before="220"/>
      </w:pPr>
      <w:r>
        <w:rPr>
          <w:rFonts w:ascii="Calibri" w:cs="Calibri" w:eastAsia="Calibri" w:hAnsi="Calibri"/>
          <w:b/>
          <w:bCs/>
          <w:color w:val="1E3A5F"/>
          <w:sz w:val="24"/>
          <w:szCs w:val="24"/>
        </w:rPr>
        <w:t xml:space="preserve">Q-03 · Alta · Reparto de beneficios: 50/50 del contrato frente a 49/51 de la tabla de aportaciones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regla gobierna el reparto: el 50/50 de la cláusula 7.5 del contrato o la participación 49/51 que declara la tabla de aportaciones del expediente?</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Contrato F01 (cláusula 7.5; registro H-013): reparto de beneficios 50/50. Tabla de aportaciones de F02/F08: participación declarada 49 % CSMC / 51 % Leisure. Contradicción C-05, brecha B-04.</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reparto determina el dividendo por socio (4.11) y la presentación del negocio ante las autoridades; dos reglas incompatibles no pueden coexistir en el plan presentable.</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Decisión escrita de las partes (acta del Consejo de Administración) que deje sin efecto una de las dos reglas o corrija la tabla de aportaciones.</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C-05 · B-04 · H-013</w:t>
      </w:r>
    </w:p>
    <w:p>
      <w:pPr>
        <w:pStyle w:val="Heading2"/>
        <w:spacing w:after="80" w:before="220"/>
      </w:pPr>
      <w:r>
        <w:rPr>
          <w:rFonts w:ascii="Calibri" w:cs="Calibri" w:eastAsia="Calibri" w:hAnsi="Calibri"/>
          <w:b/>
          <w:bCs/>
          <w:color w:val="1E3A5F"/>
          <w:sz w:val="24"/>
          <w:szCs w:val="24"/>
        </w:rPr>
        <w:t xml:space="preserve">Q-04 · Media · Acreditación registral y domicilio único de Leisure Exporting LLC</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el domicilio social vigente de Leisure Exporting LLC y cuál es el documento que acredita su constitución y la representación de su Manager?</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declara dos domicilios incompatibles para Leisure Exporting LLC: «3964 South Cir Largo, Florida» (F01, comparecencia) y un acta notarial protocolizada en La Habana (C-09, brecha B-03).</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identificación de las partes (4.1) debe ser exacta y única para la presentación del CAEI ante el Registro Mercantil y las autoridades (V-02); un domicilio contradictorio retrasa la validación.</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Documento constitutivo vigente y certificado de domicilio de Leisure Exporting LLC (más aclaración de la protocolización cubana del 13 de septiembre de 2024).</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C-09 · B-03</w:t>
      </w:r>
    </w:p>
    <w:p>
      <w:pPr>
        <w:pStyle w:val="Heading2"/>
        <w:spacing w:after="80" w:before="220"/>
      </w:pPr>
      <w:r>
        <w:rPr>
          <w:rFonts w:ascii="Calibri" w:cs="Calibri" w:eastAsia="Calibri" w:hAnsi="Calibri"/>
          <w:b/>
          <w:bCs/>
          <w:color w:val="1E3A5F"/>
          <w:sz w:val="24"/>
          <w:szCs w:val="24"/>
        </w:rPr>
        <w:t xml:space="preserve">Q-05 · Media · Denominación exacta de la entidad cubana</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¿La entidad cubana es «Comercializadora de Servicios Médicos Cubanos, S.A.» (CSMC, S.A.)? ¿Cuál es su abreviatura oficial?</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alterna tres abreviaturas: SMC, CSMC y CMSM (C-10, brecha B-01). El contrato (F01) la identifica en su comparecencia como «Comercializadora de Servicios Médicos Cubanos, S.A., en forma abreviada CSMC, S.A.».</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identidad de las partes debe ser unívoca en todos los apartados del plan y en sus anexos.</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Confirmación escrita de la denominación y abreviatura oficiales (con sus datos registrales ya aportados en F01).</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C-10 · B-01</w:t>
      </w:r>
    </w:p>
    <w:p>
      <w:pPr>
        <w:pStyle w:val="Heading2"/>
        <w:spacing w:after="80" w:before="220"/>
      </w:pPr>
      <w:r>
        <w:rPr>
          <w:rFonts w:ascii="Calibri" w:cs="Calibri" w:eastAsia="Calibri" w:hAnsi="Calibri"/>
          <w:b/>
          <w:bCs/>
          <w:color w:val="1E3A5F"/>
          <w:sz w:val="24"/>
          <w:szCs w:val="24"/>
        </w:rPr>
        <w:t xml:space="preserve">Q-06 · CRÍTICA · Fecha de constitución formal de la AEI y aprobación por la autoridad competente</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¿En qué fecha quedó formalmente constituida la AEI y con qué resolución o acta la aprobó la autoridad competente? ¿Cuándo se prevé el Acta de Inicio de las Operaciones?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contrato (F01) define el Período de Preapertura y el Acta de Inicio de las Operaciones, pero el expediente no adjunta la aprobación de la constitución (V-01), la inscripción registral del CAEI (V-02), ni fechas legibles del cronograma (F08 p. 17, marcas gráficas — B-15).</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exención del impuesto sobre utilidades corre «a partir de la constitución» (Ley 118, art. 36.2): sin la fecha exacta no se puede ubicar el año 8 en el que el impuesto comienza (S-03), ni calibrar el cronograma del plan.</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Copia de la autorización de constitución de la AEI, certificación del Registro Mercantil del CAEI y cronograma con fechas precisas de preapertura e inicio de operaciones.</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V-01 · V-02 · B-15 · S-03</w:t>
      </w:r>
    </w:p>
    <w:p>
      <w:pPr>
        <w:pStyle w:val="Heading2"/>
        <w:spacing w:after="80" w:before="220"/>
      </w:pPr>
      <w:r>
        <w:rPr>
          <w:rFonts w:ascii="Calibri" w:cs="Calibri" w:eastAsia="Calibri" w:hAnsi="Calibri"/>
          <w:b/>
          <w:bCs/>
          <w:color w:val="1E3A5F"/>
          <w:sz w:val="24"/>
          <w:szCs w:val="24"/>
        </w:rPr>
        <w:t xml:space="preserve">Q-07 · Alta · Avalúo del derecho de usufructo y presupuesto de remodelación</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el avalúo del inmueble aportado por usufructo, existe certificación del derecho, y con qué presupuesto se remodelará/acondicionará el Centro para la operación?</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CSMC aporta «el derecho real de usufructo del inmueble» (F01, cláusula de puesta a disposición) sin avalúo adjunto ni certificado (brecha B-05); el expediente no contiene presupuesto de remodelación/montaje (brecha B-27) pese a que la valoración describe instalaciones deterioradas (dos servicios suspendidos y prótesis al 75 % de capacidad, F09).</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valor del usufructo es una aportación al fondo común (4.5/4.6) y la remodelación es una inversión potencialmente omitida del plan; ambos condicionan la inversión total y el reparto.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Certificado del derecho de usufructo con avalúo, y presupuesto de remodelación/montaje con su fuente (o decisión de asumir la remodelación fuera del fondo común).</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B-05 · B-27</w:t>
      </w:r>
    </w:p>
    <w:p>
      <w:pPr>
        <w:pStyle w:val="Heading1"/>
        <w:pageBreakBefore/>
      </w:pPr>
      <w:bookmarkStart w:name="_Toc7" w:id="7"/>
      <w:r>
        <w:rPr>
          <w:rFonts w:ascii="Calibri" w:cs="Calibri" w:eastAsia="Calibri" w:hAnsi="Calibri"/>
          <w:b/>
          <w:bCs/>
          <w:color w:val="1E3A5F"/>
          <w:sz w:val="30"/>
          <w:szCs w:val="30"/>
        </w:rPr>
        <w:t xml:space="preserve">4.2 Financiero y fiscal (11)</w:t>
      </w:r>
      <w:bookmarkEnd w:id="7"/>
    </w:p>
    <w:p>
      <w:pPr>
        <w:pStyle w:val="Heading2"/>
        <w:spacing w:after="80" w:before="220"/>
      </w:pPr>
      <w:r>
        <w:rPr>
          <w:rFonts w:ascii="Calibri" w:cs="Calibri" w:eastAsia="Calibri" w:hAnsi="Calibri"/>
          <w:b/>
          <w:bCs/>
          <w:color w:val="1E3A5F"/>
          <w:sz w:val="24"/>
          <w:szCs w:val="24"/>
        </w:rPr>
        <w:t xml:space="preserve">Q-08 · CRÍTICA · Tasa de cambio aplicable: 24, 120 o la tasa oficial vigente</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tasa de cambio gobierna el plan? ¿Qué tasa se aplica a la contabilidad y estados financieros de la AEI, qué tasa sustenta la lista de precios en CUP, y con qué tasa se valoran los aportes en especie importados?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usa DOS tasas simultáneas: 24 CUP/USD en TODOS los encabezados de sus tablas (inversión, insumos, totales «MUSD») y 120 CUP/USD en la lista de precios de los servicios (confirmada por F09: TPR 80,00 USD = 9 600 CUP; blanqueamiento 150,00 USD = 18 000 CUP). El modelo adopta la 120 documental (S-01) y conserva la contradicción (C-01). Adicionalmente, la tasa oficial del Banco Central de Cuba consultada el 29/10/2026 es de 758,00 CUP por USD bajo el régimen del Decreto-Ley 113/2025 — ninguna de las dos tasas del expediente coincide con la oficial vigente.</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Es la contradicción CRÍTICA y bloqueante del modelo: con la tasa 24 los indicadores del expediente no son verificables (sus «MUSD» son en realidad miles), y con la tasa documental 120 el costo material real (127,2 kUSD/año desde el año 2) EXCEDE el ingreso a precios de lista (115,8 kUSD/año): la rentabilidad declarada desaparece. Ninguna decisión económica puede presentarse sin resolverla (V-07).</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Decisión escrita del promotor con sustento normativo: (1) tasa aplicable a la contabilidad de la AEI (Banco Central, fecha de referencia); (2) vigencia de la lista de precios en CUP bajo el régimen de divisas vigente; (3) tratamiento cambiario de los aportes en especie importados. Con la tasa decidida, el modelo se recalcula cambiando UN parámetro.</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C-01 · V-07 · S-01</w:t>
      </w:r>
    </w:p>
    <w:p>
      <w:pPr>
        <w:pStyle w:val="Heading2"/>
        <w:spacing w:after="80" w:before="220"/>
      </w:pPr>
      <w:r>
        <w:rPr>
          <w:rFonts w:ascii="Calibri" w:cs="Calibri" w:eastAsia="Calibri" w:hAnsi="Calibri"/>
          <w:b/>
          <w:bCs/>
          <w:color w:val="1E3A5F"/>
          <w:sz w:val="24"/>
          <w:szCs w:val="24"/>
        </w:rPr>
        <w:t xml:space="preserve">Q-09 · CRÍTICA · Impuesto sobre utilidades: ¿por qué 15 % y no la tasa general de 35 %?</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¿El impuesto sobre utilidades de esta AEI se rige por el artículo 36 de la Ley 118 (15 % y exención de 8 años), o por la tasa general del 35 % de la Ley 113? ¿Qué pronunciamiento lo confirma por escrito?</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EERR del anexo (F08, p. 9) aplica 15 % SOLO en los años 8–10 y 0,00 en los años 1–7, sin citar base legal (C-15, brecha B-16, validación V-05). La investigación normativa halló sustento DIRECTO del patrón: la Ley 118 «De la Inversión Extranjera», artículo 36.1, fija el 15 % sobre la utilidad neta imponible para las partes en contratos de asociación económica internacional, y su artículo 36.2 concede la exención de 8 años a partir de la constitución (prorrogable). La tasa general del 35 % (Ley 113, confirmada por la Ley 181/2025 del Presupuesto 2026) solo aplicaría si el negocio quedara excluido del régimen especial: el artículo 43 excluye de este régimen a los contratos de administración hotelera, productiva o de servicios y a los de prestación de servicios profesionales.</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Es la pregunta fiscal CENTRAL del plan: si el negocio tributara al 35 % sin exención, la utilidad neta del horizonte caería ~35 % cada año frente al 15 % en solo 3 años. La exclusión del artículo 43 debe descartarse expresamente porque el objeto del CAEI es la prestación de servicios estomatológicos.</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Asesor jurídico del promotor</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Consulta o pronunciamiento escrito (ONAT/asesoría) que: (1) confirme la aplicación del artículo 36.1 (15 %) a este CAEI; (2) descarte la exclusión del artículo 43; (3) certifique que el Decreto-Ley 128/2026 no alteró los artículos 34 a 45. Con la norma verificada, se sustituye la regla de impuesto desde la interfaz sin editar código (S-02).</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C-15 · B-16 · V-05 · S-02</w:t>
      </w:r>
    </w:p>
    <w:p>
      <w:pPr>
        <w:pStyle w:val="Heading2"/>
        <w:spacing w:after="80" w:before="220"/>
      </w:pPr>
      <w:r>
        <w:rPr>
          <w:rFonts w:ascii="Calibri" w:cs="Calibri" w:eastAsia="Calibri" w:hAnsi="Calibri"/>
          <w:b/>
          <w:bCs/>
          <w:color w:val="1E3A5F"/>
          <w:sz w:val="24"/>
          <w:szCs w:val="24"/>
        </w:rPr>
        <w:t xml:space="preserve">Q-10 · Alta · Contribución territorial al desarrollo local durante la recuperación</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¿La AEI está exenta de la contribución territorial al desarrollo local (1 % de las ventas brutas que computa el expediente) mientras no concluya la recuperación de la inversión?</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incluye la contribución al desarrollo local dentro de «otros impuestos» por 682,1 kCUP/año (H-034, brecha B-17). La Ley 118, artículo 42, exime a las partes en AEI de esa contribución DURANTE el período de recuperación de la inversión. El modelo conserva la partida por fidelidad al expediente (S-11) y a las tasas documentadas el proyecto NO se recupera en el horizonte.</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Si la exención del artículo 42 aplica, los otros impuestos bajan ~1 159 kCUP/año (~9,66 kUSD) y la utilidad sube en igual medida; es una partida material para el resultado anual.</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Asesor jurídico del promotor</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Pronunciamiento sobre la aplicación del artículo 42 a este negocio y la fecha de inicio del cómputo del período de recuperación; desglose de las tres partidas de «otros impuestos».</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B-17 · S-11 · H-034</w:t>
      </w:r>
    </w:p>
    <w:p>
      <w:pPr>
        <w:pStyle w:val="Heading2"/>
        <w:spacing w:after="80" w:before="220"/>
      </w:pPr>
      <w:r>
        <w:rPr>
          <w:rFonts w:ascii="Calibri" w:cs="Calibri" w:eastAsia="Calibri" w:hAnsi="Calibri"/>
          <w:b/>
          <w:bCs/>
          <w:color w:val="1E3A5F"/>
          <w:sz w:val="24"/>
          <w:szCs w:val="24"/>
        </w:rPr>
        <w:t xml:space="preserve">Q-11 · CRÍTICA · Conciliación de aportes e inversión de la tabla de financiamientos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¿Cómo concilian los aportes totales declarados (3 252,53) con la inversión total (152,78) que aparecen en la misma página de la tabla de financiamientos, y en qué moneda y a qué tasa se aportó efectivamente cada partida?</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F08 p. 1: la tabla de financiamientos declara aportes por 3 252,53 y necesidad/inversión por 152,78 en la misma página (contradicción C-11). El modelo adopta la composición documentada (efectivo 1 600,0 kCUP; insumos 63 581,30 USD; equipos 5 274,00 USD) con sus cotizaciones y fuentes.</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financiación de 4.6 debe conciliar exactamente con la inversión de 4.5/4.6 y con el reparto (Q-03); valores con magnitudes incompatibles no pueden presentarse a ninguna autoridad.</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Versión vigente de la tabla de financiamientos con moneda, tasa de conversión y fecha de cada aporte, firmada o aprobada; explicación del sobrante si los aportes exceden la inversión (¿capital de trabajo? — Q-13).</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C-11 · B-12</w:t>
      </w:r>
    </w:p>
    <w:p>
      <w:pPr>
        <w:pStyle w:val="Heading2"/>
        <w:spacing w:after="80" w:before="220"/>
      </w:pPr>
      <w:r>
        <w:rPr>
          <w:rFonts w:ascii="Calibri" w:cs="Calibri" w:eastAsia="Calibri" w:hAnsi="Calibri"/>
          <w:b/>
          <w:bCs/>
          <w:color w:val="1E3A5F"/>
          <w:sz w:val="24"/>
          <w:szCs w:val="24"/>
        </w:rPr>
        <w:t xml:space="preserve">Q-12 · Alta · Capital de trabajo inicial</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el capital de trabajo necesario para el ciclo operativo del Centro?</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La tabla de financiamientos declara capital de trabajo 0,00 (H-023), pero el propio estado de situación del expediente proyecta existencias y cuentas por cobrar: anomalía registrada (brecha B-12).</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Sin capital de trabajo, el plan subestima la necesidad real de fondos y las aportaciones; es un requisito de coherencia del 4.6 y del estado de situación proyectado.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Cálculo del capital de trabajo (insumos + cuentas por cobrar - proveedores) o justificación documentada de su cobertura por otro mecanismo.</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B-12 · H-023 · S-15</w:t>
      </w:r>
    </w:p>
    <w:p>
      <w:pPr>
        <w:pStyle w:val="Heading2"/>
        <w:spacing w:after="80" w:before="220"/>
      </w:pPr>
      <w:r>
        <w:rPr>
          <w:rFonts w:ascii="Calibri" w:cs="Calibri" w:eastAsia="Calibri" w:hAnsi="Calibri"/>
          <w:b/>
          <w:bCs/>
          <w:color w:val="1E3A5F"/>
          <w:sz w:val="24"/>
          <w:szCs w:val="24"/>
        </w:rPr>
        <w:t xml:space="preserve">Q-13 · Media · Desglose de los gastos previos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componen los gastos previos de preoperación (25,0 kCUP del expediente / 26,20 kCUP del modelo) y quién los asume?</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La tabla de financiamientos carga «Gastos Previos» por 25,0 kCUP sin desglose (F08 p. 1); la plantilla incorpora 26,20 kCUP documentados con destino a salarios de preapertura y arrendamiento en preapertura y primeros 6 meses (F02; registro H-022). Brecha B-11.</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4.6 exige el desglose de inversión por concepto; además el destino documentado (hasta 6 meses de operación) sugiere que parte del gasto es de operación y no de inversión.</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Desglose de los gastos previos por concepto, importe y moneda, con su tratamiento (inversión vs gasto del período).</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B-11 · H-022 · S-17</w:t>
      </w:r>
    </w:p>
    <w:p>
      <w:pPr>
        <w:pStyle w:val="Heading2"/>
        <w:spacing w:after="80" w:before="220"/>
      </w:pPr>
      <w:r>
        <w:rPr>
          <w:rFonts w:ascii="Calibri" w:cs="Calibri" w:eastAsia="Calibri" w:hAnsi="Calibri"/>
          <w:b/>
          <w:bCs/>
          <w:color w:val="1E3A5F"/>
          <w:sz w:val="24"/>
          <w:szCs w:val="24"/>
        </w:rPr>
        <w:t xml:space="preserve">Q-14 · Alta · Vida útil del equipamiento y criterio de depreciación</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vida útil económica se asigna a cada equipo y con qué norma se depreciará? ¿Se sustituye el monitor del equipo de rayos X (no cotizado) y con qué frecuencia se reponen los equipos principales?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declara una tasa de depreciación del 6 % anual (~16,7 años de vida útil) y su EERR carga depreciación acumulada como gasto del período (contradicción C-06); el modelo corrige la carga y aplica la depreciación anual a la tasa declarada (S-08). El monitor del equipo de rayos X reparado NO está cotizado en la inversión (brecha B-09; H-065).</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vida útil determina la depreciación anual y el resultado contable de cada año; la reposición del monitor es un costo real no modelado para el servicio de radiografía (10 casos/mes previstos).</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Tabla de vidas útiles por equipo (norma contable vigente para AEI o decisión del Consejo de Administración) y cotización de reposición del monitor de rayos X.</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C-06 · B-09 · S-08 · H-065</w:t>
      </w:r>
    </w:p>
    <w:p>
      <w:pPr>
        <w:pStyle w:val="Heading2"/>
        <w:spacing w:after="80" w:before="220"/>
      </w:pPr>
      <w:r>
        <w:rPr>
          <w:rFonts w:ascii="Calibri" w:cs="Calibri" w:eastAsia="Calibri" w:hAnsi="Calibri"/>
          <w:b/>
          <w:bCs/>
          <w:color w:val="1E3A5F"/>
          <w:sz w:val="24"/>
          <w:szCs w:val="24"/>
        </w:rPr>
        <w:t xml:space="preserve">Q-15 · Alta · Canon/arrendamiento tras los primeros 6 meses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importe de canon o arrendamiento pagará la AEI desde el mes 7 en adelante?</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CSMC garantiza el arrendamiento en la preapertura y los primeros 6 meses (F02); el importe posterior NO consta (H-047, brecha B-18). El modelo usa 0,00 (S-10).</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Un canon anual omitido sobreestima la utilidad de los años 2–10; su cuantía es material para el 4.7.</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Importe del canon/arrendamiento mensual o anual a partir del mes 7 y su tratamiento contractual (¿incluido en el usufructo aportado?).</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B-18 · H-047 · S-10</w:t>
      </w:r>
    </w:p>
    <w:p>
      <w:pPr>
        <w:pStyle w:val="Heading2"/>
        <w:spacing w:after="80" w:before="220"/>
      </w:pPr>
      <w:r>
        <w:rPr>
          <w:rFonts w:ascii="Calibri" w:cs="Calibri" w:eastAsia="Calibri" w:hAnsi="Calibri"/>
          <w:b/>
          <w:bCs/>
          <w:color w:val="1E3A5F"/>
          <w:sz w:val="24"/>
          <w:szCs w:val="24"/>
        </w:rPr>
        <w:t xml:space="preserve">Q-16 · Media · Ingresos del año 2 en adelante: ¿por qué el EERR los reduce un 4,95 %?</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¿El EERR reduce los ingresos un 4,95 % desde el año 2 por una razón documentada (menos demanda, menos precios), o es un error de cálculo que debe corregirse?</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EERR del expediente (F08, p. 9) reduce los ingresos de los años 2–10 un 4,95 % frente al año 1, sin explicación (contradicción C-14). El modelo mantiene la demanda y los precios del año 1 (S-13) y registra la divergencia.</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proyección de ingresos de 4.7 debe ser única y explicada; reproducir el -4,95 % sin causa o ignorarlo sin decisión afecta todos los indicadores del plan.</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Aclaración escrita del autor del anexo sobre la razón del -4,95 % (y su corrección si fue un error).</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C-14 · S-13</w:t>
      </w:r>
    </w:p>
    <w:p>
      <w:pPr>
        <w:pStyle w:val="Heading2"/>
        <w:spacing w:after="80" w:before="220"/>
      </w:pPr>
      <w:r>
        <w:rPr>
          <w:rFonts w:ascii="Calibri" w:cs="Calibri" w:eastAsia="Calibri" w:hAnsi="Calibri"/>
          <w:b/>
          <w:bCs/>
          <w:color w:val="1E3A5F"/>
          <w:sz w:val="24"/>
          <w:szCs w:val="24"/>
        </w:rPr>
        <w:t xml:space="preserve">Q-17 · Alta · Año 1: ¿operación plena o arranque con 6 meses?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¿El año 1 del modelo es un año de operación plena (12 meses) o un año de arranque con solo 6 meses de operación y de materiales?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La cotización F03 es un stock de 6 meses y el EERR computa 6 meses de materiales en el año 1 frente a 12 meses de ingresos (contradicción C-16; S-06).</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Si el año 1 opera 12 meses, su costo material se duplica y la utilidad del año 1 (ya negativa a tasas documentadas) empeora; el plan debe declarar el supuesto de arranque.</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Cronograma con la fecha real de apertura y el alcance de la operación del año 1 (coherente con Q-06).</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C-16 · S-06 · B-15</w:t>
      </w:r>
    </w:p>
    <w:p>
      <w:pPr>
        <w:pStyle w:val="Heading2"/>
        <w:spacing w:after="80" w:before="220"/>
      </w:pPr>
      <w:r>
        <w:rPr>
          <w:rFonts w:ascii="Calibri" w:cs="Calibri" w:eastAsia="Calibri" w:hAnsi="Calibri"/>
          <w:b/>
          <w:bCs/>
          <w:color w:val="1E3A5F"/>
          <w:sz w:val="24"/>
          <w:szCs w:val="24"/>
        </w:rPr>
        <w:t xml:space="preserve">Q-18 · Alta · Mantenimiento y servicios públicos del Centro</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presupuesto anual realista de mantenimiento y servicios públicos debe cargar el plan, o quién los asume?</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EERR declara «Gastos de Mantenimiento 0,0» y «Servicios Públicos 0,0» en todos los años (H-048), implausible para una instalación con rayos X, autoclave y climatización (brecha B-19; S-09).</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Cada kUSD anual omitido sobreestima la utilidad de TODO el horizonte; es una de las partidas de realismo que un evaluador cuestionará de inmediato.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Costo histórico o presupuesto de mantenimiento y servicios públicos de la Sucursal, y decisión de su asunción (AEI o CSMC).</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B-19 · S-09 · H-048</w:t>
      </w:r>
    </w:p>
    <w:p>
      <w:pPr>
        <w:pStyle w:val="Heading1"/>
        <w:pageBreakBefore/>
      </w:pPr>
      <w:bookmarkStart w:name="_Toc8" w:id="8"/>
      <w:r>
        <w:rPr>
          <w:rFonts w:ascii="Calibri" w:cs="Calibri" w:eastAsia="Calibri" w:hAnsi="Calibri"/>
          <w:b/>
          <w:bCs/>
          <w:color w:val="1E3A5F"/>
          <w:sz w:val="30"/>
          <w:szCs w:val="30"/>
        </w:rPr>
        <w:t xml:space="preserve">4.3 Mercado y precios (3)</w:t>
      </w:r>
      <w:bookmarkEnd w:id="8"/>
    </w:p>
    <w:p>
      <w:pPr>
        <w:pStyle w:val="Heading2"/>
        <w:spacing w:after="80" w:before="220"/>
      </w:pPr>
      <w:r>
        <w:rPr>
          <w:rFonts w:ascii="Calibri" w:cs="Calibri" w:eastAsia="Calibri" w:hAnsi="Calibri"/>
          <w:b/>
          <w:bCs/>
          <w:color w:val="1E3A5F"/>
          <w:sz w:val="24"/>
          <w:szCs w:val="24"/>
        </w:rPr>
        <w:t xml:space="preserve">Q-19 · CRÍTICA · Estudio de mercado: demanda aparente y solvente</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¿Existe un estudio de mercado con demanda aparente y demanda solvente por línea de servicio y por año (mercado externo turístico y mercado interno), o cuándo se elaborará?</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documenta demanda REPRESADA (73 pacientes de blanqueamiento rechazados en el quinquenio; prótesis al 75 % de su capacidad con ~50 000 USD/año de ingreso histórico; TPR y blanqueamientos suspendidos — F09, H-061 a H-063), pero NO aporta estudio de mercado (brecha B-24). La demanda prevista de la tabla (115 814,00 USD/año) es una colocación de la lista, no un estudio.</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4.8 exige la caracterización del mercado y la demanda solvente que sustente los volúmenes proyectados; sin ella, los ingresos del plan no tienen sustento y ningún evaluador puede validarlos.</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Estudio de mercado (externo: flujo turístico de Holguín y precio disposición a pagar; interno: demanda solvente en divisas) con su fuente y fecha, o compromiso con plazo de elaboración.</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B-24 · H-061 · H-062 · H-063</w:t>
      </w:r>
    </w:p>
    <w:p>
      <w:pPr>
        <w:pStyle w:val="Heading2"/>
        <w:spacing w:after="80" w:before="220"/>
      </w:pPr>
      <w:r>
        <w:rPr>
          <w:rFonts w:ascii="Calibri" w:cs="Calibri" w:eastAsia="Calibri" w:hAnsi="Calibri"/>
          <w:b/>
          <w:bCs/>
          <w:color w:val="1E3A5F"/>
          <w:sz w:val="24"/>
          <w:szCs w:val="24"/>
        </w:rPr>
        <w:t xml:space="preserve">Q-20 · Alta · Vigencia de la lista de precios de CSMC</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¿La lista de precios en CUP «a tasa 1×120» sigue vigente en las condiciones del régimen cambiario actual, y con qué política se actualizará?</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Los precios de los 15 servicios provienen de la lista de CSMC en CUP con su equivalencia en USD a 120 (H-025/H-037). La tasa oficial vigente consultada el 29/10/2026 es 758,00 CUP/USD (C-01, V-07).</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Si la lista se actualiza o la política de precios cambia, los ingresos de 4.6/4.7 y la competitividad internacional del Centro cambian por completo.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Confirmación escrita de la vigencia de la lista de precios (fecha de aprobación) y política de revisión.</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C-01 · V-07 · S-01</w:t>
      </w:r>
    </w:p>
    <w:p>
      <w:pPr>
        <w:pStyle w:val="Heading2"/>
        <w:spacing w:after="80" w:before="220"/>
      </w:pPr>
      <w:r>
        <w:rPr>
          <w:rFonts w:ascii="Calibri" w:cs="Calibri" w:eastAsia="Calibri" w:hAnsi="Calibri"/>
          <w:b/>
          <w:bCs/>
          <w:color w:val="1E3A5F"/>
          <w:sz w:val="24"/>
          <w:szCs w:val="24"/>
        </w:rPr>
        <w:t xml:space="preserve">Q-21 · Alta · Estudio de capacidad instalada y estrategia comercial</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¿Con qué capacidad horaria/plazas opera el Centro (turnos, sillones, especialistas) y qué estrategia de comercialización por canal sustentará la demanda (turoperadores, hotelera, directa, aseguradoras)?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no aporta estudio de capacidad (brecha B-10) ni estrategia de comercialización (brecha B-25); la demanda mensual prevista de la tabla es la única referencia y el balance externo computa la totalidad de los ingresos como exportación de servicios.</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4.4/4.8 exige compatibilidad entre capacidad instalada, demanda y producción prevista; sin capacidad documentada, la demanda prevista no puede validarse ni planificarse la fuerza de trabajo.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Estudio de capacidad (sillones, turnos, horas especialista disponibles) y plan comercial por canal con metas anuales.</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B-10 · B-25</w:t>
      </w:r>
    </w:p>
    <w:p>
      <w:pPr>
        <w:pStyle w:val="Heading1"/>
        <w:pageBreakBefore/>
      </w:pPr>
      <w:bookmarkStart w:name="_Toc9" w:id="9"/>
      <w:r>
        <w:rPr>
          <w:rFonts w:ascii="Calibri" w:cs="Calibri" w:eastAsia="Calibri" w:hAnsi="Calibri"/>
          <w:b/>
          <w:bCs/>
          <w:color w:val="1E3A5F"/>
          <w:sz w:val="30"/>
          <w:szCs w:val="30"/>
        </w:rPr>
        <w:t xml:space="preserve">4.4 Operación y fuerza de trabajo (3)</w:t>
      </w:r>
      <w:bookmarkEnd w:id="9"/>
    </w:p>
    <w:p>
      <w:pPr>
        <w:pStyle w:val="Heading2"/>
        <w:spacing w:after="80" w:before="220"/>
      </w:pPr>
      <w:r>
        <w:rPr>
          <w:rFonts w:ascii="Calibri" w:cs="Calibri" w:eastAsia="Calibri" w:hAnsi="Calibri"/>
          <w:b/>
          <w:bCs/>
          <w:color w:val="1E3A5F"/>
          <w:sz w:val="24"/>
          <w:szCs w:val="24"/>
        </w:rPr>
        <w:t xml:space="preserve">Q-22 · Alta · Entidad empleadora y modalidad de contratación</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¿Quién contratará a los 10 trabajadores: directamente las partes de la AEI (ahora posible por el Decreto-Ley 128/2026, art. 30.1) o a través de una entidad empleadora autorizada? ¿Qué entidad figura como empleadora ante ONAT y seguridad social?</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expediente no identifica a la entidad empleadora (brecha B-14); el nuevo artículo 30.1 de la Ley 118 (reformado por el Decreto-Ley 128/2026) admite ambas vías con la Resolución 56/2026 del MTSS. El beneficio país del expediente incluye «salario de trabajadores cubanos» que abarca al directivo extranjero (contradicción C-17).</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modalidad de contratación determina quién carga el costo laboral, la seguridad social y el impuesto por utilización de la fuerza de trabajo (exento para AEI por la Ley 118, art. 39), y afecta el beneficio país (C-17).</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Decisión de las partes sobre la entidad empleadora y la modalidad, con la identificación fiscal correspondiente.</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B-14 · C-17</w:t>
      </w:r>
    </w:p>
    <w:p>
      <w:pPr>
        <w:pStyle w:val="Heading2"/>
        <w:spacing w:after="80" w:before="220"/>
      </w:pPr>
      <w:r>
        <w:rPr>
          <w:rFonts w:ascii="Calibri" w:cs="Calibri" w:eastAsia="Calibri" w:hAnsi="Calibri"/>
          <w:b/>
          <w:bCs/>
          <w:color w:val="1E3A5F"/>
          <w:sz w:val="24"/>
          <w:szCs w:val="24"/>
        </w:rPr>
        <w:t xml:space="preserve">Q-23 · CRÍTICA · Escala salarial definitiva y cargas de seguridad social</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la escala salarial definitiva por plaza (incluido el directivo extranjero) y si el costo de 4 320 kCUP/año incluye o no la seguridad social?</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Existen tres versiones de salarios en el expediente (contradicción C-07): el EERR carga 4 320 kCUP/año como fuerza de trabajo (H-035), el anexo de fuerza de trabajo añade seguridad social (540,0) y provisión (86,4) que no concilian con el EERR, y la escala por plaza del propio anexo (H-090) suma un total distinto. El modelo adopta el 4 320 kCUP/año como costo TOTAL (S-07) con escala derivada de fórmula conservada.</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costo laboral es la partida fija mayor del plan: si las cargas no están incluidas, el costo anual sube ~12,5 % y cambia todo el resultado.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Plantilla aprobada con escala salarial por plaza, aclaración de las cargas incluidas en el 4 320 kCUP/año (o el monto a sumar) y tratamiento del salario del directivo extranjero (C-17).</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C-07 · B-14 · S-07 · H-035 · H-090</w:t>
      </w:r>
    </w:p>
    <w:p>
      <w:pPr>
        <w:pStyle w:val="Heading2"/>
        <w:spacing w:after="80" w:before="220"/>
      </w:pPr>
      <w:r>
        <w:rPr>
          <w:rFonts w:ascii="Calibri" w:cs="Calibri" w:eastAsia="Calibri" w:hAnsi="Calibri"/>
          <w:b/>
          <w:bCs/>
          <w:color w:val="1E3A5F"/>
          <w:sz w:val="24"/>
          <w:szCs w:val="24"/>
        </w:rPr>
        <w:t xml:space="preserve">Q-24 · Alta · Licencias sanitarias y registros para prestar servicios internacionales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¿Qué licencias, registros y autorizaciones sanitarias necesita el Centro para prestar servicios estomatológicos internacionales, y cuáles existen ya otorgadas?</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contrato compromete a CSMC a gestionar «licencias comerciales y sanitarias, registros, autorizaciones locales para nuevas tecnologías, aval técnico de los medios y nomenclador de importación/exportación» (F01, cláusula 8.1), pero el expediente no adjunta ninguna (validación V-06).</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El 4.8 (requisitos regulatorios) y la operatividad legal del Centro dependen de estas licencias; presentar el plan sin su estado real es un vacío regulatorio evidente.</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Relación de licencias/registros exigibles con su norma y el estado de cada trámite (otorgada, en trámite, pendiente).</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V-06</w:t>
      </w:r>
    </w:p>
    <w:p>
      <w:pPr>
        <w:pStyle w:val="Heading1"/>
        <w:pageBreakBefore/>
      </w:pPr>
      <w:bookmarkStart w:name="_Toc10" w:id="10"/>
      <w:r>
        <w:rPr>
          <w:rFonts w:ascii="Calibri" w:cs="Calibri" w:eastAsia="Calibri" w:hAnsi="Calibri"/>
          <w:b/>
          <w:bCs/>
          <w:color w:val="1E3A5F"/>
          <w:sz w:val="30"/>
          <w:szCs w:val="30"/>
        </w:rPr>
        <w:t xml:space="preserve">4.5 Suministros e inversión (2)</w:t>
      </w:r>
      <w:bookmarkEnd w:id="10"/>
    </w:p>
    <w:p>
      <w:pPr>
        <w:pStyle w:val="Heading2"/>
        <w:spacing w:after="80" w:before="220"/>
      </w:pPr>
      <w:r>
        <w:rPr>
          <w:rFonts w:ascii="Calibri" w:cs="Calibri" w:eastAsia="Calibri" w:hAnsi="Calibri"/>
          <w:b/>
          <w:bCs/>
          <w:color w:val="1E3A5F"/>
          <w:sz w:val="24"/>
          <w:szCs w:val="24"/>
        </w:rPr>
        <w:t xml:space="preserve">Q-25 · Alta · Contrato de suministro continuo de insumos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¿Existe contrato o compromiso de suministro continuo de insumos (y con qué proveedor/cadena), y cómo se concilian el cuadro básico de 71 renglones con la cotización de ~60?</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La cotización F03 cubre ~60 renglones por 63 581,30 USD (stock de 6 meses), mientras la sucursal declara un cuadro básico de 71 renglones: conciliación pendiente (brecha B-23). El servicio TPR exige limas NO incluidas en la cotización (brecha B-20) y el blanqueamiento depende de un «donativo inicial» de 500 kits sin cotizar (brecha B-21).</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Sin contrato de suministro, la operación del año 2 en adelante carece de respaldo de costos; sin conciliar 71 vs 60, el costo material anual (127,2 kUSD) puede estar subestimado.</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Contrato o carta de intención de suministro con vigencia y precios; conciliación cuadro básico/cotización; cotización de limas para TPR y alcance del donativo de kits de blanqueamiento.</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B-20 · B-21 · B-22 · B-23</w:t>
      </w:r>
    </w:p>
    <w:p>
      <w:pPr>
        <w:pStyle w:val="Heading2"/>
        <w:spacing w:after="80" w:before="220"/>
      </w:pPr>
      <w:r>
        <w:rPr>
          <w:rFonts w:ascii="Calibri" w:cs="Calibri" w:eastAsia="Calibri" w:hAnsi="Calibri"/>
          <w:b/>
          <w:bCs/>
          <w:color w:val="1E3A5F"/>
          <w:sz w:val="24"/>
          <w:szCs w:val="24"/>
        </w:rPr>
        <w:t xml:space="preserve">Q-26 · Alta · Decisión sobre el escáner intraoral 3D</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¿Se incluye el escáner intraoral 3D (12 035,00 USD, cotizado en F02) en la inversión del proyecto, se excluye, o se difiere a una fase posterior?</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escáner está cotizado en F02 pero NO aparece en la tabla de inversión del anexo (contradicción C-08, brecha B-07). Las tecnologías prometidas (rehabilitación protésica digital, cirugía guiada, ortodoncia digital) lo hacen plausible.</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Su inclusión eleva la inversión ~230 % sobre los equipos actuales; su exclusión exige declarar con qué medios se prestarán los servicios digitales del objeto contractual.</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Decisión escrita de las partes (incluir/excluir/diferir) y, si se incluye, cotización formal con vida útil y depreciación.</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C-08 · B-07 · S-14</w:t>
      </w:r>
    </w:p>
    <w:p>
      <w:pPr>
        <w:pStyle w:val="Heading1"/>
        <w:pageBreakBefore/>
      </w:pPr>
      <w:bookmarkStart w:name="_Toc11" w:id="11"/>
      <w:r>
        <w:rPr>
          <w:rFonts w:ascii="Calibri" w:cs="Calibri" w:eastAsia="Calibri" w:hAnsi="Calibri"/>
          <w:b/>
          <w:bCs/>
          <w:color w:val="1E3A5F"/>
          <w:sz w:val="30"/>
          <w:szCs w:val="30"/>
        </w:rPr>
        <w:t xml:space="preserve">4.6 Validaciones normativas y administrativas (2)</w:t>
      </w:r>
      <w:bookmarkEnd w:id="11"/>
    </w:p>
    <w:p>
      <w:pPr>
        <w:pStyle w:val="Heading2"/>
        <w:spacing w:after="80" w:before="220"/>
      </w:pPr>
      <w:r>
        <w:rPr>
          <w:rFonts w:ascii="Calibri" w:cs="Calibri" w:eastAsia="Calibri" w:hAnsi="Calibri"/>
          <w:b/>
          <w:bCs/>
          <w:color w:val="1E3A5F"/>
          <w:sz w:val="24"/>
          <w:szCs w:val="24"/>
        </w:rPr>
        <w:t xml:space="preserve">Q-27 · Alta · Paquete de validaciones normativas y administrativas</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¿Cuál es el estado documental de las ocho validaciones pendientes del expediente (aprobación de la AEI, inscripción del CAEI, exención arancelaria, licencias sanitarias, registro de marca) y quién gestionará cada una?</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Validaciones registradas del expediente: V-01 aprobación de la constitución; V-02 inscripción registral del CAEI y licencia comercial; V-03 vigencia del marco normativo invocado; V-04 exención arancelaria; V-05 régimen tributario; V-06 licencias sanitarias; V-07 tipo de cambio oficial; V-08 registro de marca y permisos de anuncios. Ninguna tiene evidencia adjunta (estados: invocada_sin_evidencia, pendiente_verificacion o no_invocada).</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presentación formal de la propuesta exige acreditar los requisitos que el propio expediente invoca; el plan no puede afirmar cumplimiento sin evidencia.</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Especialista designado</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Tabla de seguimiento con las 8 validaciones, autoridad competente de cada una, norma aplicable, documento que la acredita y fecha objetivo de cierre.</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V-01 · V-02 · V-03 · V-04 · V-05 · V-06 · V-07 · V-08</w:t>
      </w:r>
    </w:p>
    <w:p>
      <w:pPr>
        <w:pStyle w:val="Heading2"/>
        <w:spacing w:after="80" w:before="220"/>
      </w:pPr>
      <w:r>
        <w:rPr>
          <w:rFonts w:ascii="Calibri" w:cs="Calibri" w:eastAsia="Calibri" w:hAnsi="Calibri"/>
          <w:b/>
          <w:bCs/>
          <w:color w:val="1E3A5F"/>
          <w:sz w:val="24"/>
          <w:szCs w:val="24"/>
        </w:rPr>
        <w:t xml:space="preserve">Q-28 · Alta · Operativa de divisas de la AEI bajo el régimen vigente</w:t>
      </w:r>
    </w:p>
    <w:p>
      <w:pPr>
        <w:spacing w:after="40" w:before="40"/>
        <w:jc w:val="left"/>
      </w:pPr>
      <w:r>
        <w:rPr>
          <w:rFonts w:ascii="Calibri" w:cs="Calibri" w:eastAsia="Calibri" w:hAnsi="Calibri"/>
          <w:b/>
          <w:bCs/>
          <w:color w:val="1E3A5F"/>
          <w:sz w:val="19"/>
          <w:szCs w:val="19"/>
        </w:rPr>
        <w:t xml:space="preserve">Pregunta: </w:t>
      </w:r>
      <w:r>
        <w:rPr>
          <w:rFonts w:ascii="Calibri" w:cs="Calibri" w:eastAsia="Calibri" w:hAnsi="Calibri"/>
          <w:color w:val="334155"/>
          <w:sz w:val="19"/>
          <w:szCs w:val="19"/>
        </w:rPr>
        <w:t xml:space="preserve">¿Con qué operativa de divisas trabajará la AEI (cuentas en divisas, capacidad de acceso asignada) y qué requisitos del Decreto-Ley 113/2025 y sus resoluciones le aplican?</w:t>
      </w:r>
    </w:p>
    <w:p>
      <w:pPr>
        <w:spacing w:after="40" w:before="40"/>
        <w:jc w:val="left"/>
      </w:pPr>
      <w:r>
        <w:rPr>
          <w:rFonts w:ascii="Calibri" w:cs="Calibri" w:eastAsia="Calibri" w:hAnsi="Calibri"/>
          <w:b/>
          <w:bCs/>
          <w:color w:val="1E3A5F"/>
          <w:sz w:val="19"/>
          <w:szCs w:val="19"/>
        </w:rPr>
        <w:t xml:space="preserve">Contexto (dónde está documentado): </w:t>
      </w:r>
      <w:r>
        <w:rPr>
          <w:rFonts w:ascii="Calibri" w:cs="Calibri" w:eastAsia="Calibri" w:hAnsi="Calibri"/>
          <w:color w:val="334155"/>
          <w:sz w:val="19"/>
          <w:szCs w:val="19"/>
        </w:rPr>
        <w:t xml:space="preserve">El Decreto-Ley 113/2025 y la Resolución 140/2025 del MEP (modificada en 2026) regulan las transacciones en divisas con las asociaciones económicas internacionales expresamente dentro de su ámbito; el Decreto-Ley 128/2026 permite a las partes de AEI cuentas en bancos del exterior con notificación al BCU (Resolución 100/2026). El balance externo del expediente computa la totalidad de los ingresos como exportación de servicios, pero con TRES totales incompatibles entre sus propias páginas (C-03: 3 255,84 / 2 925,19 / 2 783,35 kUSD) y con un beneficio país que no concilia entre anexo y resumen (C-04).</w:t>
      </w:r>
    </w:p>
    <w:p>
      <w:pPr>
        <w:spacing w:after="40" w:before="40"/>
        <w:jc w:val="left"/>
      </w:pPr>
      <w:r>
        <w:rPr>
          <w:rFonts w:ascii="Calibri" w:cs="Calibri" w:eastAsia="Calibri" w:hAnsi="Calibri"/>
          <w:b/>
          <w:bCs/>
          <w:color w:val="1E3A5F"/>
          <w:sz w:val="19"/>
          <w:szCs w:val="19"/>
        </w:rPr>
        <w:t xml:space="preserve">Por qué se necesita: </w:t>
      </w:r>
      <w:r>
        <w:rPr>
          <w:rFonts w:ascii="Calibri" w:cs="Calibri" w:eastAsia="Calibri" w:hAnsi="Calibri"/>
          <w:color w:val="334155"/>
          <w:sz w:val="19"/>
          <w:szCs w:val="19"/>
        </w:rPr>
        <w:t xml:space="preserve">La recaudación (ingresos en divisas), el pago de insumos importados y las utilidades a distribuir dependen de la operativa de divisas aprobada; sin ella, ni el balance externo (4.12) ni el reparto (4.11) son verificables.</w:t>
      </w:r>
    </w:p>
    <w:p>
      <w:pPr>
        <w:spacing w:after="40" w:before="40"/>
        <w:jc w:val="left"/>
      </w:pPr>
      <w:r>
        <w:rPr>
          <w:rFonts w:ascii="Calibri" w:cs="Calibri" w:eastAsia="Calibri" w:hAnsi="Calibri"/>
          <w:b/>
          <w:bCs/>
          <w:color w:val="1E3A5F"/>
          <w:sz w:val="19"/>
          <w:szCs w:val="19"/>
        </w:rPr>
        <w:t xml:space="preserve">Responde: </w:t>
      </w:r>
      <w:r>
        <w:rPr>
          <w:rFonts w:ascii="Calibri" w:cs="Calibri" w:eastAsia="Calibri" w:hAnsi="Calibri"/>
          <w:color w:val="334155"/>
          <w:sz w:val="19"/>
          <w:szCs w:val="19"/>
        </w:rPr>
        <w:t xml:space="preserve">Promotor (CSMC/Leisure)</w:t>
      </w:r>
    </w:p>
    <w:p>
      <w:pPr>
        <w:spacing w:after="40" w:before="40"/>
        <w:jc w:val="left"/>
      </w:pPr>
      <w:r>
        <w:rPr>
          <w:rFonts w:ascii="Calibri" w:cs="Calibri" w:eastAsia="Calibri" w:hAnsi="Calibri"/>
          <w:b/>
          <w:bCs/>
          <w:color w:val="1E3A5F"/>
          <w:sz w:val="19"/>
          <w:szCs w:val="19"/>
        </w:rPr>
        <w:t xml:space="preserve">Lo resuelve: </w:t>
      </w:r>
      <w:r>
        <w:rPr>
          <w:rFonts w:ascii="Calibri" w:cs="Calibri" w:eastAsia="Calibri" w:hAnsi="Calibri"/>
          <w:color w:val="334155"/>
          <w:sz w:val="19"/>
          <w:szCs w:val="19"/>
        </w:rPr>
        <w:t xml:space="preserve">Confirmación bancaria de la operativa de divisas del negocio (cuentas, monedas, capacidad de acceso a la divisa) conforme al régimen vigente.</w:t>
      </w:r>
    </w:p>
    <w:p>
      <w:pPr>
        <w:spacing w:after="40" w:before="40"/>
        <w:jc w:val="left"/>
      </w:pPr>
      <w:r>
        <w:rPr>
          <w:rFonts w:ascii="Calibri" w:cs="Calibri" w:eastAsia="Calibri" w:hAnsi="Calibri"/>
          <w:b/>
          <w:bCs/>
          <w:color w:val="1E3A5F"/>
          <w:sz w:val="19"/>
          <w:szCs w:val="19"/>
        </w:rPr>
        <w:t xml:space="preserve">Referencias: </w:t>
      </w:r>
      <w:r>
        <w:rPr>
          <w:rFonts w:ascii="Calibri" w:cs="Calibri" w:eastAsia="Calibri" w:hAnsi="Calibri"/>
          <w:color w:val="334155"/>
          <w:sz w:val="19"/>
          <w:szCs w:val="19"/>
        </w:rPr>
        <w:t xml:space="preserve">C-03 · C-04</w:t>
      </w:r>
    </w:p>
    <w:p>
      <w:pPr>
        <w:pStyle w:val="Heading1"/>
        <w:pageBreakBefore/>
      </w:pPr>
      <w:bookmarkStart w:name="_Toc12" w:id="12"/>
      <w:r>
        <w:rPr>
          <w:rFonts w:ascii="Calibri" w:cs="Calibri" w:eastAsia="Calibri" w:hAnsi="Calibri"/>
          <w:b/>
          <w:bCs/>
          <w:color w:val="1E3A5F"/>
          <w:sz w:val="30"/>
          <w:szCs w:val="30"/>
        </w:rPr>
        <w:t xml:space="preserve">5. Resumen de consultas</w:t>
      </w:r>
      <w:bookmarkEnd w:id="12"/>
    </w:p>
    <w:p>
      <w:pPr>
        <w:pStyle w:val="NotaTabla"/>
        <w:keepNext/>
        <w:keepLines/>
        <w:spacing w:after="80" w:before="200"/>
      </w:pPr>
      <w:r>
        <w:rPr>
          <w:rFonts w:ascii="Calibri" w:cs="Calibri" w:eastAsia="Calibri" w:hAnsi="Calibri"/>
          <w:b/>
          <w:bCs/>
          <w:color w:val="1E3A5F"/>
          <w:sz w:val="18"/>
          <w:szCs w:val="18"/>
        </w:rPr>
        <w:t xml:space="preserve">Resumen de consultas por prioridad</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96"/>
        <w:gridCol w:w="2576"/>
        <w:gridCol w:w="2576"/>
        <w:gridCol w:w="773"/>
        <w:gridCol w:w="2405"/>
      </w:tblGrid>
      <w:tr>
        <w:trPr>
          <w:cantSplit/>
          <w:tblHeader/>
        </w:trPr>
        <w:tc>
          <w:tcPr>
            <w:tcW w:type="dxa" w:w="69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ID</w:t>
            </w:r>
          </w:p>
        </w:tc>
        <w:tc>
          <w:tcPr>
            <w:tcW w:type="dxa" w:w="257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Consulta</w:t>
            </w:r>
          </w:p>
        </w:tc>
        <w:tc>
          <w:tcPr>
            <w:tcW w:type="dxa" w:w="257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Área</w:t>
            </w:r>
          </w:p>
        </w:tc>
        <w:tc>
          <w:tcPr>
            <w:tcW w:type="dxa" w:w="77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Prioridad</w:t>
            </w:r>
          </w:p>
        </w:tc>
        <w:tc>
          <w:tcPr>
            <w:tcW w:type="dxa" w:w="240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Responde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Q-01</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Denominación formal del proyecto e identificación comercial</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Q-02</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Localización exacta del Centro</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Q-03</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Reparto de beneficios: 50/50 del contrato frente a 49/51 de la tabla de aportaciones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Q-04</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Acreditación registral y domicilio único de Leisure Exporting LLC</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Media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Q-05</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Denominación exacta de la entidad cubana</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Media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Q-06</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Fecha de constitución formal de la AEI y aprobación por la autoridad competente</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CRÍTICA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Q-07</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Avalúo del derecho de usufructo y presupuesto de remodelación</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Identidad y marco jurídico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Q-08</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 cambio aplicable: 24, 120 o la tasa oficial vigente</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CRÍTICA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Q-09</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¿por qué 15 % y no la tasa general de 35 %?</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CRÍTICA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Asesor jurídico del promotor</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Q-10</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Contribución territorial al desarrollo local durante la recuperación</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Asesor jurídico del promotor</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Q-11</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Conciliación de aportes e inversión de la tabla de financiamientos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CRÍTICA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Q-12</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Capital de trabajo inicial</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Q-13</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Desglose de los gastos previos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Media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Q-14</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Vida útil del equipamiento y criterio de depreciación</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Q-15</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Canon/arrendamiento tras los primeros 6 meses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Q-16</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Ingresos del año 2 en adelante: ¿por qué el EERR los reduce un 4,95 %?</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Media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Q-17</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1: ¿operación plena o arranque con 6 meses?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Q-18</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 y servicios públicos del Centro</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Financiero y fiscal</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Q-19</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Estudio de mercado: demanda aparente y solvente</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Mercado y precios</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CRÍTICA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Q-20</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Vigencia de la lista de precios de CSMC</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Mercado y precios</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Q-21</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Estudio de capacidad instalada y estrategia comercial</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Mercado y precios</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Q-22</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Entidad empleadora y modalidad de contratación</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 y fuerza de trabajo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Q-23</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Escala salarial definitiva y cargas de seguridad social</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 y fuerza de trabajo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CRÍTICA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Q-24</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Licencias sanitarias y registros para prestar servicios internacionales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 y fuerza de trabajo</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Q-25</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Contrato de suministro continuo de insumos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Suministros e inversión</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Q-26</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Decisión sobre el escáner intraoral 3D</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Suministros e inversión</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r>
        <w:trPr>
          <w:cantSplit/>
        </w:trPr>
        <w:tc>
          <w:tcPr>
            <w:tcW w:type="dxa" w:w="6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Q-27</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Paquete de validaciones normativas y administrativas</w:t>
            </w:r>
          </w:p>
        </w:tc>
        <w:tc>
          <w:tcPr>
            <w:tcW w:type="dxa" w:w="257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Validaciones normativas y administrativas</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Especialista designado</w:t>
            </w:r>
          </w:p>
        </w:tc>
      </w:tr>
      <w:tr>
        <w:trPr>
          <w:cantSplit/>
        </w:trPr>
        <w:tc>
          <w:tcPr>
            <w:tcW w:type="dxa" w:w="69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Q-28</w:t>
            </w:r>
          </w:p>
        </w:tc>
        <w:tc>
          <w:tcPr>
            <w:tcW w:type="dxa" w:w="257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Operativa de divisas de la AEI bajo el régimen vigente</w:t>
            </w:r>
          </w:p>
        </w:tc>
        <w:tc>
          <w:tcPr>
            <w:tcW w:type="dxa" w:w="257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Validaciones normativas y administrativas</w:t>
            </w:r>
          </w:p>
        </w:tc>
        <w:tc>
          <w:tcPr>
            <w:tcW w:type="dxa" w:w="77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Alta</w:t>
            </w:r>
          </w:p>
        </w:tc>
        <w:tc>
          <w:tcPr>
            <w:tcW w:type="dxa" w:w="240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Promotor (CSMC/Leisure)</w:t>
            </w:r>
          </w:p>
        </w:tc>
      </w:tr>
    </w:tbl>
    <w:p>
      <w:pPr>
        <w:pStyle w:val="NotaTexto"/>
        <w:spacing w:after="160" w:before="40"/>
      </w:pPr>
      <w:r>
        <w:rPr>
          <w:rFonts w:ascii="Calibri" w:cs="Calibri" w:eastAsia="Calibri" w:hAnsi="Calibri"/>
          <w:i/>
          <w:iCs/>
          <w:color w:val="64748B"/>
          <w:sz w:val="15"/>
          <w:szCs w:val="15"/>
        </w:rPr>
        <w:t xml:space="preserve">Nota. Las seis consultas críticas (Q-06, Q-08, Q-09, Q-11, Q-19, Q-23) bloquean la presentación del plan hasta recibir respuesta.</w:t>
      </w:r>
    </w:p>
    <w:p>
      <w:pPr>
        <w:pStyle w:val="Heading1"/>
        <w:pageBreakBefore/>
      </w:pPr>
      <w:bookmarkStart w:name="_Toc13" w:id="13"/>
      <w:r>
        <w:rPr>
          <w:rFonts w:ascii="Calibri" w:cs="Calibri" w:eastAsia="Calibri" w:hAnsi="Calibri"/>
          <w:b/>
          <w:bCs/>
          <w:color w:val="1E3A5F"/>
          <w:sz w:val="30"/>
          <w:szCs w:val="30"/>
        </w:rPr>
        <w:t xml:space="preserve">6. Efecto de las respuestas sobre el modelo</w:t>
      </w:r>
      <w:bookmarkEnd w:id="13"/>
    </w:p>
    <w:p>
      <w:pPr>
        <w:spacing w:after="60" w:before="60" w:line="276"/>
        <w:jc w:val="both"/>
      </w:pPr>
      <w:r>
        <w:rPr>
          <w:rFonts w:ascii="Calibri" w:cs="Calibri" w:eastAsia="Calibri" w:hAnsi="Calibri"/>
          <w:color w:val="334155"/>
          <w:sz w:val="20"/>
          <w:szCs w:val="20"/>
        </w:rPr>
        <w:t xml:space="preserve">Las respuestas del promotor no exigen rehacer el plan: entran por los parámetros y reglas señalados y el motor recalcula la cascada completa (ingresos -&gt; resultados -&gt; flujos -&gt; dividendos -&gt; beneficio país -&gt; indicadores). La tabla muestra el camino exacto de cada respuesta; la sección 2 contiene el estado actual de cada parámetro.</w:t>
      </w:r>
    </w:p>
    <w:p>
      <w:pPr>
        <w:pStyle w:val="NotaTabla"/>
        <w:keepNext/>
        <w:keepLines/>
        <w:spacing w:after="80" w:before="200"/>
      </w:pPr>
      <w:r>
        <w:rPr>
          <w:rFonts w:ascii="Calibri" w:cs="Calibri" w:eastAsia="Calibri" w:hAnsi="Calibri"/>
          <w:b/>
          <w:bCs/>
          <w:color w:val="1E3A5F"/>
          <w:sz w:val="18"/>
          <w:szCs w:val="18"/>
        </w:rPr>
        <w:t xml:space="preserve">Respuesta -&gt; dónde se aplica el cambio -&gt; qué recalcula</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3637"/>
        <w:gridCol w:w="2694"/>
        <w:gridCol w:w="2694"/>
      </w:tblGrid>
      <w:tr>
        <w:trPr>
          <w:cantSplit/>
          <w:tblHeader/>
        </w:trPr>
        <w:tc>
          <w:tcPr>
            <w:tcW w:type="dxa" w:w="3637"/>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Respuesta recibida</w:t>
            </w:r>
          </w:p>
        </w:tc>
        <w:tc>
          <w:tcPr>
            <w:tcW w:type="dxa" w:w="2694"/>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Dónde se aplica en PLANEX</w:t>
            </w:r>
          </w:p>
        </w:tc>
        <w:tc>
          <w:tcPr>
            <w:tcW w:type="dxa" w:w="2694"/>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Qué recalcula el modelo</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 cambio decidida (Q-08)</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Parámetro «tipo_cambio» (S-01)</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Conversión CUP&lt;-&gt;USD de todo el plan: salarios, aportes en CUP, otros impuestos, presentación CUP/USD de 4.7 y 4.12; indicadores completos.</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Régimen de impuesto verificado (Q-09)</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Parámetro «tasa_impuesto_utilidades» + regla «impuesto_utilidades_k» (S-02/S-03)</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de cada año, utilidad neta, flujos de caja, dividendos (4.11), beneficio país (4.12) y recuperación.</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Escala salarial definitiva (Q-23)</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Plantilla de 4.9 + parámetro «factor_costo_laboral» (S-07)</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 laboral anual, costo fijo, utilidad de cada año y beneficio país.</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Reparto decidido 50/50 vs 49/51 (Q-03)</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Parámetro «pct_parte_cubiana» (S-04)</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Dividendos por socio y composición del beneficio país.</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Escáner 3D incluido (Q-26)</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 de 4.6 (S-14)</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total, depreciación anual, aportaciones necesarias y recuperación.</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mantenimiento, servicios públicos (Q-15, Q-18)</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Parámetros «canon_anual_k», «pct_mantenimiento», «servicios_publicos_anual_k» (S-09/S-10)</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Costos fijos anuales y utilidad de cada año.</w:t>
            </w:r>
          </w:p>
        </w:tc>
      </w:tr>
      <w:tr>
        <w:trPr>
          <w:cantSplit/>
        </w:trPr>
        <w:tc>
          <w:tcPr>
            <w:tcW w:type="dxa" w:w="363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Estudio de mercado y capacidad (Q-19, Q-21)</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Demanda de 4.6 y análisis de 4.8</w:t>
            </w:r>
          </w:p>
        </w:tc>
        <w:tc>
          <w:tcPr>
            <w:tcW w:type="dxa" w:w="269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Ingresos de cada año y todos los indicadores dependientes.</w:t>
            </w:r>
          </w:p>
        </w:tc>
      </w:tr>
      <w:tr>
        <w:trPr>
          <w:cantSplit/>
        </w:trPr>
        <w:tc>
          <w:tcPr>
            <w:tcW w:type="dxa" w:w="3637"/>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Aportes conciliados (Q-11)</w:t>
            </w:r>
          </w:p>
        </w:tc>
        <w:tc>
          <w:tcPr>
            <w:tcW w:type="dxa" w:w="2694"/>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Financiación de 4.5/4.6</w:t>
            </w:r>
          </w:p>
        </w:tc>
        <w:tc>
          <w:tcPr>
            <w:tcW w:type="dxa" w:w="2694"/>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total, aportaciones por socio y reparto.</w:t>
            </w:r>
          </w:p>
        </w:tc>
      </w:tr>
    </w:tbl>
    <w:p>
      <w:pPr>
        <w:pStyle w:val="NotaTexto"/>
        <w:spacing w:after="160" w:before="40"/>
      </w:pPr>
      <w:r>
        <w:rPr>
          <w:rFonts w:ascii="Calibri" w:cs="Calibri" w:eastAsia="Calibri" w:hAnsi="Calibri"/>
          <w:i/>
          <w:iCs/>
          <w:color w:val="64748B"/>
          <w:sz w:val="15"/>
          <w:szCs w:val="15"/>
        </w:rPr>
        <w:t xml:space="preserve">Nota. Todos los cambios entran por parámetros o reglas editables: el motor recalcula en cascada sin editar fórmulas. Las consultas jurídicas (Q-01 a Q-07, Q-27, Q-28) no mueven cifras del modelo: cierran requisitos de presentación.</w:t>
      </w:r>
    </w:p>
    <w:p>
      <w:pPr>
        <w:pStyle w:val="Heading1"/>
        <w:pageBreakBefore/>
      </w:pPr>
      <w:bookmarkStart w:name="_Toc14" w:id="14"/>
      <w:r>
        <w:rPr>
          <w:rFonts w:ascii="Calibri" w:cs="Calibri" w:eastAsia="Calibri" w:hAnsi="Calibri"/>
          <w:b/>
          <w:bCs/>
          <w:color w:val="1E3A5F"/>
          <w:sz w:val="30"/>
          <w:szCs w:val="30"/>
        </w:rPr>
        <w:t xml:space="preserve">Anexo A — Mapa de trazabilidad de las consultas</w:t>
      </w:r>
      <w:bookmarkEnd w:id="14"/>
    </w:p>
    <w:p>
      <w:pPr>
        <w:spacing w:after="60" w:before="60" w:line="276"/>
        <w:jc w:val="both"/>
      </w:pPr>
      <w:r>
        <w:rPr>
          <w:rFonts w:ascii="Calibri" w:cs="Calibri" w:eastAsia="Calibri" w:hAnsi="Calibri"/>
          <w:color w:val="334155"/>
          <w:sz w:val="20"/>
          <w:szCs w:val="20"/>
        </w:rPr>
        <w:t xml:space="preserve">Cada consulta de este documento nace de una contradicción, brecha o validación ya registrada y con evidencia en el informe de brechas: nada aquí es nuevo ni surge de criterio del analista. El mapa permite a cada especialista verificar el origen de la pregunta que le toca responder.</w:t>
      </w:r>
    </w:p>
    <w:p>
      <w:pPr>
        <w:pStyle w:val="NotaTabla"/>
        <w:keepNext/>
        <w:keepLines/>
        <w:spacing w:after="80" w:before="200"/>
      </w:pPr>
      <w:r>
        <w:rPr>
          <w:rFonts w:ascii="Calibri" w:cs="Calibri" w:eastAsia="Calibri" w:hAnsi="Calibri"/>
          <w:b/>
          <w:bCs/>
          <w:color w:val="1E3A5F"/>
          <w:sz w:val="18"/>
          <w:szCs w:val="18"/>
        </w:rPr>
        <w:t xml:space="preserve">Mapa consulta -&gt; contradicción, brecha o validación</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1377"/>
        <w:gridCol w:w="3825"/>
        <w:gridCol w:w="3825"/>
      </w:tblGrid>
      <w:tr>
        <w:trPr>
          <w:cantSplit/>
          <w:tblHeader/>
        </w:trPr>
        <w:tc>
          <w:tcPr>
            <w:tcW w:type="dxa" w:w="1377"/>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Consulta</w:t>
            </w:r>
          </w:p>
        </w:tc>
        <w:tc>
          <w:tcPr>
            <w:tcW w:type="dxa" w:w="382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Se sustenta en</w:t>
            </w:r>
          </w:p>
        </w:tc>
        <w:tc>
          <w:tcPr>
            <w:tcW w:type="dxa" w:w="382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Título</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Q-01</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B-02 · V-08</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Denominación formal del proyecto e identificación comercial</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Q-02</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B-08</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Localización exacta del Centro</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C-05 · B-04 · H-013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Reparto de beneficios: 50/50 del contrato frente a 49/51 de la tabla de aportaciones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Q-04</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C-09 · B-03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Acreditación registral y domicilio único de Leisure Exporting LLC</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C-10 · B-01</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Denominación exacta de la entidad cubana</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Q-06</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V-01 · V-02 · B-15 · S-03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Fecha de constitución formal de la AEI y aprobación por la autoridad competente</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Q-07</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B-05 · B-27</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Avalúo del derecho de usufructo y presupuesto de remodelación</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Q-08</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C-01 · V-07 · S-01</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 cambio aplicable: 24, 120 o la tasa oficial vigente</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Q-09</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C-15 · B-16 · V-05 · S-02</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¿por qué 15 % y no la tasa general de 35 %?</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Q-10</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B-17 · S-11 · H-034</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Contribución territorial al desarrollo local durante la recuperación</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Q-11</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C-11 · B-12</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Conciliación de aportes e inversión de la tabla de financiamientos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Q-12</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B-12 · H-023 · S-15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Capital de trabajo inicial</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B-11 · H-022 · S-17</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Desglose de los gastos previos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Q-14</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C-06 · B-09 · S-08 · H-065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Vida útil del equipamiento y criterio de depreciación</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B-18 · H-047 · S-10</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Canon/arrendamiento tras los primeros 6 meses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Q-16</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C-14 · S-13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Ingresos del año 2 en adelante: ¿por qué el EERR los reduce un 4,95 %?</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Q-17</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C-16 · S-06 · B-15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1: ¿operación plena o arranque con 6 meses?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Q-18</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B-19 · S-09 · H-048</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 y servicios públicos del Centro</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Q-19</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B-24 · H-061 · H-062 · H-063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Estudio de mercado: demanda aparente y solvente</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Q-20</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C-01 · V-07 · S-01</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Vigencia de la lista de precios de CSMC</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Q-21</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B-10 · B-25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Estudio de capacidad instalada y estrategia comercial</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Q-22</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B-14 · C-17</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Entidad empleadora y modalidad de contratación</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C-07 · B-14 · S-07 · H-035 · H-090</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Escala salarial definitiva y cargas de seguridad social</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Q-24</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V-06</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Licencias sanitarias y registros para prestar servicios internacionales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Q-25</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B-20 · B-21 · B-22 · B-23</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Contrato de suministro continuo de insumos</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Q-26</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C-08 · B-07 · S-14</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Decisión sobre el escáner intraoral 3D</w:t>
            </w:r>
          </w:p>
        </w:tc>
      </w:tr>
      <w:tr>
        <w:trPr>
          <w:cantSplit/>
        </w:trPr>
        <w:tc>
          <w:tcPr>
            <w:tcW w:type="dxa" w:w="137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Q-27</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V-01 · V-02 · V-03 · V-04 · V-05 · V-06 · V-07 · V-08</w:t>
            </w:r>
          </w:p>
        </w:tc>
        <w:tc>
          <w:tcPr>
            <w:tcW w:type="dxa" w:w="38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Paquete de validaciones normativas y administrativas</w:t>
            </w:r>
          </w:p>
        </w:tc>
      </w:tr>
      <w:tr>
        <w:trPr>
          <w:cantSplit/>
        </w:trPr>
        <w:tc>
          <w:tcPr>
            <w:tcW w:type="dxa" w:w="1377"/>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Q-28</w:t>
            </w:r>
          </w:p>
        </w:tc>
        <w:tc>
          <w:tcPr>
            <w:tcW w:type="dxa" w:w="382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C-03 · C-04</w:t>
            </w:r>
          </w:p>
        </w:tc>
        <w:tc>
          <w:tcPr>
            <w:tcW w:type="dxa" w:w="382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Operativa de divisas de la AEI bajo el régimen vigente</w:t>
            </w:r>
          </w:p>
        </w:tc>
      </w:tr>
    </w:tbl>
    <w:p>
      <w:pPr>
        <w:pStyle w:val="NotaTexto"/>
        <w:spacing w:after="160" w:before="40"/>
      </w:pPr>
      <w:r>
        <w:rPr>
          <w:rFonts w:ascii="Calibri" w:cs="Calibri" w:eastAsia="Calibri" w:hAnsi="Calibri"/>
          <w:i/>
          <w:iCs/>
          <w:color w:val="64748B"/>
          <w:sz w:val="15"/>
          <w:szCs w:val="15"/>
        </w:rPr>
        <w:t xml:space="preserve">Nota. C-## contradicción · B-## brecha · V-## validación normativa · S-## supuesto del modelo. El detalle de cada una vive en el «Informe de análisis documental y brechas» y en la vista «Expediente documental» de la aplicación.</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Supuestos, dudas y pendientes (misión DATA-002)</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Supuestos, dudas y pendientes (misión DATA-002)</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CONSULTAS AL PROMOTOR</w:t>
    </w:r>
    <w:r>
      <w:rPr>
        <w:rFonts w:ascii="Calibri" w:cs="Calibri" w:eastAsia="Calibri" w:hAnsi="Calibri"/>
        <w:color w:val="64748B"/>
        <w:sz w:val="13"/>
        <w:szCs w:val="13"/>
      </w:rPr>
      <w:t xml:space="preserve">	Centro Estomatológico Internacional Holguín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CONSULTAS AL PROMOTOR</w:t>
    </w:r>
    <w:r>
      <w:rPr>
        <w:rFonts w:ascii="Calibri" w:cs="Calibri" w:eastAsia="Calibri" w:hAnsi="Calibri"/>
        <w:color w:val="64748B"/>
        <w:sz w:val="13"/>
        <w:szCs w:val="13"/>
      </w:rPr>
      <w:t xml:space="preserve">	Centro Estomatológico Internacional Holguín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3A5F"/>
      <w:sz w:val="30"/>
      <w:szCs w:val="30"/>
    </w:rPr>
  </w:style>
  <w:style w:type="paragraph" w:styleId="Heading2">
    <w:name w:val="Heading 2"/>
    <w:basedOn w:val="Normal"/>
    <w:next w:val="Normal"/>
    <w:qFormat/>
    <w:rPr>
      <w:rFonts w:ascii="Calibri" w:cs="Calibri" w:eastAsia="Calibri" w:hAnsi="Calibri"/>
      <w:b/>
      <w:bCs/>
      <w:color w:val="1E3A5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NotaTabla">
    <w:name w:val="Nota de tabla"/>
    <w:basedOn w:val="Normal"/>
    <w:rPr>
      <w:rFonts w:ascii="Calibri" w:cs="Calibri" w:eastAsia="Calibri" w:hAnsi="Calibri"/>
      <w:color w:val="1E3A5F"/>
    </w:rPr>
  </w:style>
  <w:style w:type="paragraph" w:styleId="NotaTexto">
    <w:name w:val="Texto de nota"/>
    <w:basedOn w:val="Normal"/>
    <w:rPr>
      <w:rFonts w:ascii="Calibri" w:cs="Calibri" w:eastAsia="Calibri" w:hAnsi="Calibri"/>
      <w:color w:val="64748B"/>
      <w:sz w:val="16"/>
      <w:szCs w:val="16"/>
    </w:rPr>
  </w:style>
  <w:style w:type="paragraph" w:styleId="AnalisisPlanex">
    <w:name w:val="Análisis PLANEX"/>
    <w:basedOn w:val="Normal"/>
    <w:rPr>
      <w:rFonts w:ascii="Calibri" w:cs="Calibri" w:eastAsia="Calibri" w:hAnsi="Calibri"/>
    </w:rPr>
  </w:style>
  <w:style w:type="paragraph" w:styleId="AnalisisCuerpo">
    <w:name w:val="Cuerpo de análisis PLANEX"/>
    <w:basedOn w:val="Normal"/>
    <w:rPr>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Estomatológico Internacional Holguín — Plan de Negocios</dc:title>
  <dc:creator>PLANEX Cuba</dc:creator>
  <dc:description>Documento generado por PLANEX Cuba. Moneda de presentación: CUP.</dc:description>
  <cp:lastModifiedBy>Un-named</cp:lastModifiedBy>
  <cp:revision>1</cp:revision>
  <dcterms:created xsi:type="dcterms:W3CDTF">2026-10-29T11:51:06.990Z</dcterms:created>
  <dcterms:modified xsi:type="dcterms:W3CDTF">2026-10-29T11:51:06.990Z</dcterms:modified>
</cp:coreProperties>
</file>

<file path=docProps/custom.xml><?xml version="1.0" encoding="utf-8"?>
<Properties xmlns="http://schemas.openxmlformats.org/officeDocument/2006/custom-properties" xmlns:vt="http://schemas.openxmlformats.org/officeDocument/2006/docPropsVTypes"/>
</file>