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ProcurePulse ERD</w:t>
      </w:r>
    </w:p>
    <w:p>
      <w:pPr>
        <w:jc w:val="center"/>
      </w:pPr>
      <w:r>
        <w:rPr>
          <w:sz w:val="26"/>
        </w:rPr>
        <w:t>Entity Relationship Design — V0.1</w:t>
      </w:r>
    </w:p>
    <w:p>
      <w:pPr>
        <w:jc w:val="center"/>
      </w:pPr>
      <w:r>
        <w:rPr>
          <w:i/>
          <w:sz w:val="18"/>
        </w:rPr>
        <w:t>ProcurePulse | V0.1 Architecture Baseline | 03 September 2026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Approved conceptual Entity Relationship Design for ProcurePulse V0.1. It establishes relationships between platform identity, projects, imported datasets, inventory, demand, suppliers, simulations, recommendations and reports.</w:t>
      </w:r>
    </w:p>
    <w:p>
      <w:pPr>
        <w:pStyle w:val="Heading1"/>
      </w:pPr>
      <w:r>
        <w:t>2. Architectural Intent</w:t>
      </w:r>
    </w:p>
    <w:p>
      <w:pPr>
        <w:pStyle w:val="ListBullet"/>
      </w:pPr>
      <w:r>
        <w:t>PostgreSQL relational model.</w:t>
      </w:r>
    </w:p>
    <w:p>
      <w:pPr>
        <w:pStyle w:val="ListBullet"/>
      </w:pPr>
      <w:r>
        <w:t>Logical separation between ProcurePulse Core and business domains.</w:t>
      </w:r>
    </w:p>
    <w:p>
      <w:pPr>
        <w:pStyle w:val="ListBullet"/>
      </w:pPr>
      <w:r>
        <w:t>Preservation of historical datasets and simulation results.</w:t>
      </w:r>
    </w:p>
    <w:p>
      <w:pPr>
        <w:pStyle w:val="ListBullet"/>
      </w:pPr>
      <w:r>
        <w:t>Multiple suppliers supported for the same SKU.</w:t>
      </w:r>
    </w:p>
    <w:p>
      <w:pPr>
        <w:pStyle w:val="ListBullet"/>
      </w:pPr>
      <w:r>
        <w:t>Supplier-specific price, lead time and ordering constraints.</w:t>
      </w:r>
    </w:p>
    <w:p>
      <w:pPr>
        <w:pStyle w:val="ListBullet"/>
      </w:pPr>
      <w:r>
        <w:t>Organization-level tenant boundaries.</w:t>
      </w:r>
    </w:p>
    <w:p>
      <w:pPr>
        <w:pStyle w:val="ListBullet"/>
      </w:pPr>
      <w:r>
        <w:t>Clean extension points for future domains.</w:t>
      </w:r>
    </w:p>
    <w:p>
      <w:pPr>
        <w:pStyle w:val="Heading1"/>
      </w:pPr>
      <w:r>
        <w:t>3. Conceptual ERD</w:t>
      </w:r>
    </w:p>
    <w:p>
      <w:r>
        <w:t>ORGANIZATION 1:N USERS, PROJECTS, ITEMS, SUPPLIERS, LOCATIONS, AUDIT_LOGS.</w:t>
      </w:r>
    </w:p>
    <w:p>
      <w:r>
        <w:t>PROJECT 1:N DATA_IMPORTS; DATA_IMPORT 1:N DATASET_VERSIONS; PROJECT 1:N SIMULATION_RUNS.</w:t>
      </w:r>
    </w:p>
    <w:p>
      <w:r>
        <w:t>ITEM 1:N INVENTORY_BALANCES; LOCATION 1:N INVENTORY_BALANCES.</w:t>
      </w:r>
    </w:p>
    <w:p>
      <w:r>
        <w:t>ITEM 1:N DEMAND_RECORDS; LOCATION 1:N DEMAND_RECORDS.</w:t>
      </w:r>
    </w:p>
    <w:p>
      <w:r>
        <w:t>ITEM 1:N ITEM_SUPPLIERS; SUPPLIER 1:N ITEM_SUPPLIERS.</w:t>
      </w:r>
    </w:p>
    <w:p>
      <w:r>
        <w:t>SIMULATION_RUN 1:N PROCUREMENT_RECOMMENDATIONS; SIMULATION_RUN 1:N REPORTS.</w:t>
      </w:r>
    </w:p>
    <w:p>
      <w:pPr>
        <w:pStyle w:val="Heading1"/>
      </w:pPr>
      <w:r>
        <w:t>4. Entity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Entity</w:t>
            </w:r>
          </w:p>
        </w:tc>
        <w:tc>
          <w:tcPr>
            <w:tcW w:type="dxa" w:w="3264"/>
          </w:tcPr>
          <w:p>
            <w:r>
              <w:t>Domain</w:t>
            </w:r>
          </w:p>
        </w:tc>
        <w:tc>
          <w:tcPr>
            <w:tcW w:type="dxa" w:w="3264"/>
          </w:tcPr>
          <w:p>
            <w:r>
              <w:t>Purpose</w:t>
            </w:r>
          </w:p>
        </w:tc>
      </w:tr>
      <w:tr>
        <w:tc>
          <w:tcPr>
            <w:tcW w:type="dxa" w:w="3264"/>
          </w:tcPr>
          <w:p>
            <w:r>
              <w:t>Organizations</w:t>
            </w:r>
          </w:p>
        </w:tc>
        <w:tc>
          <w:tcPr>
            <w:tcW w:type="dxa" w:w="3264"/>
          </w:tcPr>
          <w:p>
            <w:r>
              <w:t>Core</w:t>
            </w:r>
          </w:p>
        </w:tc>
        <w:tc>
          <w:tcPr>
            <w:tcW w:type="dxa" w:w="3264"/>
          </w:tcPr>
          <w:p>
            <w:r>
              <w:t>Tenant/company boundary</w:t>
            </w:r>
          </w:p>
        </w:tc>
      </w:tr>
      <w:tr>
        <w:tc>
          <w:tcPr>
            <w:tcW w:type="dxa" w:w="3264"/>
          </w:tcPr>
          <w:p>
            <w:r>
              <w:t>Users</w:t>
            </w:r>
          </w:p>
        </w:tc>
        <w:tc>
          <w:tcPr>
            <w:tcW w:type="dxa" w:w="3264"/>
          </w:tcPr>
          <w:p>
            <w:r>
              <w:t>Core</w:t>
            </w:r>
          </w:p>
        </w:tc>
        <w:tc>
          <w:tcPr>
            <w:tcW w:type="dxa" w:w="3264"/>
          </w:tcPr>
          <w:p>
            <w:r>
              <w:t>Authenticated users</w:t>
            </w:r>
          </w:p>
        </w:tc>
      </w:tr>
      <w:tr>
        <w:tc>
          <w:tcPr>
            <w:tcW w:type="dxa" w:w="3264"/>
          </w:tcPr>
          <w:p>
            <w:r>
              <w:t>Roles / Permissions</w:t>
            </w:r>
          </w:p>
        </w:tc>
        <w:tc>
          <w:tcPr>
            <w:tcW w:type="dxa" w:w="3264"/>
          </w:tcPr>
          <w:p>
            <w:r>
              <w:t>Core</w:t>
            </w:r>
          </w:p>
        </w:tc>
        <w:tc>
          <w:tcPr>
            <w:tcW w:type="dxa" w:w="3264"/>
          </w:tcPr>
          <w:p>
            <w:r>
              <w:t>Access control</w:t>
            </w:r>
          </w:p>
        </w:tc>
      </w:tr>
      <w:tr>
        <w:tc>
          <w:tcPr>
            <w:tcW w:type="dxa" w:w="3264"/>
          </w:tcPr>
          <w:p>
            <w:r>
              <w:t>Projects</w:t>
            </w:r>
          </w:p>
        </w:tc>
        <w:tc>
          <w:tcPr>
            <w:tcW w:type="dxa" w:w="3264"/>
          </w:tcPr>
          <w:p>
            <w:r>
              <w:t>Core</w:t>
            </w:r>
          </w:p>
        </w:tc>
        <w:tc>
          <w:tcPr>
            <w:tcW w:type="dxa" w:w="3264"/>
          </w:tcPr>
          <w:p>
            <w:r>
              <w:t>Analysis workspace</w:t>
            </w:r>
          </w:p>
        </w:tc>
      </w:tr>
      <w:tr>
        <w:tc>
          <w:tcPr>
            <w:tcW w:type="dxa" w:w="3264"/>
          </w:tcPr>
          <w:p>
            <w:r>
              <w:t>Data Imports</w:t>
            </w:r>
          </w:p>
        </w:tc>
        <w:tc>
          <w:tcPr>
            <w:tcW w:type="dxa" w:w="3264"/>
          </w:tcPr>
          <w:p>
            <w:r>
              <w:t>Core</w:t>
            </w:r>
          </w:p>
        </w:tc>
        <w:tc>
          <w:tcPr>
            <w:tcW w:type="dxa" w:w="3264"/>
          </w:tcPr>
          <w:p>
            <w:r>
              <w:t>Uploaded-file metadata</w:t>
            </w:r>
          </w:p>
        </w:tc>
      </w:tr>
      <w:tr>
        <w:tc>
          <w:tcPr>
            <w:tcW w:type="dxa" w:w="3264"/>
          </w:tcPr>
          <w:p>
            <w:r>
              <w:t>Dataset Versions</w:t>
            </w:r>
          </w:p>
        </w:tc>
        <w:tc>
          <w:tcPr>
            <w:tcW w:type="dxa" w:w="3264"/>
          </w:tcPr>
          <w:p>
            <w:r>
              <w:t>Core</w:t>
            </w:r>
          </w:p>
        </w:tc>
        <w:tc>
          <w:tcPr>
            <w:tcW w:type="dxa" w:w="3264"/>
          </w:tcPr>
          <w:p>
            <w:r>
              <w:t>Traceable processed versions</w:t>
            </w:r>
          </w:p>
        </w:tc>
      </w:tr>
      <w:tr>
        <w:tc>
          <w:tcPr>
            <w:tcW w:type="dxa" w:w="3264"/>
          </w:tcPr>
          <w:p>
            <w:r>
              <w:t>Audit Logs</w:t>
            </w:r>
          </w:p>
        </w:tc>
        <w:tc>
          <w:tcPr>
            <w:tcW w:type="dxa" w:w="3264"/>
          </w:tcPr>
          <w:p>
            <w:r>
              <w:t>Core</w:t>
            </w:r>
          </w:p>
        </w:tc>
        <w:tc>
          <w:tcPr>
            <w:tcW w:type="dxa" w:w="3264"/>
          </w:tcPr>
          <w:p>
            <w:r>
              <w:t>Platform activity trace</w:t>
            </w:r>
          </w:p>
        </w:tc>
      </w:tr>
      <w:tr>
        <w:tc>
          <w:tcPr>
            <w:tcW w:type="dxa" w:w="3264"/>
          </w:tcPr>
          <w:p>
            <w:r>
              <w:t>Items</w:t>
            </w:r>
          </w:p>
        </w:tc>
        <w:tc>
          <w:tcPr>
            <w:tcW w:type="dxa" w:w="3264"/>
          </w:tcPr>
          <w:p>
            <w:r>
              <w:t>Inventory</w:t>
            </w:r>
          </w:p>
        </w:tc>
        <w:tc>
          <w:tcPr>
            <w:tcW w:type="dxa" w:w="3264"/>
          </w:tcPr>
          <w:p>
            <w:r>
              <w:t>Product/SKU master</w:t>
            </w:r>
          </w:p>
        </w:tc>
      </w:tr>
      <w:tr>
        <w:tc>
          <w:tcPr>
            <w:tcW w:type="dxa" w:w="3264"/>
          </w:tcPr>
          <w:p>
            <w:r>
              <w:t>Locations</w:t>
            </w:r>
          </w:p>
        </w:tc>
        <w:tc>
          <w:tcPr>
            <w:tcW w:type="dxa" w:w="3264"/>
          </w:tcPr>
          <w:p>
            <w:r>
              <w:t>Inventory</w:t>
            </w:r>
          </w:p>
        </w:tc>
        <w:tc>
          <w:tcPr>
            <w:tcW w:type="dxa" w:w="3264"/>
          </w:tcPr>
          <w:p>
            <w:r>
              <w:t>Branches/stores/warehouses</w:t>
            </w:r>
          </w:p>
        </w:tc>
      </w:tr>
      <w:tr>
        <w:tc>
          <w:tcPr>
            <w:tcW w:type="dxa" w:w="3264"/>
          </w:tcPr>
          <w:p>
            <w:r>
              <w:t>Inventory Balances</w:t>
            </w:r>
          </w:p>
        </w:tc>
        <w:tc>
          <w:tcPr>
            <w:tcW w:type="dxa" w:w="3264"/>
          </w:tcPr>
          <w:p>
            <w:r>
              <w:t>Inventory</w:t>
            </w:r>
          </w:p>
        </w:tc>
        <w:tc>
          <w:tcPr>
            <w:tcW w:type="dxa" w:w="3264"/>
          </w:tcPr>
          <w:p>
            <w:r>
              <w:t>Stock by item/location</w:t>
            </w:r>
          </w:p>
        </w:tc>
      </w:tr>
      <w:tr>
        <w:tc>
          <w:tcPr>
            <w:tcW w:type="dxa" w:w="3264"/>
          </w:tcPr>
          <w:p>
            <w:r>
              <w:t>Suppliers</w:t>
            </w:r>
          </w:p>
        </w:tc>
        <w:tc>
          <w:tcPr>
            <w:tcW w:type="dxa" w:w="3264"/>
          </w:tcPr>
          <w:p>
            <w:r>
              <w:t>Procurement</w:t>
            </w:r>
          </w:p>
        </w:tc>
        <w:tc>
          <w:tcPr>
            <w:tcW w:type="dxa" w:w="3264"/>
          </w:tcPr>
          <w:p>
            <w:r>
              <w:t>Supplier master</w:t>
            </w:r>
          </w:p>
        </w:tc>
      </w:tr>
      <w:tr>
        <w:tc>
          <w:tcPr>
            <w:tcW w:type="dxa" w:w="3264"/>
          </w:tcPr>
          <w:p>
            <w:r>
              <w:t>Item Suppliers</w:t>
            </w:r>
          </w:p>
        </w:tc>
        <w:tc>
          <w:tcPr>
            <w:tcW w:type="dxa" w:w="3264"/>
          </w:tcPr>
          <w:p>
            <w:r>
              <w:t>Procurement</w:t>
            </w:r>
          </w:p>
        </w:tc>
        <w:tc>
          <w:tcPr>
            <w:tcW w:type="dxa" w:w="3264"/>
          </w:tcPr>
          <w:p>
            <w:r>
              <w:t>Item/supplier commercial relationship</w:t>
            </w:r>
          </w:p>
        </w:tc>
      </w:tr>
      <w:tr>
        <w:tc>
          <w:tcPr>
            <w:tcW w:type="dxa" w:w="3264"/>
          </w:tcPr>
          <w:p>
            <w:r>
              <w:t>Demand Records</w:t>
            </w:r>
          </w:p>
        </w:tc>
        <w:tc>
          <w:tcPr>
            <w:tcW w:type="dxa" w:w="3264"/>
          </w:tcPr>
          <w:p>
            <w:r>
              <w:t>Procurement</w:t>
            </w:r>
          </w:p>
        </w:tc>
        <w:tc>
          <w:tcPr>
            <w:tcW w:type="dxa" w:w="3264"/>
          </w:tcPr>
          <w:p>
            <w:r>
              <w:t>Demand by item/location/source</w:t>
            </w:r>
          </w:p>
        </w:tc>
      </w:tr>
      <w:tr>
        <w:tc>
          <w:tcPr>
            <w:tcW w:type="dxa" w:w="3264"/>
          </w:tcPr>
          <w:p>
            <w:r>
              <w:t>Simulation Runs</w:t>
            </w:r>
          </w:p>
        </w:tc>
        <w:tc>
          <w:tcPr>
            <w:tcW w:type="dxa" w:w="3264"/>
          </w:tcPr>
          <w:p>
            <w:r>
              <w:t>Procurement</w:t>
            </w:r>
          </w:p>
        </w:tc>
        <w:tc>
          <w:tcPr>
            <w:tcW w:type="dxa" w:w="3264"/>
          </w:tcPr>
          <w:p>
            <w:r>
              <w:t>Procurement-engine executions</w:t>
            </w:r>
          </w:p>
        </w:tc>
      </w:tr>
      <w:tr>
        <w:tc>
          <w:tcPr>
            <w:tcW w:type="dxa" w:w="3264"/>
          </w:tcPr>
          <w:p>
            <w:r>
              <w:t>Procurement Recommendations</w:t>
            </w:r>
          </w:p>
        </w:tc>
        <w:tc>
          <w:tcPr>
            <w:tcW w:type="dxa" w:w="3264"/>
          </w:tcPr>
          <w:p>
            <w:r>
              <w:t>Procurement</w:t>
            </w:r>
          </w:p>
        </w:tc>
        <w:tc>
          <w:tcPr>
            <w:tcW w:type="dxa" w:w="3264"/>
          </w:tcPr>
          <w:p>
            <w:r>
              <w:t>Decision outputs</w:t>
            </w:r>
          </w:p>
        </w:tc>
      </w:tr>
      <w:tr>
        <w:tc>
          <w:tcPr>
            <w:tcW w:type="dxa" w:w="3264"/>
          </w:tcPr>
          <w:p>
            <w:r>
              <w:t>Reports</w:t>
            </w:r>
          </w:p>
        </w:tc>
        <w:tc>
          <w:tcPr>
            <w:tcW w:type="dxa" w:w="3264"/>
          </w:tcPr>
          <w:p>
            <w:r>
              <w:t>Reporting</w:t>
            </w:r>
          </w:p>
        </w:tc>
        <w:tc>
          <w:tcPr>
            <w:tcW w:type="dxa" w:w="3264"/>
          </w:tcPr>
          <w:p>
            <w:r>
              <w:t>Simulation outputs</w:t>
            </w:r>
          </w:p>
        </w:tc>
      </w:tr>
    </w:tbl>
    <w:p>
      <w:pPr>
        <w:pStyle w:val="Heading1"/>
      </w:pPr>
      <w:r>
        <w:t>5. Critical Item–Supplier Relationship</w:t>
      </w:r>
    </w:p>
    <w:p>
      <w:r>
        <w:t>ITEM_SUPPLIERS is a first-class relationship entity. One SKU may have many interchangeable supplier options, each with its own supplier SKU, price, currency, lead time, MOQ, order multiple, preferred/active status and effective dates.</w:t>
      </w:r>
    </w:p>
    <w:p>
      <w:pPr>
        <w:pStyle w:val="Heading1"/>
      </w:pPr>
      <w:r>
        <w:t>6. Procurement Decision Model</w:t>
      </w:r>
    </w:p>
    <w:p>
      <w:r>
        <w:t>ProcurePulse should ultimately evaluate cost, timing and risk rather than merely identify a single supplier. V0.1 stores the information required to support this later evolution without implementing advanced optimization yet.</w:t>
      </w:r>
    </w:p>
    <w:p>
      <w:pPr>
        <w:pStyle w:val="Heading1"/>
      </w:pPr>
      <w:r>
        <w:t>7. Historical Reproducibility</w:t>
      </w:r>
    </w:p>
    <w:p>
      <w:r>
        <w:t>A simulation references a specific dataset version and algorithm version. Recommendations preserve relevant decision-state values so historical outputs do not silently change when current data changes.</w:t>
      </w:r>
    </w:p>
    <w:p>
      <w:pPr>
        <w:pStyle w:val="Heading1"/>
      </w:pPr>
      <w:r>
        <w:t>8. V0.1 Boundary</w:t>
      </w:r>
    </w:p>
    <w:p>
      <w:r>
        <w:t>Forecasting, supplier scoring, purchase orders, advanced optimization, AI and live ERP integrations remain future capabilities.</w:t>
      </w:r>
    </w:p>
    <w:p>
      <w:pPr>
        <w:pStyle w:val="Heading1"/>
      </w:pPr>
      <w:r>
        <w:t>9. Change Control</w:t>
      </w:r>
    </w:p>
    <w:p>
      <w:r>
        <w:t>ERD V0.1 is the approved conceptual baseline. Implementation and testing may produce controlled revisions; structural changes must be documented rather than silently introduced.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