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8B9A" w14:textId="3529AFE6" w:rsidR="00B35055" w:rsidRDefault="00000000" w:rsidP="000508AF">
      <w:pPr>
        <w:jc w:val="center"/>
      </w:pPr>
      <w:r>
        <w:rPr>
          <w:b/>
          <w:sz w:val="28"/>
        </w:rPr>
        <w:t xml:space="preserve">MDM2 – Case Study: </w:t>
      </w:r>
      <w:r w:rsidR="000508AF" w:rsidRPr="000508AF">
        <w:rPr>
          <w:b/>
          <w:bCs/>
          <w:sz w:val="28"/>
        </w:rPr>
        <w:t>Assistive Robotics for</w:t>
      </w:r>
      <w:r w:rsidR="000508AF" w:rsidRPr="000508AF">
        <w:rPr>
          <w:b/>
          <w:bCs/>
          <w:sz w:val="28"/>
        </w:rPr>
        <w:br/>
        <w:t>Improvement of Life Quality</w:t>
      </w:r>
      <w:r>
        <w:rPr>
          <w:b/>
          <w:sz w:val="28"/>
        </w:rPr>
        <w:br/>
        <w:t>One‑Page Proposal</w:t>
      </w:r>
    </w:p>
    <w:p w14:paraId="470C7A32" w14:textId="77777777" w:rsidR="00B35055" w:rsidRDefault="00B35055">
      <w:pPr>
        <w:spacing w:after="0" w:before="0" w:line="100" w:lineRule="exact"/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35055" w14:paraId="526F77D2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4B8B58B" w14:textId="77777777" w:rsidR="00B35055" w:rsidRDefault="00000000">
            <w:r>
              <w:t>Team</w:t>
            </w:r>
          </w:p>
        </w:tc>
        <w:tc>
          <w:tcPr>
            <w:tcW w:w="4986" w:type="dxa"/>
          </w:tcPr>
          <w:p w14:paraId="7D19661E" w14:textId="77777777" w:rsidR="00B35055" w:rsidRDefault="00B35055"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Group 5</w:t>
            </w:r>
          </w:p>
        </w:tc>
      </w:tr>
      <w:tr w:rsidR="00B35055" w14:paraId="62A2BD69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95494EC" w14:textId="77777777" w:rsidR="00B35055" w:rsidRDefault="00000000">
            <w:r>
              <w:t>Members</w:t>
            </w:r>
          </w:p>
        </w:tc>
        <w:tc>
          <w:tcPr>
            <w:tcW w:w="4986" w:type="dxa"/>
          </w:tcPr>
          <w:p w14:paraId="5CE1EF35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Narean Ravichandra; Guttikonda Ayyappa Reddy</w:t>
            </w:r>
          </w:p>
        </w:tc>
      </w:tr>
      <w:tr w:rsidR="00B35055" w14:paraId="1F4006D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495A56" w14:textId="77777777" w:rsidR="00B35055" w:rsidRDefault="00000000">
            <w:r>
              <w:t>Project Title</w:t>
            </w:r>
          </w:p>
        </w:tc>
        <w:tc>
          <w:tcPr>
            <w:tcW w:w="4986" w:type="dxa"/>
          </w:tcPr>
          <w:p w14:paraId="511B4C04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Fusion of sEMG, IMU, Gaze and Scene-Camera Data for Arm-Position-Robust Grip Selection in Transradial Myoelectric Prosthetic Hands</w:t>
            </w:r>
          </w:p>
        </w:tc>
      </w:tr>
      <w:tr w:rsidR="00B35055" w14:paraId="2881B927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52B087" w14:textId="77777777" w:rsidR="00B35055" w:rsidRDefault="00000000">
            <w:r>
              <w:t>GitHub Repository URL</w:t>
            </w:r>
          </w:p>
        </w:tc>
        <w:tc>
          <w:tcPr>
            <w:tcW w:w="4986" w:type="dxa"/>
          </w:tcPr>
          <w:p w14:paraId="5D4B301D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https://github.com/Narean07/prosthetic-hand-grip-fusion</w:t>
            </w:r>
          </w:p>
        </w:tc>
      </w:tr>
      <w:tr w:rsidR="00B35055" w14:paraId="274FA51E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3A8E73C" w14:textId="77777777" w:rsidR="00B35055" w:rsidRDefault="00000000">
            <w:r>
              <w:t>Contact Email</w:t>
            </w:r>
          </w:p>
        </w:tc>
        <w:tc>
          <w:tcPr>
            <w:tcW w:w="4986" w:type="dxa"/>
          </w:tcPr>
          <w:p w14:paraId="51BBA902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narean.0707@gmail.com</w:t>
            </w:r>
          </w:p>
        </w:tc>
      </w:tr>
      <w:tr w:rsidR="00B35055" w14:paraId="78EE129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7E3F40" w14:textId="77777777" w:rsidR="00B35055" w:rsidRDefault="00000000">
            <w:r>
              <w:t>Industrial Application (target domain/use‑case)</w:t>
            </w:r>
          </w:p>
        </w:tc>
        <w:tc>
          <w:tcPr>
            <w:tcW w:w="4986" w:type="dxa"/>
          </w:tcPr>
          <w:p w14:paraId="474D3B70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Upper-limb prosthetics (medical-device sector): grip-selection controller for multi-grip myoelectric hands used by transradial (below-elbow) amputees in daily grasping tasks (Software &amp; Simulation track)</w:t>
            </w:r>
          </w:p>
        </w:tc>
      </w:tr>
      <w:tr w:rsidR="00B35055" w14:paraId="24F66E1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04B77E7" w14:textId="77777777" w:rsidR="00B35055" w:rsidRDefault="00000000">
            <w:r>
              <w:t>Keywords (3–6)</w:t>
            </w:r>
          </w:p>
        </w:tc>
        <w:tc>
          <w:tcPr>
            <w:tcW w:w="4986" w:type="dxa"/>
          </w:tcPr>
          <w:p w14:paraId="4A43C557" w14:textId="77777777" w:rsidR="00B35055" w:rsidRDefault="00B35055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Multimodal sensor fusion; myoelectric prosthesis; limb-position effect; grasp-type classification; eye tracking; Bayesian decision fusion</w:t>
            </w:r>
          </w:p>
        </w:tc>
      </w:tr>
      <w:tr w:rsidR="00B35055" w14:paraId="5395F097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CE9B615" w14:textId="77777777" w:rsidR="00B35055" w:rsidRDefault="00000000">
            <w:r>
              <w:t>Submission Date (YYYY‑MM‑DD)</w:t>
            </w:r>
          </w:p>
        </w:tc>
        <w:tc>
          <w:tcPr>
            <w:tcW w:w="4986" w:type="dxa"/>
          </w:tcPr>
          <w:p w14:paraId="4CFAFBAD" w14:textId="77777777" w:rsidR="00B35055" w:rsidRDefault="00B35055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2026-10-24</w:t>
            </w:r>
          </w:p>
        </w:tc>
      </w:tr>
      <w:tr w:rsidR="00C01E36" w14:paraId="13447048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B5EAB07" w14:textId="78880EE8" w:rsidR="00C01E36" w:rsidRDefault="00C01E36">
            <w:r>
              <w:t>Gant Chart</w:t>
            </w:r>
          </w:p>
        </w:tc>
        <w:tc>
          <w:tcPr>
            <w:tcW w:w="4986" w:type="dxa"/>
          </w:tcPr>
          <w:p w14:paraId="39D3F400" w14:textId="4DCB15DA" w:rsidR="00C01E36" w:rsidRDefault="00A95CE4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926080" cy="9638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tt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963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27E4A" w14:textId="77777777" w:rsidR="00B35055" w:rsidRDefault="00B35055">
      <w:pPr>
        <w:spacing w:after="0" w:before="0" w:line="100" w:lineRule="exact"/>
      </w:pP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35055" w14:paraId="022DFFD6" w14:textId="77777777" w:rsidTr="00B350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213E361" w14:textId="77777777" w:rsidR="00B35055" w:rsidRDefault="00000000">
            <w:r>
              <w:t>1) Problem Statement &amp; Measurable Outcomes (3–4 sentences)</w:t>
            </w:r>
          </w:p>
        </w:tc>
        <w:tc>
          <w:tcPr>
            <w:tcW w:w="4986" w:type="dxa"/>
          </w:tcPr>
          <w:p w14:paraId="6006DBE0" w14:textId="77777777" w:rsidR="00B35055" w:rsidRDefault="00000000"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Multi-grip myoelectric hands classify forearm sEMG trained in one arm posture; when the amputee raises or extends the forearm, sEMG patterns shift (limb-position effect), the hand opens into the wrong grip and the object is dropped. We fuse 12-channel sEMG, forearm accelerometers, eye-tracker gaze and a head-mounted scene camera to select one of 5 grips (power, lateral, tripod, pinch, open palm).</w:t>
            </w:r>
          </w:p>
          <w:p>
            <w:pPr>
              <w:spacing w:after="10"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KPIs (15 amputee subjects): </w:t>
            </w:r>
            <w:r>
              <w:rPr>
                <w:b w:val="0"/>
                <w:sz w:val="15"/>
              </w:rPr>
              <w:t>(1) grip accuracy ≥ 90 % and ≥ 15 pp above sEMG-only; (2) accuracy drop between forearm-orientation bins ≤ 5 pp; (3) grip decided within the first 50 % of the reach phase; (4) ≤ 50 ms processing per decision.</w:t>
            </w:r>
          </w:p>
        </w:tc>
      </w:tr>
      <w:tr w:rsidR="00B35055" w14:paraId="133EACE3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BC77F4" w14:textId="5DC4425D" w:rsidR="00B35055" w:rsidRDefault="00000000">
            <w:r>
              <w:t xml:space="preserve">2) Motivation &amp; </w:t>
            </w:r>
            <w:r w:rsidR="006D0220">
              <w:t xml:space="preserve">Assistive </w:t>
            </w:r>
            <w:r>
              <w:t>Relevance (2–3 sentences)</w:t>
            </w:r>
          </w:p>
        </w:tc>
        <w:tc>
          <w:tcPr>
            <w:tcW w:w="4986" w:type="dxa"/>
          </w:tcPr>
          <w:p w14:paraId="0E52A2DD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Roughly a quarter of adult users abandon electric upper-limb prostheses, with unreliable control a main cause (Biddiss &amp; Chau, 2007). Reliable grip selection without muscle-trigger sequences lets transradial amputees eat, drink and dress with fewer drops and less mental effort; multi-grip hands and low-cost eye trackers exist, so control is now the bottleneck.</w:t>
            </w:r>
          </w:p>
        </w:tc>
      </w:tr>
      <w:tr w:rsidR="00B35055" w14:paraId="13C8A174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67B4792" w14:textId="77777777" w:rsidR="00B35055" w:rsidRDefault="00000000">
            <w:r>
              <w:t>3) Related Work Snapshot (2–3 key references)</w:t>
            </w:r>
          </w:p>
        </w:tc>
        <w:tc>
          <w:tcPr>
            <w:tcW w:w="4986" w:type="dxa"/>
          </w:tcPr>
          <w:p w14:paraId="22759457" w14:textId="77777777" w:rsidR="00B35055" w:rsidRDefault="00000000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 w:val="0"/>
                <w:sz w:val="15"/>
              </w:rPr>
              <w:t>Fougner et al. (2011), IEEE TNSRE: limb-position effect; accelerometers reduced errors. Markovic et al. (2014), J. Neural Eng.: stereo vision + sEMG grasp pre-shaping, mainly able-bodied users. Cognolato et al. (2020), Sci. Data: MeganePro (sEMG, accelerometer, gaze, scene video; 15 amputees, 30 able-bodied).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Gap: </w:t>
            </w:r>
            <w:r>
              <w:rPr>
                <w:b w:val="0"/>
                <w:sz w:val="15"/>
              </w:rPr>
              <w:t>no quantified four-modality (sEMG + IMU + gaze + vision) fusion targeting limb-position robustness on amputee data.</w:t>
            </w:r>
          </w:p>
        </w:tc>
      </w:tr>
      <w:tr w:rsidR="00B35055" w14:paraId="4F06809B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E69C6F" w14:textId="77777777" w:rsidR="00B35055" w:rsidRDefault="00000000">
            <w:r>
              <w:t>4) Method &amp; Feasibility (≤6 sentences)</w:t>
            </w:r>
          </w:p>
        </w:tc>
        <w:tc>
          <w:tcPr>
            <w:tcW w:w="4986" w:type="dxa"/>
          </w:tcPr>
          <w:p w14:paraId="340C1821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(1) Data: MeganePro (12-ch sEMG ≈ 2 kHz, electrode accelerometers, 100 Hz gaze, 25 fps scene video), leave-one-subject-out over 15 amputees. (2) sEMG: 20–450 Hz band-pass, 50 Hz notch, 200 ms windows / 50 ms step, MAV, WL, ZC, SSC features → LDA baseline. (3) IMU: forearm gravity vector gives orientation features and position bins; acceleration onset marks the reach phase. (4) Vision: ≥ 200 ms gaze fixation → 224×224 crop → YOLOv8 (COCO-pretrained, fine-tuned on ~500 labelled frames) → object-to-grip prior. (5) Fusion: P(grip) ∝ P_vision^wv · P_EMG+IMU^we, weights from validation reliability, sEMG+IMU fallback if vision drops out. (6) Artifacts: Python GitHub repo, confusion matrices, accuracy-vs-orientation plots, demo video.</w:t>
            </w:r>
          </w:p>
        </w:tc>
      </w:tr>
      <w:tr w:rsidR="00B35055" w14:paraId="0235F607" w14:textId="77777777" w:rsidTr="00B350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7809340" w14:textId="77777777" w:rsidR="00B35055" w:rsidRDefault="00000000">
            <w:r>
              <w:t>5) Milestones &amp; Timeline (short table/list)</w:t>
            </w:r>
          </w:p>
        </w:tc>
        <w:tc>
          <w:tcPr>
            <w:tcW w:w="4986" w:type="dxa"/>
          </w:tcPr>
          <w:p w14:paraId="2A9DC908" w14:textId="77777777" w:rsidR="00B35055" w:rsidRDefault="00000000"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P1 </w:t>
            </w:r>
            <w:r>
              <w:rPr>
                <w:b w:val="0"/>
                <w:sz w:val="15"/>
              </w:rPr>
              <w:t>Oct 24 – Proposal (5 grips, 4 sensors, KPIs fixed)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P2 </w:t>
            </w:r>
            <w:r>
              <w:rPr>
                <w:b w:val="0"/>
                <w:sz w:val="15"/>
              </w:rPr>
              <w:t>Nov 4 – Literature map, bibliography, sEMG-only LDA baseline, limb-position error per orientation bin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P3 </w:t>
            </w:r>
            <w:r>
              <w:rPr>
                <w:b w:val="0"/>
                <w:sz w:val="15"/>
              </w:rPr>
              <w:t>Nov 18 – IMU features + gaze/YOLOv8 pipeline; Dec 2 – Bayesian fusion + reliability weighting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P4 </w:t>
            </w:r>
            <w:r>
              <w:rPr>
                <w:b w:val="0"/>
                <w:sz w:val="15"/>
              </w:rPr>
              <w:t>Dec 16 – Robustness (channel-shift, vision dropout) + demo video</w:t>
            </w:r>
          </w:p>
          <w:p>
            <w:pPr>
              <w:spacing w:after="10" w:befor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5"/>
              </w:rPr>
              <w:t xml:space="preserve">P5 </w:t>
            </w:r>
            <w:r>
              <w:rPr>
                <w:b w:val="0"/>
                <w:sz w:val="15"/>
              </w:rPr>
              <w:t>Jan 13 – v0–v3 comparison, report, presentation</w:t>
            </w:r>
          </w:p>
        </w:tc>
      </w:tr>
      <w:tr w:rsidR="00B35055" w14:paraId="6F39F84F" w14:textId="77777777" w:rsidTr="00B350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B2C0DE8" w14:textId="77777777" w:rsidR="00B35055" w:rsidRDefault="00000000">
            <w:r>
              <w:t>6) Risks &amp; Ethics (1–2 sentences)</w:t>
            </w:r>
          </w:p>
        </w:tc>
        <w:tc>
          <w:tcPr>
            <w:tcW w:w="4986" w:type="dxa"/>
          </w:tcPr>
          <w:p w14:paraId="141E734C" w14:textId="77777777" w:rsidR="00B35055" w:rsidRDefault="00000000">
            <w:pPr>
              <w:spacing w:after="10"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 w:val="0"/>
                <w:sz w:val="15"/>
              </w:rPr>
              <w:t>MeganePro is anonymised, ethics-approved and cited under its licence; no raw scene frames are published. Risks: only 15 amputees (leave-one-subject-out testing), ~500 frames to label for non-COCO objects (budgeted in P3), and offline results do not prove clinical benefit.</w:t>
            </w:r>
          </w:p>
        </w:tc>
      </w:tr>
    </w:tbl>
    <w:p w14:paraId="1DF7D667" w14:textId="77777777" w:rsidR="00B35055" w:rsidRDefault="00B35055">
      <w:pPr>
        <w:spacing w:after="0" w:before="0" w:line="100" w:lineRule="exact"/>
      </w:pPr>
    </w:p>
    <w:p w14:paraId="47E8EFE1" w14:textId="57A19D5F" w:rsidR="00B35055" w:rsidRDefault="00000000">
      <w:r>
        <w:rPr>
          <w:i/>
          <w:sz w:val="18"/>
        </w:rPr>
        <w:t>Phase 1 rubric (15%): Team &amp; GitHub (</w:t>
      </w:r>
      <w:r w:rsidR="000F43C6">
        <w:rPr>
          <w:i/>
          <w:sz w:val="18"/>
        </w:rPr>
        <w:t>2</w:t>
      </w:r>
      <w:r>
        <w:rPr>
          <w:i/>
          <w:sz w:val="18"/>
        </w:rPr>
        <w:t>%), On‑time (2%), Topic &amp; Proposal (</w:t>
      </w:r>
      <w:r w:rsidR="000F43C6">
        <w:rPr>
          <w:i/>
          <w:sz w:val="18"/>
        </w:rPr>
        <w:t>5</w:t>
      </w:r>
      <w:r>
        <w:rPr>
          <w:i/>
          <w:sz w:val="18"/>
        </w:rPr>
        <w:t xml:space="preserve">%) — Industrial Application, </w:t>
      </w:r>
      <w:proofErr w:type="spellStart"/>
      <w:r>
        <w:rPr>
          <w:i/>
          <w:sz w:val="18"/>
        </w:rPr>
        <w:t>Problem+Outcomes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Feasibility+Timeline</w:t>
      </w:r>
      <w:proofErr w:type="spellEnd"/>
      <w:r>
        <w:rPr>
          <w:i/>
          <w:sz w:val="18"/>
        </w:rPr>
        <w:t>; Presentation (</w:t>
      </w:r>
      <w:r w:rsidR="00500E79">
        <w:rPr>
          <w:i/>
          <w:sz w:val="18"/>
        </w:rPr>
        <w:t>6</w:t>
      </w:r>
      <w:r>
        <w:rPr>
          <w:i/>
          <w:sz w:val="18"/>
        </w:rPr>
        <w:t>%).</w:t>
      </w:r>
    </w:p>
    <w:sectPr w:rsidR="00B35055" w:rsidSect="00034616">
      <w:pgSz w:w="12240" w:h="15840"/>
      <w:pgMar w:top="792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2434">
    <w:abstractNumId w:val="8"/>
  </w:num>
  <w:num w:numId="2" w16cid:durableId="2081324249">
    <w:abstractNumId w:val="6"/>
  </w:num>
  <w:num w:numId="3" w16cid:durableId="1828086709">
    <w:abstractNumId w:val="5"/>
  </w:num>
  <w:num w:numId="4" w16cid:durableId="736779215">
    <w:abstractNumId w:val="4"/>
  </w:num>
  <w:num w:numId="5" w16cid:durableId="2124379552">
    <w:abstractNumId w:val="7"/>
  </w:num>
  <w:num w:numId="6" w16cid:durableId="1234194482">
    <w:abstractNumId w:val="3"/>
  </w:num>
  <w:num w:numId="7" w16cid:durableId="632903121">
    <w:abstractNumId w:val="2"/>
  </w:num>
  <w:num w:numId="8" w16cid:durableId="1367873640">
    <w:abstractNumId w:val="1"/>
  </w:num>
  <w:num w:numId="9" w16cid:durableId="162924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AF"/>
    <w:rsid w:val="0006063C"/>
    <w:rsid w:val="000F43C6"/>
    <w:rsid w:val="0015074B"/>
    <w:rsid w:val="0029639D"/>
    <w:rsid w:val="00326F90"/>
    <w:rsid w:val="00500E79"/>
    <w:rsid w:val="006D0220"/>
    <w:rsid w:val="00A95CE4"/>
    <w:rsid w:val="00AA1D8D"/>
    <w:rsid w:val="00B35055"/>
    <w:rsid w:val="00B47730"/>
    <w:rsid w:val="00C01E36"/>
    <w:rsid w:val="00CB0664"/>
    <w:rsid w:val="00CF3ABA"/>
    <w:rsid w:val="00F26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3EBCF"/>
  <w14:defaultImageDpi w14:val="300"/>
  <w15:docId w15:val="{AC13D095-99E0-4A7F-93B6-9E0FECD5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Hamidreza Heidari</cp:lastModifiedBy>
  <cp:revision>9</cp:revision>
  <dcterms:created xsi:type="dcterms:W3CDTF">2013-12-23T23:15:00Z</dcterms:created>
  <dcterms:modified xsi:type="dcterms:W3CDTF">2026-03-20T00:14:00Z</dcterms:modified>
  <cp:category/>
</cp:coreProperties>
</file>