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Windows Server 2016 Upgrade Summary</w:t>
      </w:r>
    </w:p>
    <w:p>
      <w:r>
        <w:t>Upgrade or migrate the 74 INT, BOF and EXT servers to Windows Server 2022 Standard before January 2027 end of support. Inventory: 50 collected, 1 partial and 23 failed. The five BOF Datacenter servers require clean Standard builds and workload migration. Source OS names and versions are supplied values requiring confirmation. Pending inventories include reported ping/WinRM results; no ping reply does not prove offline. Upgrade completion is unreported; ETA and RP remain TBD.</w:t>
      </w:r>
    </w:p>
    <w:p>
      <w:pPr>
        <w:pStyle w:val="Heading1"/>
        <w:pageBreakBefore w:val="0"/>
      </w:pPr>
      <w:r>
        <w:t>INT</w:t>
      </w:r>
    </w:p>
    <w:tbl>
      <w:tblPr>
        <w:tblStyle w:val="TableGrid"/>
        <w:tblW w:type="auto" w:w="0"/>
        <w:tblLayout w:type="fixed"/>
        <w:tblLook w:firstColumn="1" w:firstRow="1" w:lastColumn="0" w:lastRow="0" w:noHBand="0" w:noVBand="1" w:val="04A0"/>
      </w:tblPr>
      <w:tblGrid>
        <w:gridCol w:w="2494"/>
        <w:gridCol w:w="2494"/>
        <w:gridCol w:w="2494"/>
        <w:gridCol w:w="2494"/>
        <w:gridCol w:w="2494"/>
        <w:gridCol w:w="2494"/>
      </w:tblGrid>
      <w:tr>
        <w:trPr>
          <w:cantSplit/>
          <w:tblHeader/>
        </w:trPr>
        <w:tc>
          <w:tcPr>
            <w:tcW w:type="dxa" w:w="2304"/>
            <w:shd w:fill="E8EDF3"/>
          </w:tcPr>
          <w:p>
            <w:pPr>
              <w:spacing w:before="20" w:after="20" w:line="240" w:lineRule="auto"/>
            </w:pPr>
            <w:r>
              <w:rPr>
                <w:b/>
                <w:sz w:val="19"/>
              </w:rPr>
              <w:t>Name</w:t>
            </w:r>
          </w:p>
        </w:tc>
        <w:tc>
          <w:tcPr>
            <w:tcW w:type="dxa" w:w="3384"/>
            <w:shd w:fill="E8EDF3"/>
          </w:tcPr>
          <w:p>
            <w:pPr>
              <w:spacing w:before="20" w:after="20" w:line="240" w:lineRule="auto"/>
            </w:pPr>
            <w:r>
              <w:rPr>
                <w:b/>
                <w:sz w:val="19"/>
              </w:rPr>
              <w:t>Source OS</w:t>
            </w:r>
          </w:p>
        </w:tc>
        <w:tc>
          <w:tcPr>
            <w:tcW w:type="dxa" w:w="1584"/>
            <w:shd w:fill="E8EDF3"/>
          </w:tcPr>
          <w:p>
            <w:pPr>
              <w:spacing w:before="20" w:after="20" w:line="240" w:lineRule="auto"/>
            </w:pPr>
            <w:r>
              <w:rPr>
                <w:b/>
                <w:sz w:val="19"/>
              </w:rPr>
              <w:t>Source version</w:t>
            </w:r>
          </w:p>
        </w:tc>
        <w:tc>
          <w:tcPr>
            <w:tcW w:type="dxa" w:w="5904"/>
            <w:shd w:fill="E8EDF3"/>
          </w:tcPr>
          <w:p>
            <w:pPr>
              <w:spacing w:before="20" w:after="20" w:line="240" w:lineRule="auto"/>
            </w:pPr>
            <w:r>
              <w:rPr>
                <w:b/>
                <w:sz w:val="19"/>
              </w:rPr>
              <w:t>Upgrade status</w:t>
            </w:r>
          </w:p>
        </w:tc>
        <w:tc>
          <w:tcPr>
            <w:tcW w:type="dxa" w:w="792"/>
            <w:shd w:fill="E8EDF3"/>
          </w:tcPr>
          <w:p>
            <w:pPr>
              <w:spacing w:before="20" w:after="20" w:line="240" w:lineRule="auto"/>
            </w:pPr>
            <w:r>
              <w:rPr>
                <w:b/>
                <w:sz w:val="19"/>
              </w:rPr>
              <w:t>ETA</w:t>
            </w:r>
          </w:p>
        </w:tc>
        <w:tc>
          <w:tcPr>
            <w:tcW w:type="dxa" w:w="792"/>
            <w:shd w:fill="E8EDF3"/>
          </w:tcPr>
          <w:p>
            <w:pPr>
              <w:spacing w:before="20" w:after="20" w:line="240" w:lineRule="auto"/>
            </w:pPr>
            <w:r>
              <w:rPr>
                <w:b/>
                <w:sz w:val="19"/>
              </w:rPr>
              <w:t>RP</w:t>
            </w:r>
          </w:p>
        </w:tc>
      </w:tr>
      <w:tr>
        <w:trPr>
          <w:cantSplit/>
        </w:trPr>
        <w:tc>
          <w:tcPr>
            <w:tcW w:type="dxa" w:w="2304"/>
          </w:tcPr>
          <w:p>
            <w:pPr>
              <w:spacing w:before="20" w:after="20" w:line="240" w:lineRule="auto"/>
            </w:pPr>
            <w:r>
              <w:rPr>
                <w:b w:val="0"/>
                <w:sz w:val="19"/>
              </w:rPr>
              <w:t>CH3PIWBAK110</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CH3PIWBAK901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GDCINTMDT1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HK3PIWFIL101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HK3PIWSQL901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HK3PIWVCM901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HK3PIWVCN101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HK3PIWVCN902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INDTAP11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DNS: Failed; Ping: Unknown; WinRM TCP: Unknown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INDTAP22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DNS: Failed; Ping: Unknown; WinRM TCP: Unknown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NY5PIWAVL901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NY5PIWAVL902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NY5PIWBAK110</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NY5PIWBAK901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NY5PIWBIT901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NY5PIWCNM901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NY5PIWCNM902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NY5PIWFCL01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NY5PIWLOG901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NY5PIWPRN901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NY5PIWPRN902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NY5PIWSAG901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NY5PIWSAG902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NY5PIWSAO901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DNS: Failed; Ping: Unknown; WinRM TCP: Unknown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NY5PIWSQL901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NY5PIWSQL902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NY5PIWSQLC01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ZH4PIWBAK110</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bl>
    <w:p>
      <w:pPr>
        <w:pStyle w:val="Heading1"/>
        <w:pageBreakBefore w:val="0"/>
      </w:pPr>
      <w:r>
        <w:t>BOF</w:t>
      </w:r>
    </w:p>
    <w:tbl>
      <w:tblPr>
        <w:tblStyle w:val="TableGrid"/>
        <w:tblW w:type="auto" w:w="0"/>
        <w:tblLayout w:type="fixed"/>
        <w:tblLook w:firstColumn="1" w:firstRow="1" w:lastColumn="0" w:lastRow="0" w:noHBand="0" w:noVBand="1" w:val="04A0"/>
      </w:tblPr>
      <w:tblGrid>
        <w:gridCol w:w="2494"/>
        <w:gridCol w:w="2494"/>
        <w:gridCol w:w="2494"/>
        <w:gridCol w:w="2494"/>
        <w:gridCol w:w="2494"/>
        <w:gridCol w:w="2494"/>
      </w:tblGrid>
      <w:tr>
        <w:trPr>
          <w:cantSplit/>
          <w:tblHeader/>
        </w:trPr>
        <w:tc>
          <w:tcPr>
            <w:tcW w:type="dxa" w:w="2304"/>
            <w:shd w:fill="E8EDF3"/>
          </w:tcPr>
          <w:p>
            <w:pPr>
              <w:spacing w:before="20" w:after="20" w:line="240" w:lineRule="auto"/>
            </w:pPr>
            <w:r>
              <w:rPr>
                <w:b/>
                <w:sz w:val="19"/>
              </w:rPr>
              <w:t>Name</w:t>
            </w:r>
          </w:p>
        </w:tc>
        <w:tc>
          <w:tcPr>
            <w:tcW w:type="dxa" w:w="3384"/>
            <w:shd w:fill="E8EDF3"/>
          </w:tcPr>
          <w:p>
            <w:pPr>
              <w:spacing w:before="20" w:after="20" w:line="240" w:lineRule="auto"/>
            </w:pPr>
            <w:r>
              <w:rPr>
                <w:b/>
                <w:sz w:val="19"/>
              </w:rPr>
              <w:t>Source OS</w:t>
            </w:r>
          </w:p>
        </w:tc>
        <w:tc>
          <w:tcPr>
            <w:tcW w:type="dxa" w:w="1584"/>
            <w:shd w:fill="E8EDF3"/>
          </w:tcPr>
          <w:p>
            <w:pPr>
              <w:spacing w:before="20" w:after="20" w:line="240" w:lineRule="auto"/>
            </w:pPr>
            <w:r>
              <w:rPr>
                <w:b/>
                <w:sz w:val="19"/>
              </w:rPr>
              <w:t>Source version</w:t>
            </w:r>
          </w:p>
        </w:tc>
        <w:tc>
          <w:tcPr>
            <w:tcW w:type="dxa" w:w="5904"/>
            <w:shd w:fill="E8EDF3"/>
          </w:tcPr>
          <w:p>
            <w:pPr>
              <w:spacing w:before="20" w:after="20" w:line="240" w:lineRule="auto"/>
            </w:pPr>
            <w:r>
              <w:rPr>
                <w:b/>
                <w:sz w:val="19"/>
              </w:rPr>
              <w:t>Upgrade status</w:t>
            </w:r>
          </w:p>
        </w:tc>
        <w:tc>
          <w:tcPr>
            <w:tcW w:type="dxa" w:w="792"/>
            <w:shd w:fill="E8EDF3"/>
          </w:tcPr>
          <w:p>
            <w:pPr>
              <w:spacing w:before="20" w:after="20" w:line="240" w:lineRule="auto"/>
            </w:pPr>
            <w:r>
              <w:rPr>
                <w:b/>
                <w:sz w:val="19"/>
              </w:rPr>
              <w:t>ETA</w:t>
            </w:r>
          </w:p>
        </w:tc>
        <w:tc>
          <w:tcPr>
            <w:tcW w:type="dxa" w:w="792"/>
            <w:shd w:fill="E8EDF3"/>
          </w:tcPr>
          <w:p>
            <w:pPr>
              <w:spacing w:before="20" w:after="20" w:line="240" w:lineRule="auto"/>
            </w:pPr>
            <w:r>
              <w:rPr>
                <w:b/>
                <w:sz w:val="19"/>
              </w:rPr>
              <w:t>RP</w:t>
            </w:r>
          </w:p>
        </w:tc>
      </w:tr>
      <w:tr>
        <w:trPr>
          <w:cantSplit/>
        </w:trPr>
        <w:tc>
          <w:tcPr>
            <w:tcW w:type="dxa" w:w="2304"/>
          </w:tcPr>
          <w:p>
            <w:pPr>
              <w:spacing w:before="20" w:after="20" w:line="240" w:lineRule="auto"/>
            </w:pPr>
            <w:r>
              <w:rPr>
                <w:b w:val="0"/>
                <w:sz w:val="19"/>
              </w:rPr>
              <w:t>NY5PBWAVL901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NY5PBWAVL902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NY5PBWCNM901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NY5PBWCNM902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NY5PBWFIL901</w:t>
            </w:r>
          </w:p>
        </w:tc>
        <w:tc>
          <w:tcPr>
            <w:tcW w:type="dxa" w:w="3384"/>
          </w:tcPr>
          <w:p>
            <w:pPr>
              <w:spacing w:before="20" w:after="20" w:line="240" w:lineRule="auto"/>
            </w:pPr>
            <w:r>
              <w:rPr>
                <w:b w:val="0"/>
                <w:sz w:val="19"/>
              </w:rPr>
              <w:t>Windows Server 2016 Datacenter</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NY5PBWFIL902</w:t>
            </w:r>
          </w:p>
        </w:tc>
        <w:tc>
          <w:tcPr>
            <w:tcW w:type="dxa" w:w="3384"/>
          </w:tcPr>
          <w:p>
            <w:pPr>
              <w:spacing w:before="20" w:after="20" w:line="240" w:lineRule="auto"/>
            </w:pPr>
            <w:r>
              <w:rPr>
                <w:b w:val="0"/>
                <w:sz w:val="19"/>
              </w:rPr>
              <w:t>Windows Server 2016 Datacenter</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NY5PBWFILC01</w:t>
            </w:r>
          </w:p>
        </w:tc>
        <w:tc>
          <w:tcPr>
            <w:tcW w:type="dxa" w:w="3384"/>
          </w:tcPr>
          <w:p>
            <w:pPr>
              <w:spacing w:before="20" w:after="20" w:line="240" w:lineRule="auto"/>
            </w:pPr>
            <w:r>
              <w:rPr>
                <w:b w:val="0"/>
                <w:sz w:val="19"/>
              </w:rPr>
              <w:t>Windows Server 2016 Datacenter</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NY5PBWFSR01</w:t>
            </w:r>
          </w:p>
        </w:tc>
        <w:tc>
          <w:tcPr>
            <w:tcW w:type="dxa" w:w="3384"/>
          </w:tcPr>
          <w:p>
            <w:pPr>
              <w:spacing w:before="20" w:after="20" w:line="240" w:lineRule="auto"/>
            </w:pPr>
            <w:r>
              <w:rPr>
                <w:b w:val="0"/>
                <w:sz w:val="19"/>
              </w:rPr>
              <w:t>Windows Server 2016 Datacenter</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NY5PBWFSR02</w:t>
            </w:r>
          </w:p>
        </w:tc>
        <w:tc>
          <w:tcPr>
            <w:tcW w:type="dxa" w:w="3384"/>
          </w:tcPr>
          <w:p>
            <w:pPr>
              <w:spacing w:before="20" w:after="20" w:line="240" w:lineRule="auto"/>
            </w:pPr>
            <w:r>
              <w:rPr>
                <w:b w:val="0"/>
                <w:sz w:val="19"/>
              </w:rPr>
              <w:t>Windows Server 2016 Datacenter</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NY5PBWIIS901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Reply;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NY5PBWLOG901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NY5PBWPRN901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NY5PBWPRN902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NY5PBWSAG901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NY5PBWSAG902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NY5PBWSQL901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NY5PBWSQL902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NY5PBWSQLC01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NY5PBWVCO901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NY5PBWVID901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NY5PBWVSZ901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NYPBWBIT901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bl>
    <w:p>
      <w:pPr>
        <w:pStyle w:val="Heading1"/>
        <w:pageBreakBefore w:val="0"/>
      </w:pPr>
      <w:r>
        <w:t>EXT</w:t>
      </w:r>
    </w:p>
    <w:tbl>
      <w:tblPr>
        <w:tblStyle w:val="TableGrid"/>
        <w:tblW w:type="auto" w:w="0"/>
        <w:tblLayout w:type="fixed"/>
        <w:tblLook w:firstColumn="1" w:firstRow="1" w:lastColumn="0" w:lastRow="0" w:noHBand="0" w:noVBand="1" w:val="04A0"/>
      </w:tblPr>
      <w:tblGrid>
        <w:gridCol w:w="2494"/>
        <w:gridCol w:w="2494"/>
        <w:gridCol w:w="2494"/>
        <w:gridCol w:w="2494"/>
        <w:gridCol w:w="2494"/>
        <w:gridCol w:w="2494"/>
      </w:tblGrid>
      <w:tr>
        <w:trPr>
          <w:cantSplit/>
          <w:tblHeader/>
        </w:trPr>
        <w:tc>
          <w:tcPr>
            <w:tcW w:type="dxa" w:w="2304"/>
            <w:shd w:fill="E8EDF3"/>
          </w:tcPr>
          <w:p>
            <w:pPr>
              <w:spacing w:before="20" w:after="20" w:line="240" w:lineRule="auto"/>
            </w:pPr>
            <w:r>
              <w:rPr>
                <w:b/>
                <w:sz w:val="19"/>
              </w:rPr>
              <w:t>Name</w:t>
            </w:r>
          </w:p>
        </w:tc>
        <w:tc>
          <w:tcPr>
            <w:tcW w:type="dxa" w:w="3384"/>
            <w:shd w:fill="E8EDF3"/>
          </w:tcPr>
          <w:p>
            <w:pPr>
              <w:spacing w:before="20" w:after="20" w:line="240" w:lineRule="auto"/>
            </w:pPr>
            <w:r>
              <w:rPr>
                <w:b/>
                <w:sz w:val="19"/>
              </w:rPr>
              <w:t>Source OS</w:t>
            </w:r>
          </w:p>
        </w:tc>
        <w:tc>
          <w:tcPr>
            <w:tcW w:type="dxa" w:w="1584"/>
            <w:shd w:fill="E8EDF3"/>
          </w:tcPr>
          <w:p>
            <w:pPr>
              <w:spacing w:before="20" w:after="20" w:line="240" w:lineRule="auto"/>
            </w:pPr>
            <w:r>
              <w:rPr>
                <w:b/>
                <w:sz w:val="19"/>
              </w:rPr>
              <w:t>Source version</w:t>
            </w:r>
          </w:p>
        </w:tc>
        <w:tc>
          <w:tcPr>
            <w:tcW w:type="dxa" w:w="5904"/>
            <w:shd w:fill="E8EDF3"/>
          </w:tcPr>
          <w:p>
            <w:pPr>
              <w:spacing w:before="20" w:after="20" w:line="240" w:lineRule="auto"/>
            </w:pPr>
            <w:r>
              <w:rPr>
                <w:b/>
                <w:sz w:val="19"/>
              </w:rPr>
              <w:t>Upgrade status</w:t>
            </w:r>
          </w:p>
        </w:tc>
        <w:tc>
          <w:tcPr>
            <w:tcW w:type="dxa" w:w="792"/>
            <w:shd w:fill="E8EDF3"/>
          </w:tcPr>
          <w:p>
            <w:pPr>
              <w:spacing w:before="20" w:after="20" w:line="240" w:lineRule="auto"/>
            </w:pPr>
            <w:r>
              <w:rPr>
                <w:b/>
                <w:sz w:val="19"/>
              </w:rPr>
              <w:t>ETA</w:t>
            </w:r>
          </w:p>
        </w:tc>
        <w:tc>
          <w:tcPr>
            <w:tcW w:type="dxa" w:w="792"/>
            <w:shd w:fill="E8EDF3"/>
          </w:tcPr>
          <w:p>
            <w:pPr>
              <w:spacing w:before="20" w:after="20" w:line="240" w:lineRule="auto"/>
            </w:pPr>
            <w:r>
              <w:rPr>
                <w:b/>
                <w:sz w:val="19"/>
              </w:rPr>
              <w:t>RP</w:t>
            </w:r>
          </w:p>
        </w:tc>
      </w:tr>
      <w:tr>
        <w:trPr>
          <w:cantSplit/>
        </w:trPr>
        <w:tc>
          <w:tcPr>
            <w:tcW w:type="dxa" w:w="2304"/>
          </w:tcPr>
          <w:p>
            <w:pPr>
              <w:spacing w:before="20" w:after="20" w:line="240" w:lineRule="auto"/>
            </w:pPr>
            <w:r>
              <w:rPr>
                <w:b w:val="0"/>
                <w:sz w:val="19"/>
              </w:rPr>
              <w:t>CAUNY5PE8mw</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GDCEIVAP01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DNS: Failed; Ping: Unknown; WinRM TCP: Unknown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NY5PEWAVL901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NY5PEWAVL902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NY5PEWBAK901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NY5PEWBAK902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DNS: Failed; Ping: Unknown; WinRM TCP: Unknown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NY5PEWCNM901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NY5PEWCNM902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NY5PEWFIL901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NY5PEWFIL902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Reply; WinRM TCP: Open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NY5PEWFIL903</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NY5PEWFILC01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NY5PEWFSR01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NY5PEWFSR02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NY5PEWLOG901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complete inventory</w:t>
              <w:br/>
              <w:t>Ping: Reply; WinRM TCP: Open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NY5PEWMDT901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NY5PEWSQL901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NY5PEWSQL902</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NY5PEWSQLC01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NY5PEWVCO901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NY5PEWVID901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NY5PEWVSZ901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readiness review</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NY5TEWHST801</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NoReplyOrBlocked;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r>
        <w:trPr>
          <w:cantSplit/>
        </w:trPr>
        <w:tc>
          <w:tcPr>
            <w:tcW w:type="dxa" w:w="2304"/>
          </w:tcPr>
          <w:p>
            <w:pPr>
              <w:spacing w:before="20" w:after="20" w:line="240" w:lineRule="auto"/>
            </w:pPr>
            <w:r>
              <w:rPr>
                <w:b w:val="0"/>
                <w:sz w:val="19"/>
              </w:rPr>
              <w:t>Test-NY5PEAVCA910</w:t>
            </w:r>
          </w:p>
        </w:tc>
        <w:tc>
          <w:tcPr>
            <w:tcW w:type="dxa" w:w="3384"/>
          </w:tcPr>
          <w:p>
            <w:pPr>
              <w:spacing w:before="20" w:after="20" w:line="240" w:lineRule="auto"/>
            </w:pPr>
            <w:r>
              <w:rPr>
                <w:b w:val="0"/>
                <w:sz w:val="19"/>
              </w:rPr>
              <w:t>Windows Server 2016 Standard</w:t>
            </w:r>
          </w:p>
        </w:tc>
        <w:tc>
          <w:tcPr>
            <w:tcW w:type="dxa" w:w="1584"/>
          </w:tcPr>
          <w:p>
            <w:pPr>
              <w:spacing w:before="20" w:after="20" w:line="240" w:lineRule="auto"/>
            </w:pPr>
            <w:r>
              <w:rPr>
                <w:b w:val="0"/>
                <w:sz w:val="19"/>
              </w:rPr>
              <w:t>10.0 (14393)</w:t>
            </w:r>
          </w:p>
        </w:tc>
        <w:tc>
          <w:tcPr>
            <w:tcW w:type="dxa" w:w="5904"/>
          </w:tcPr>
          <w:p>
            <w:pPr>
              <w:spacing w:before="20" w:after="20" w:line="240" w:lineRule="auto"/>
            </w:pPr>
            <w:r>
              <w:rPr>
                <w:b w:val="0"/>
                <w:sz w:val="19"/>
              </w:rPr>
              <w:t>Pending inventory</w:t>
              <w:br/>
              <w:t>Ping: Reply; WinRM TCP: NoConnection</w:t>
            </w:r>
          </w:p>
        </w:tc>
        <w:tc>
          <w:tcPr>
            <w:tcW w:type="dxa" w:w="792"/>
          </w:tcPr>
          <w:p>
            <w:pPr>
              <w:spacing w:before="20" w:after="20" w:line="240" w:lineRule="auto"/>
            </w:pPr>
            <w:r>
              <w:rPr>
                <w:b w:val="0"/>
                <w:sz w:val="19"/>
              </w:rPr>
              <w:t>TBD</w:t>
            </w:r>
          </w:p>
        </w:tc>
        <w:tc>
          <w:tcPr>
            <w:tcW w:type="dxa" w:w="792"/>
          </w:tcPr>
          <w:p>
            <w:pPr>
              <w:spacing w:before="20" w:after="20" w:line="240" w:lineRule="auto"/>
            </w:pPr>
            <w:r>
              <w:rPr>
                <w:b w:val="0"/>
                <w:sz w:val="19"/>
              </w:rPr>
              <w:t>TBD</w:t>
            </w:r>
          </w:p>
        </w:tc>
      </w:tr>
    </w:tbl>
    <w:sectPr w:rsidR="00FC693F" w:rsidRPr="0006063C" w:rsidSect="00034616">
      <w:pgSz w:w="16834" w:h="11909"/>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2016 Upgrade Summary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