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rPr>
          <w:b/>
          <w:bCs/>
          <w:color w:val="1F4D78"/>
        </w:rPr>
        <w:t xml:space="preserve">Artificial Intelligence Acceptable Use Policy - Canada</w:t>
      </w:r>
    </w:p>
    <w:p>
      <w:pPr>
        <w:pStyle w:val="Heading2"/>
        <w:spacing w:after="100" w:before="200"/>
      </w:pPr>
      <w:r>
        <w:rPr>
          <w:color w:val="2E74B5"/>
        </w:rPr>
        <w:t xml:space="preserve">Federal PIPEDA and Quebec's private-sector Act as amended by Law 25, with the pending federal bill named and not relied on</w:t>
      </w:r>
    </w:p>
    <w:p>
      <w:pPr>
        <w:spacing w:after="120"/>
      </w:pPr>
      <w:r>
        <w:rPr>
          <w:b/>
          <w:bCs/>
        </w:rPr>
        <w:t xml:space="preserve">Organisation:</w:t>
      </w:r>
      <w:r>
        <w:t xml:space="preserve"> [ORGANISATION]</w:t>
      </w:r>
    </w:p>
    <w:p>
      <w:pPr>
        <w:spacing w:after="120"/>
      </w:pPr>
      <w:r>
        <w:rPr>
          <w:b/>
          <w:bCs/>
        </w:rPr>
        <w:t xml:space="preserve">Effective date:</w:t>
      </w:r>
      <w:r>
        <w:t xml:space="preserve"> [DATE] </w:t>
      </w:r>
      <w:r>
        <w:rPr>
          <w:b/>
          <w:bCs/>
        </w:rPr>
        <w:t xml:space="preserve">Version:</w:t>
      </w:r>
      <w:r>
        <w:t xml:space="preserve"> 1.0</w:t>
      </w:r>
    </w:p>
    <w:p>
      <w:pPr>
        <w:spacing w:after="120"/>
      </w:pPr>
      <w:r>
        <w:rPr>
          <w:b/>
          <w:bCs/>
        </w:rPr>
        <w:t xml:space="preserve">Policy owner:</w:t>
      </w:r>
      <w:r>
        <w:t xml:space="preserve"> [CISO] </w:t>
      </w:r>
      <w:r>
        <w:rPr>
          <w:b/>
          <w:bCs/>
        </w:rPr>
        <w:t xml:space="preserve">Privacy lead:</w:t>
      </w:r>
      <w:r>
        <w:t xml:space="preserve"> [Person in charge of the protection of personal information / Chief Privacy Officer]</w:t>
      </w:r>
    </w:p>
    <w:p>
      <w:pPr>
        <w:spacing w:after="120"/>
      </w:pPr>
      <w:r>
        <w:rPr>
          <w:b/>
          <w:bCs/>
        </w:rPr>
        <w:t xml:space="preserve">Classification:</w:t>
      </w:r>
      <w:r>
        <w:t xml:space="preserve"> Internal</w:t>
      </w:r>
    </w:p>
    <w:p>
      <w:pPr>
        <w:spacing w:after="120"/>
      </w:pPr>
      <w:r>
        <w:rPr>
          <w:b/>
          <w:bCs/>
        </w:rPr>
        <w:t xml:space="preserve">Review:</w:t>
      </w:r>
      <w:r>
        <w:t xml:space="preserve"> at least every six months, and on material change in tools or regulation</w:t>
      </w:r>
    </w:p>
    <w:p>
      <w:pPr>
        <w:pStyle w:val="Heading1"/>
        <w:spacing w:after="120" w:before="280"/>
      </w:pPr>
      <w:r>
        <w:rPr>
          <w:color w:val="2E74B5"/>
        </w:rPr>
        <w:t xml:space="preserve">1. Purpose</w:t>
      </w:r>
    </w:p>
    <w:p>
      <w:pPr>
        <w:spacing w:after="120"/>
      </w:pPr>
      <w:r>
        <w:t xml:space="preserve">[ORGANISATION] permits the use of artificial intelligence (AI) tools to improve productivity, provided that use protects the organisation's data, its customers and staff, its intellectual property, and its obligations under Canadian law. This policy sets the requirements for all such use.</w:t>
      </w:r>
    </w:p>
    <w:p>
      <w:pPr>
        <w:spacing w:after="120"/>
      </w:pPr>
      <w:r>
        <w:t xml:space="preserve">Four features of the Canadian framework shape this document.</w:t>
      </w:r>
    </w:p>
    <w:p>
      <w:pPr>
        <w:pStyle w:val="Heading2"/>
        <w:spacing w:after="100" w:before="200"/>
      </w:pPr>
      <w:r>
        <w:rPr>
          <w:color w:val="2E74B5"/>
        </w:rPr>
        <w:t xml:space="preserve">1.1 There is no Canadian AI Act, and the federal privacy reform is a bill, not law</w:t>
      </w:r>
    </w:p>
    <w:p>
      <w:pPr>
        <w:spacing w:after="120"/>
      </w:pPr>
      <w:r>
        <w:t xml:space="preserve">The federal artificial intelligence bill died with its parent bill when Parliament was prorogued in January 2025. A third attempt at private-sector privacy reform, Bill C-36, the Protecting Privacy and Consumer Data Act, had first reading on 15 June 2026 and is not law. </w:t>
      </w:r>
      <w:r>
        <w:rPr>
          <w:b/>
          <w:bCs/>
        </w:rPr>
        <w:t xml:space="preserve">This policy relies on nothing in it.</w:t>
      </w:r>
      <w:r>
        <w:t xml:space="preserve"> Clause 4 says what it would add if enacted, so that nothing has to be discovered on the day; every duty stated as binding below is in an Act that is in force.</w:t>
      </w:r>
    </w:p>
    <w:p>
      <w:pPr>
        <w:pStyle w:val="Heading2"/>
        <w:spacing w:after="100" w:before="200"/>
      </w:pPr>
      <w:r>
        <w:rPr>
          <w:color w:val="2E74B5"/>
        </w:rPr>
        <w:t xml:space="preserve">1.2 Two privacy regimes apply, and the stricter one is provincial</w:t>
      </w:r>
    </w:p>
    <w:p>
      <w:pPr>
        <w:spacing w:after="120"/>
      </w:pPr>
      <w:r>
        <w:t xml:space="preserve">Federally, the Personal Information Protection and Electronic Documents Act governs personal information collected, used or disclosed in the course of commercial activities, and employee information only within federal works, undertakings and businesses. In Quebec, the Act respecting the protection of personal information in the private sector, as rewritten by Law 25 between 2022 and 2024, governs every enterprise carrying on business there, employees included, with a privacy impact assessment duty for new systems, a mandatory officer, an express-consent rule for sensitive information, a transfer assessment before information leaves Quebec, and administrative penalties up to the greater of ten million dollars or two per cent of worldwide turnover. Clause 3 routes each obligation; where the two differ, this policy applies the stricter rule everywhere, as a house standard, so that one policy can be followed by one workforce.</w:t>
      </w:r>
    </w:p>
    <w:p>
      <w:pPr>
        <w:pStyle w:val="Heading2"/>
        <w:spacing w:after="100" w:before="200"/>
      </w:pPr>
      <w:r>
        <w:rPr>
          <w:color w:val="2E74B5"/>
        </w:rPr>
        <w:t xml:space="preserve">1.3 The only enacted automated-decision duty in Canada is Quebec's</w:t>
      </w:r>
    </w:p>
    <w:p>
      <w:pPr>
        <w:spacing w:after="120"/>
      </w:pPr>
      <w:r>
        <w:t xml:space="preserve">Since 22 September 2023, an enterprise that uses personal information to render a decision </w:t>
      </w:r>
      <w:r>
        <w:rPr>
          <w:b/>
          <w:bCs/>
        </w:rPr>
        <w:t xml:space="preserve">based exclusively on automated processing</w:t>
      </w:r>
      <w:r>
        <w:t xml:space="preserve"> must tell the person so, no later than when it tells them the decision; must on request tell them the personal information used, the reasons and the principal factors and parameters, and their right to have that information corrected; and must give them the opportunity to make observations to a member of staff able to review the decision. Failing to inform or to give that opportunity is an administrative penalty ground. The duty turns on the word "exclusively": a decision a person meaningfully makes with AI support is outside it. Clause 12 makes that a recorded determination for every system, and clause 13 applies the same rights to substantially automated decisions as a house standard, because the line between the two is exactly where a regulator will look.</w:t>
      </w:r>
    </w:p>
    <w:p>
      <w:pPr>
        <w:pStyle w:val="Heading2"/>
        <w:spacing w:after="100" w:before="200"/>
      </w:pPr>
      <w:r>
        <w:rPr>
          <w:color w:val="2E74B5"/>
        </w:rPr>
        <w:t xml:space="preserve">1.4 Inferring is collecting, and public does not mean free</w:t>
      </w:r>
    </w:p>
    <w:p>
      <w:pPr>
        <w:spacing w:after="120"/>
      </w:pPr>
      <w:r>
        <w:t xml:space="preserve">Canada's privacy commissioners have stated that an inference about an identifiable individual, including a generative AI output about a person, is a collection of personal information and needs legal authority; and that personal information accessible online remains subject to Canadian law even where it is described as publicly available. The federal Act permits collection of publicly available information without consent only where regulations specify it. Clause 7 rests on both.</w:t>
      </w:r>
    </w:p>
    <w:p>
      <w:pPr>
        <w:pStyle w:val="Heading1"/>
        <w:spacing w:after="120" w:before="280"/>
      </w:pPr>
      <w:r>
        <w:rPr>
          <w:color w:val="2E74B5"/>
        </w:rPr>
        <w:t xml:space="preserve">2. Scope</w:t>
      </w:r>
    </w:p>
    <w:p>
      <w:pPr>
        <w:spacing w:after="120"/>
      </w:pPr>
      <w:r>
        <w:t xml:space="preserve">This policy applies to all employees, contractors, temporary staff, and third parties who use [ORGANISATION] systems, data, or accounts. It covers all AI tools, including public and generative AI services, AI features embedded in other software, coding assistants, meeting and note-taking assistants, media generators, AI agents, and internal AI systems. It applies on company devices and accounts, and on personal devices or accounts whenever used for [ORGANISATION] work or data.</w:t>
      </w:r>
    </w:p>
    <w:p>
      <w:pPr>
        <w:spacing w:after="120"/>
      </w:pPr>
      <w:r>
        <w:t xml:space="preserve">Compliance is mandatory. Breaches may result in disciplinary action up to and including termination.</w:t>
      </w:r>
    </w:p>
    <w:p>
      <w:pPr>
        <w:pStyle w:val="Heading2"/>
        <w:spacing w:after="100" w:before="200"/>
      </w:pPr>
      <w:r>
        <w:rPr>
          <w:color w:val="2E74B5"/>
        </w:rPr>
        <w:t xml:space="preserve">2.1 Which law reaches [ORGANISATION]</w:t>
      </w:r>
    </w:p>
    <w:p>
      <w:pPr>
        <w:spacing w:after="120"/>
      </w:pPr>
      <w:r>
        <w:t xml:space="preserve">2.1.1 </w:t>
      </w:r>
      <w:r>
        <w:rPr>
          <w:b/>
          <w:bCs/>
        </w:rPr>
        <w:t xml:space="preserve">The federal Act</w:t>
      </w:r>
      <w:r>
        <w:t xml:space="preserve"> applies to personal information [ORGANISATION] collects, uses or discloses in the course of commercial activities, and to employee and applicant information where [ORGANISATION] is a federal work, undertaking or business. [ORGANISATION] is [a federally regulated / not a federally regulated] employer, and the data protection lead has recorded the determination.</w:t>
      </w:r>
    </w:p>
    <w:p>
      <w:pPr>
        <w:spacing w:after="120"/>
      </w:pPr>
      <w:r>
        <w:t xml:space="preserve">2.1.2 </w:t>
      </w:r>
      <w:r>
        <w:rPr>
          <w:b/>
          <w:bCs/>
        </w:rPr>
        <w:t xml:space="preserve">The Quebec Act</w:t>
      </w:r>
      <w:r>
        <w:t xml:space="preserve"> applies to [ORGANISATION] as an enterprise carrying on business in Quebec, in respect of personal information it collects, holds, uses or communicates, including about employees and applicants.</w:t>
      </w:r>
    </w:p>
    <w:p>
      <w:pPr>
        <w:spacing w:after="120"/>
      </w:pPr>
      <w:r>
        <w:t xml:space="preserve">2.1.3 </w:t>
      </w:r>
      <w:r>
        <w:rPr>
          <w:b/>
          <w:bCs/>
        </w:rPr>
        <w:t xml:space="preserve">Where a provincial private-sector Act has been declared substantially similar</w:t>
      </w:r>
      <w:r>
        <w:t xml:space="preserve"> to the federal Act, that Act applies within the province in place of the federal Act for intra-provincial activity. Alberta's and British Columbia's Acts are not held and are not stated in this policy (clause 22).</w:t>
      </w:r>
    </w:p>
    <w:p>
      <w:pPr>
        <w:spacing w:after="120"/>
      </w:pPr>
      <w:r>
        <w:t xml:space="preserve">2.1.4 </w:t>
      </w:r>
      <w:r>
        <w:rPr>
          <w:b/>
          <w:bCs/>
        </w:rPr>
        <w:t xml:space="preserve">Employees outside Quebec.</w:t>
      </w:r>
      <w:r>
        <w:t xml:space="preserve"> Where [ORGANISATION] is not a federal work, the federal Act does not reach its employee information outside Quebec. </w:t>
      </w:r>
      <w:r>
        <w:rPr>
          <w:b/>
          <w:bCs/>
        </w:rPr>
        <w:t xml:space="preserve">This policy applies to all employee and applicant information anyway, as a house standard</w:t>
      </w:r>
      <w:r>
        <w:t xml:space="preserve">, because the Quebec Act reaches it for Quebec staff, because the commissioners' principles treat employment as a high-impact context for AI, and because one rule for one workforce is the only rule that will be followed.</w:t>
      </w:r>
    </w:p>
    <w:p>
      <w:pPr>
        <w:spacing w:after="120"/>
      </w:pPr>
      <w:r>
        <w:t xml:space="preserve">2.1.5 Health-sector privacy laws, provincial consumer protection and human rights laws, and the federal government's own directives on automated decision-making (which bind federal institutions, not [ORGANISATION]) are named at clause 22 and not stated.</w:t>
      </w:r>
    </w:p>
    <w:p>
      <w:pPr>
        <w:pStyle w:val="Heading1"/>
        <w:spacing w:after="120" w:before="280"/>
      </w:pPr>
      <w:r>
        <w:rPr>
          <w:color w:val="2E74B5"/>
        </w:rPr>
        <w:t xml:space="preserve">3. Which law reaches which use</w:t>
      </w:r>
    </w:p>
    <w:p>
      <w:pPr>
        <w:spacing w:after="120"/>
      </w:pPr>
      <w:r>
        <w:t xml:space="preserve">3.1 </w:t>
      </w:r>
      <w:r>
        <w:rPr>
          <w:b/>
          <w:bCs/>
        </w:rPr>
        <w:t xml:space="preserve">Appropriate purposes reach everything.</w:t>
      </w:r>
      <w:r>
        <w:t xml:space="preserve"> Under the federal Act, personal information may be collected, used or disclosed only for purposes a reasonable person would consider appropriate in the circumstances, whatever consent has been obtained. Under the Quebec Act, collection requires a serious and legitimate reason and purposes determined before collection. Every AI use of personal information is tested against both before consent is even considered.</w:t>
      </w:r>
    </w:p>
    <w:p>
      <w:pPr>
        <w:spacing w:after="120"/>
      </w:pPr>
      <w:r>
        <w:t xml:space="preserve">3.2 </w:t>
      </w:r>
      <w:r>
        <w:rPr>
          <w:b/>
          <w:bCs/>
        </w:rPr>
        <w:t xml:space="preserve">Consent.</w:t>
      </w:r>
      <w:r>
        <w:t xml:space="preserve"> Federally, knowledge and consent are required for collection, use and disclosure except where an exception applies, and consent is valid only where a person to whom the activity is directed would understand the nature, purpose and consequences of what they are consenting to. In Quebec, consent must be clear, free and informed, and </w:t>
      </w:r>
      <w:r>
        <w:rPr>
          <w:b/>
          <w:bCs/>
        </w:rPr>
        <w:t xml:space="preserve">express</w:t>
      </w:r>
      <w:r>
        <w:t xml:space="preserve"> where sensitive information is concerned. This policy applies the Quebec standard everywhere.</w:t>
      </w:r>
    </w:p>
    <w:p>
      <w:pPr>
        <w:spacing w:after="120"/>
      </w:pPr>
      <w:r>
        <w:t xml:space="preserve">3.3 </w:t>
      </w:r>
      <w:r>
        <w:rPr>
          <w:b/>
          <w:bCs/>
        </w:rPr>
        <w:t xml:space="preserve">Secondary use.</w:t>
      </w:r>
      <w:r>
        <w:t xml:space="preserve"> Federally, information may not be used or disclosed for a purpose other than the one it was collected for except with consent or as required by law, and a new purpose must be documented. In Quebec, use for another purpose without consent is confined to a closed list: a purpose consistent with the original one (direct and relevant connection; commercial prospection never qualifies), clear benefit to the person, fraud prevention and security, delivering what the person requested, and de-identified study, research or statistics. This policy applies the Quebec list everywhere (clause 7.1).</w:t>
      </w:r>
    </w:p>
    <w:p>
      <w:pPr>
        <w:spacing w:after="120"/>
      </w:pPr>
      <w:r>
        <w:t xml:space="preserve">3.4 </w:t>
      </w:r>
      <w:r>
        <w:rPr>
          <w:b/>
          <w:bCs/>
        </w:rPr>
        <w:t xml:space="preserve">Privacy impact assessments.</w:t>
      </w:r>
      <w:r>
        <w:t xml:space="preserve"> The Quebec Act requires one for any project to acquire, develop or overhaul an information system involving personal information, with the person in charge consulted from the outset, and one before personal information is communicated outside Quebec. The federal Act does not require one; the commissioners' principles expect one. This policy requires one for every AI system involving personal information (clause 7 and clause 9).</w:t>
      </w:r>
    </w:p>
    <w:p>
      <w:pPr>
        <w:spacing w:after="120"/>
      </w:pPr>
      <w:r>
        <w:t xml:space="preserve">3.5 </w:t>
      </w:r>
      <w:r>
        <w:rPr>
          <w:b/>
          <w:bCs/>
        </w:rPr>
        <w:t xml:space="preserve">Automated decisions.</w:t>
      </w:r>
      <w:r>
        <w:t xml:space="preserve"> Quebec's duty at clause 1.3 applies in Quebec. Nothing equivalent is in force federally. This policy applies the Quebec rights everywhere, and to substantially automated decisions as well as exclusively automated ones, as a house standard (clause 13).</w:t>
      </w:r>
    </w:p>
    <w:p>
      <w:pPr>
        <w:spacing w:after="120"/>
      </w:pPr>
      <w:r>
        <w:t xml:space="preserve">3.6 </w:t>
      </w:r>
      <w:r>
        <w:rPr>
          <w:b/>
          <w:bCs/>
        </w:rPr>
        <w:t xml:space="preserve">Breaches.</w:t>
      </w:r>
      <w:r>
        <w:t xml:space="preserve"> Federally, a breach of security safeguards that creates a real risk of significant harm must be reported to the Privacy Commissioner and notified to the individual as soon as feasible, and every breach must be recorded. In Quebec, a confidentiality incident presenting a risk of serious injury must be notified promptly to the Commission d'accès à l'information and to the persons concerned, and every incident registered. Clause 20.5 operates both.</w:t>
      </w:r>
    </w:p>
    <w:p>
      <w:pPr>
        <w:pStyle w:val="Heading1"/>
        <w:spacing w:after="120" w:before="280"/>
      </w:pPr>
      <w:r>
        <w:rPr>
          <w:color w:val="2E74B5"/>
        </w:rPr>
        <w:t xml:space="preserve">4. What binds today, and what would change</w:t>
      </w:r>
    </w:p>
    <w:p>
      <w:pPr>
        <w:spacing w:after="120"/>
      </w:pPr>
      <w:r>
        <w:t xml:space="preserve">4.1 </w:t>
      </w:r>
      <w:r>
        <w:rPr>
          <w:b/>
          <w:bCs/>
        </w:rPr>
        <w:t xml:space="preserve">In force now.</w:t>
      </w:r>
      <w:r>
        <w:t xml:space="preserve"> The federal Act's ten principles and its appropriate-purposes, valid-consent, access and breach provisions. The Quebec Act as amended: the person in charge and the incident regime since 22 September 2022; the privacy impact assessment, express consent, secondary-use list, automated-decision duty, profiling notice, transfer assessment and penalty provisions since 22 September 2023; the right to receive computerised personal information in a structured format since 22 September 2024.</w:t>
      </w:r>
    </w:p>
    <w:p>
      <w:pPr>
        <w:spacing w:after="120"/>
      </w:pPr>
      <w:r>
        <w:t xml:space="preserve">4.2 </w:t>
      </w:r>
      <w:r>
        <w:rPr>
          <w:b/>
          <w:bCs/>
        </w:rPr>
        <w:t xml:space="preserve">Pending, not relied on.</w:t>
      </w:r>
      <w:r>
        <w:t xml:space="preserve"> Bill C-36 would repeal Part 1 of the federal Act and replace it. As introduced it defines an automated decision system as any technology that assists or replaces the judgment of human decision-makers; requires an organisation's public policies to give a general account of its use of such systems to make predictions, recommendations or decisions that could have a legal or similarly significant effect; gives individuals a right on request to an explanation of such a prediction, recommendation or decision, stating the type and source of personal information used and the reasons or principal factors, and an opportunity to make written representations to an employee able to review it; and adds appropriate-purpose factors including necessity, less intrusive means and proportionality. </w:t>
      </w:r>
      <w:r>
        <w:rPr>
          <w:b/>
          <w:bCs/>
        </w:rPr>
        <w:t xml:space="preserve">None of that is law.</w:t>
      </w:r>
      <w:r>
        <w:t xml:space="preserve"> Clause 13 already meets it as a house standard; if the bill is enacted, the annex records what changes from house standard to duty.</w:t>
      </w:r>
    </w:p>
    <w:p>
      <w:pPr>
        <w:spacing w:after="120"/>
      </w:pPr>
      <w:r>
        <w:t xml:space="preserve">4.3 </w:t>
      </w:r>
      <w:r>
        <w:rPr>
          <w:b/>
          <w:bCs/>
        </w:rPr>
        <w:t xml:space="preserve">Guidance, not law.</w:t>
      </w:r>
      <w:r>
        <w:t xml:space="preserve"> The federal, provincial and territorial commissioners' Principles for responsible, trustworthy and privacy-protective generative AI technologies (December 2023) state the regulators' reading of existing law. The document itself says that many of its "shoulds" are requirements of applicable privacy law. This policy follows them as the operating interpretation and says where it does.</w:t>
      </w:r>
    </w:p>
    <w:p>
      <w:pPr>
        <w:pStyle w:val="Heading1"/>
        <w:spacing w:after="120" w:before="280"/>
      </w:pPr>
      <w:r>
        <w:rPr>
          <w:color w:val="2E74B5"/>
        </w:rPr>
        <w:t xml:space="preserve">5. Levels of use</w:t>
      </w:r>
    </w:p>
    <w:p>
      <w:pPr>
        <w:spacing w:after="120"/>
      </w:pPr>
      <w:r>
        <w:t xml:space="preserve">Every use of an AI tool is classified at one of four levels before it begins. The approved tools list states the highest level each tool may be used at. This classification is [ORGANISATION]'s own and is not a legal category.</w:t>
      </w:r>
    </w:p>
    <w:p>
      <w:pPr>
        <w:spacing w:after="120"/>
      </w:pPr>
      <w:r>
        <w:rPr>
          <w:b/>
          <w:bCs/>
        </w:rPr>
        <w:t xml:space="preserve">Level 1 - General assistance.</w:t>
      </w:r>
      <w:r>
        <w:t xml:space="preserve"> Drafting, summarising, translating, brainstorming, coding with no [ORGANISATION] data beyond the prompt. No personal information, no confidential information.</w:t>
      </w:r>
    </w:p>
    <w:p>
      <w:pPr>
        <w:spacing w:after="120"/>
      </w:pPr>
      <w:r>
        <w:rPr>
          <w:b/>
          <w:bCs/>
        </w:rPr>
        <w:t xml:space="preserve">Level 2 - Internal information.</w:t>
      </w:r>
      <w:r>
        <w:t xml:space="preserve"> Use with [ORGANISATION] internal documents, non-public business information, or personal information about staff or customers that is not sensitive. Permitted only with tools approved for Level 2, whose terms prevent the supplier using inputs and outputs for its own purposes.</w:t>
      </w:r>
    </w:p>
    <w:p>
      <w:pPr>
        <w:spacing w:after="120"/>
      </w:pPr>
      <w:r>
        <w:rPr>
          <w:b/>
          <w:bCs/>
        </w:rPr>
        <w:t xml:space="preserve">Level 3 - Sensitive information or high privacy risk.</w:t>
      </w:r>
      <w:r>
        <w:t xml:space="preserve"> Any use involving sensitive personal information (medical, biometric or otherwise intimate by nature, or sensitive by the context of its use); any use that generates or infers personal information; any profiling; any customer-facing AI; any use in relation to minors. Requires a privacy impact assessment, a named accountable person, and approval by the person in charge of the protection of personal information.</w:t>
      </w:r>
    </w:p>
    <w:p>
      <w:pPr>
        <w:spacing w:after="120"/>
      </w:pPr>
      <w:r>
        <w:rPr>
          <w:b/>
          <w:bCs/>
        </w:rPr>
        <w:t xml:space="preserve">Level 4 - Decisions about people.</w:t>
      </w:r>
      <w:r>
        <w:t xml:space="preserve"> Any use where the AI system renders, or substantially contributes to, a decision about an individual that could have a legal or similarly significant effect: eligibility, pricing, credit, employment, access to a service, enforcement of a contract. Everything at Level 3, plus the clause 12 determination, the clause 13 rights, the human oversight at clause 14, and approval by the AI Governance Committee.</w:t>
      </w:r>
    </w:p>
    <w:p>
      <w:pPr>
        <w:pStyle w:val="Heading1"/>
        <w:spacing w:after="120" w:before="280"/>
      </w:pPr>
      <w:r>
        <w:rPr>
          <w:color w:val="2E74B5"/>
        </w:rPr>
        <w:t xml:space="preserve">6. Permitted and prohibited use</w:t>
      </w:r>
    </w:p>
    <w:p>
      <w:pPr>
        <w:spacing w:after="120"/>
      </w:pPr>
      <w:r>
        <w:t xml:space="preserve">6.1 </w:t>
      </w:r>
      <w:r>
        <w:rPr>
          <w:b/>
          <w:bCs/>
        </w:rPr>
        <w:t xml:space="preserve">Permitted</w:t>
      </w:r>
      <w:r>
        <w:t xml:space="preserve">, within the tool's approved level: drafting and editing; summarising documents the user is entitled to read; research and analysis of non-personal data; code generation and review subject to clause 10; transcription and minutes subject to clause 7.6; customer service and content subject to clause 15; internal analytics subject to clause 7.</w:t>
      </w:r>
    </w:p>
    <w:p>
      <w:pPr>
        <w:spacing w:after="120"/>
      </w:pPr>
      <w:r>
        <w:t xml:space="preserve">6.2 </w:t>
      </w:r>
      <w:r>
        <w:rPr>
          <w:b/>
          <w:bCs/>
        </w:rPr>
        <w:t xml:space="preserve">Prohibited in all circumstances:</w:t>
      </w:r>
    </w:p>
    <w:p>
      <w:pPr>
        <w:pStyle w:val="ListParagraph"/>
        <w:numPr>
          <w:ilvl w:val="0"/>
          <w:numId w:val="2"/>
        </w:numPr>
        <w:spacing w:after="80"/>
      </w:pPr>
      <w:r>
        <w:t xml:space="preserve">entering personal information, sensitive information, confidential information,</w:t>
      </w:r>
    </w:p>
    <w:p>
      <w:pPr>
        <w:spacing w:after="80"/>
        <w:ind w:left="720"/>
      </w:pPr>
      <w:r>
        <w:t xml:space="preserve">credentials, source code or customer data into a tool not approved for that level;</w:t>
      </w:r>
    </w:p>
    <w:p>
      <w:pPr>
        <w:pStyle w:val="ListParagraph"/>
        <w:numPr>
          <w:ilvl w:val="0"/>
          <w:numId w:val="2"/>
        </w:numPr>
        <w:spacing w:after="80"/>
      </w:pPr>
      <w:r>
        <w:t xml:space="preserve">prompting an AI tool to re-identify de-identified or anonymised information;</w:t>
      </w:r>
    </w:p>
    <w:p>
      <w:pPr>
        <w:pStyle w:val="ListParagraph"/>
        <w:numPr>
          <w:ilvl w:val="0"/>
          <w:numId w:val="2"/>
        </w:numPr>
        <w:spacing w:after="80"/>
      </w:pPr>
      <w:r>
        <w:t xml:space="preserve">profiling or categorising people in a way that may lead to unfair, unethical or</w:t>
      </w:r>
    </w:p>
    <w:p>
      <w:pPr>
        <w:spacing w:after="80"/>
        <w:ind w:left="720"/>
      </w:pPr>
      <w:r>
        <w:t xml:space="preserve">discriminatory treatment, or collecting, using or disclosing personal information</w:t>
      </w:r>
    </w:p>
    <w:p>
      <w:pPr>
        <w:spacing w:after="80"/>
        <w:ind w:left="720"/>
      </w:pPr>
      <w:r>
        <w:t xml:space="preserve">for purposes known or likely to cause significant harm - the "no-go zones" the</w:t>
      </w:r>
    </w:p>
    <w:p>
      <w:pPr>
        <w:spacing w:after="80"/>
        <w:ind w:left="720"/>
      </w:pPr>
      <w:r>
        <w:t xml:space="preserve">commissioners have named;</w:t>
      </w:r>
    </w:p>
    <w:p>
      <w:pPr>
        <w:pStyle w:val="ListParagraph"/>
        <w:numPr>
          <w:ilvl w:val="0"/>
          <w:numId w:val="2"/>
        </w:numPr>
        <w:spacing w:after="80"/>
      </w:pPr>
      <w:r>
        <w:t xml:space="preserve">using AI to create deepfakes or intimate images of an identifiable person, to bypass</w:t>
      </w:r>
    </w:p>
    <w:p>
      <w:pPr>
        <w:spacing w:after="80"/>
        <w:ind w:left="720"/>
      </w:pPr>
      <w:r>
        <w:t xml:space="preserve">an authentication system, or to generate and publish false or defamatory</w:t>
      </w:r>
    </w:p>
    <w:p>
      <w:pPr>
        <w:spacing w:after="80"/>
        <w:ind w:left="720"/>
      </w:pPr>
      <w:r>
        <w:t xml:space="preserve">information about a person;</w:t>
      </w:r>
    </w:p>
    <w:p>
      <w:pPr>
        <w:pStyle w:val="ListParagraph"/>
        <w:numPr>
          <w:ilvl w:val="0"/>
          <w:numId w:val="2"/>
        </w:numPr>
        <w:spacing w:after="80"/>
      </w:pPr>
      <w:r>
        <w:t xml:space="preserve">using a conversational bot to nudge people into divulging personal information they</w:t>
      </w:r>
    </w:p>
    <w:p>
      <w:pPr>
        <w:spacing w:after="80"/>
        <w:ind w:left="720"/>
      </w:pPr>
      <w:r>
        <w:t xml:space="preserve">would not otherwise give;</w:t>
      </w:r>
    </w:p>
    <w:p>
      <w:pPr>
        <w:pStyle w:val="ListParagraph"/>
        <w:numPr>
          <w:ilvl w:val="0"/>
          <w:numId w:val="2"/>
        </w:numPr>
        <w:spacing w:after="80"/>
      </w:pPr>
      <w:r>
        <w:t xml:space="preserve">rendering a Level 4 decision exclusively by automated processing (clause 14);</w:t>
      </w:r>
    </w:p>
    <w:p>
      <w:pPr>
        <w:pStyle w:val="ListParagraph"/>
        <w:numPr>
          <w:ilvl w:val="0"/>
          <w:numId w:val="2"/>
        </w:numPr>
        <w:spacing w:after="80"/>
      </w:pPr>
      <w:r>
        <w:t xml:space="preserve">scraping or acquiring personal information from the internet or third parties</w:t>
      </w:r>
    </w:p>
    <w:p>
      <w:pPr>
        <w:spacing w:after="80"/>
        <w:ind w:left="720"/>
      </w:pPr>
      <w:r>
        <w:t xml:space="preserve">without the approval clause 7.5 requires;</w:t>
      </w:r>
    </w:p>
    <w:p>
      <w:pPr>
        <w:pStyle w:val="ListParagraph"/>
        <w:numPr>
          <w:ilvl w:val="0"/>
          <w:numId w:val="2"/>
        </w:numPr>
        <w:spacing w:after="80"/>
      </w:pPr>
      <w:r>
        <w:t xml:space="preserve">representing AI output as verified fact where clause 11 requires verification;</w:t>
      </w:r>
    </w:p>
    <w:p>
      <w:pPr>
        <w:pStyle w:val="ListParagraph"/>
        <w:numPr>
          <w:ilvl w:val="0"/>
          <w:numId w:val="2"/>
        </w:numPr>
        <w:spacing w:after="80"/>
      </w:pPr>
      <w:r>
        <w:t xml:space="preserve">disabling, circumventing or ignoring a control on an approved tool.</w:t>
      </w:r>
    </w:p>
    <w:p>
      <w:pPr>
        <w:spacing w:after="120"/>
      </w:pPr>
      <w:r>
        <w:t xml:space="preserve">6.3 </w:t>
      </w:r>
      <w:r>
        <w:rPr>
          <w:b/>
          <w:bCs/>
        </w:rPr>
        <w:t xml:space="preserve">Prohibited without written approval from the person in charge:</w:t>
      </w:r>
      <w:r>
        <w:t xml:space="preserve"> any use at Level 3 or Level 4; any fine-tuning or training on [ORGANISATION] data (clause 16); any use of an AI agent that can take actions in other systems (clause 10.6); any AI use directed at minors (clause 19); any AI tool that identifies, locates or profiles people (clause 8.4).</w:t>
      </w:r>
    </w:p>
    <w:p>
      <w:pPr>
        <w:pStyle w:val="Heading1"/>
        <w:spacing w:after="120" w:before="280"/>
      </w:pPr>
      <w:r>
        <w:rPr>
          <w:color w:val="2E74B5"/>
        </w:rPr>
        <w:t xml:space="preserve">7. Personal information in AI tools</w:t>
      </w:r>
    </w:p>
    <w:p>
      <w:pPr>
        <w:pStyle w:val="Heading2"/>
        <w:spacing w:after="100" w:before="200"/>
      </w:pPr>
      <w:r>
        <w:rPr>
          <w:color w:val="2E74B5"/>
        </w:rPr>
        <w:t xml:space="preserve">7.1 Entering personal information is a use or a communication</w:t>
      </w:r>
    </w:p>
    <w:p>
      <w:pPr>
        <w:spacing w:after="120"/>
      </w:pPr>
      <w:r>
        <w:t xml:space="preserve">7.1.1 Personal information entered into an AI tool is used, and where it becomes accessible to the supplier or anyone outside [ORGANISATION]'s control, it is disclosed (federally) or communicated to a third person (in Quebec). Both require consent or a recognised exception, and both must be for a purpose the information was collected for or one the law permits.</w:t>
      </w:r>
    </w:p>
    <w:p>
      <w:pPr>
        <w:spacing w:after="120"/>
      </w:pPr>
      <w:r>
        <w:t xml:space="preserve">7.1.2 Using AI as the means of carrying out the purpose the information was collected for is within that purpose. Using the information for an AI purpose of its own (training, profiling, enrichment) is a new purpose: it is documented, and it proceeds only with consent or within the Quebec consistent-purpose list at clause 3.3. Commercial prospection is never a consistent purpose.</w:t>
      </w:r>
    </w:p>
    <w:p>
      <w:pPr>
        <w:spacing w:after="120"/>
      </w:pPr>
      <w:r>
        <w:t xml:space="preserve">7.1.3 The minimum personal information sufficient for the purpose is entered. Anonymised, synthetic or de-identified information is used in prompts instead of personal information wherever the purpose allows. Prompts containing personal information are not retained, used for secondary purposes or disclosed unless required, and the retention period is on the approved tools list.</w:t>
      </w:r>
    </w:p>
    <w:p>
      <w:pPr>
        <w:spacing w:after="120"/>
      </w:pPr>
      <w:r>
        <w:t xml:space="preserve">7.1.4 A person's consent to a product or service is not conditioned on consent to AI processing beyond what the explicitly specified and legitimate purposes require.</w:t>
      </w:r>
    </w:p>
    <w:p>
      <w:pPr>
        <w:pStyle w:val="Heading2"/>
        <w:spacing w:after="100" w:before="200"/>
      </w:pPr>
      <w:r>
        <w:rPr>
          <w:color w:val="2E74B5"/>
        </w:rPr>
        <w:t xml:space="preserve">7.2 Generating or inferring personal information is a collection</w:t>
      </w:r>
    </w:p>
    <w:p>
      <w:pPr>
        <w:spacing w:after="120"/>
      </w:pPr>
      <w:r>
        <w:t xml:space="preserve">7.2.1 An inference or output about an identifiable individual is personal information, and producing it is a collection that requires legal authority: an appropriate purpose, a serious and legitimate reason, and consent or a recognised exception. Inferences are made only for specified and disclosed purposes, and only where their accuracy can be reasonably assessed and validated.</w:t>
      </w:r>
    </w:p>
    <w:p>
      <w:pPr>
        <w:spacing w:after="120"/>
      </w:pPr>
      <w:r>
        <w:t xml:space="preserve">7.2.2 Generated or inferred personal information that [ORGANISATION] had no authority to collect is destroyed or anonymised as soon as practicable.</w:t>
      </w:r>
    </w:p>
    <w:p>
      <w:pPr>
        <w:spacing w:after="120"/>
      </w:pPr>
      <w:r>
        <w:t xml:space="preserve">7.2.3 Information about a person that is false is still information about that person. A hallucinated or fabricated statement about an identifiable individual is handled as personal information: subject to the accuracy duty, to access and correction, and to the prohibition on generating and publishing false information.</w:t>
      </w:r>
    </w:p>
    <w:p>
      <w:pPr>
        <w:pStyle w:val="Heading2"/>
        <w:spacing w:after="100" w:before="200"/>
      </w:pPr>
      <w:r>
        <w:rPr>
          <w:color w:val="2E74B5"/>
        </w:rPr>
        <w:t xml:space="preserve">7.3 Sensitive information</w:t>
      </w:r>
    </w:p>
    <w:p>
      <w:pPr>
        <w:spacing w:after="120"/>
      </w:pPr>
      <w:r>
        <w:t xml:space="preserve">7.3.1 Sensitive personal information is information that, by its nature (medical, biometric or otherwise intimate) or by the context of its use or communication, entails a high reasonable expectation of privacy. Federally, sensitivity determines the form of consent, and express consent is generally required; in Quebec, express consent is required. This policy requires express consent everywhere.</w:t>
      </w:r>
    </w:p>
    <w:p>
      <w:pPr>
        <w:spacing w:after="120"/>
      </w:pPr>
      <w:r>
        <w:t xml:space="preserve">7.3.2 Using AI to generate, infer or classify sensitive information about a person is a Level 3 use and requires express consent from that person first. In contexts where consent may be inadequate, such as health, a separate review that considers privacy and ethics, with independent oversight, precedes the use.</w:t>
      </w:r>
    </w:p>
    <w:p>
      <w:pPr>
        <w:pStyle w:val="Heading2"/>
        <w:spacing w:after="100" w:before="200"/>
      </w:pPr>
      <w:r>
        <w:rPr>
          <w:color w:val="2E74B5"/>
        </w:rPr>
        <w:t xml:space="preserve">7.4 Employee and applicant information</w:t>
      </w:r>
    </w:p>
    <w:p>
      <w:pPr>
        <w:spacing w:after="120"/>
      </w:pPr>
      <w:r>
        <w:t xml:space="preserve">AI use in recruitment, performance, monitoring and workforce decisions is a Level 3 use at least, and Level 4 where it bears on hiring, promotion, discipline or termination. Employment is a context the commissioners have named as one where AI discrimination is most likely, and clause 20.6 tests for it.</w:t>
      </w:r>
    </w:p>
    <w:p>
      <w:pPr>
        <w:pStyle w:val="Heading2"/>
        <w:spacing w:after="100" w:before="200"/>
      </w:pPr>
      <w:r>
        <w:rPr>
          <w:color w:val="2E74B5"/>
        </w:rPr>
        <w:t xml:space="preserve">7.5 Scraping and third-party datasets</w:t>
      </w:r>
    </w:p>
    <w:p>
      <w:pPr>
        <w:spacing w:after="120"/>
      </w:pPr>
      <w:r>
        <w:t xml:space="preserve">7.5.1 Personal information accessible online remains subject to Canadian privacy law. The federal exception for publicly available information is confined to what the regulations specify. Collecting personal information by scraping, or by acquiring a third-party dataset, is a collection by [ORGANISATION], must have legal authority, and proceeds only with a privacy impact assessment and written approval by the person in charge.</w:t>
      </w:r>
    </w:p>
    <w:p>
      <w:pPr>
        <w:spacing w:after="120"/>
      </w:pPr>
      <w:r>
        <w:t xml:space="preserve">7.5.2 Where personal information is sourced from a third party, [ORGANISATION] establishes that the third party collected it lawfully and has authority to disclose it, and records the basis.</w:t>
      </w:r>
    </w:p>
    <w:p>
      <w:pPr>
        <w:pStyle w:val="Heading2"/>
        <w:spacing w:after="100" w:before="200"/>
      </w:pPr>
      <w:r>
        <w:rPr>
          <w:color w:val="2E74B5"/>
        </w:rPr>
        <w:t xml:space="preserve">7.6 Meeting recording and transcription</w:t>
      </w:r>
    </w:p>
    <w:p>
      <w:pPr>
        <w:spacing w:after="120"/>
      </w:pPr>
      <w:r>
        <w:t xml:space="preserve">AI transcription collects whatever is said. It is used only with a tool approved for Level 2 or above, only where participants are told at the outset that an AI tool is recording and transcribing and can object, and only where the consequence of objecting is not serious. Sensitive information captured that the meeting did not require is deleted from the transcript.</w:t>
      </w:r>
    </w:p>
    <w:p>
      <w:pPr>
        <w:pStyle w:val="Heading1"/>
        <w:spacing w:after="120" w:before="280"/>
      </w:pPr>
      <w:r>
        <w:rPr>
          <w:color w:val="2E74B5"/>
        </w:rPr>
        <w:t xml:space="preserve">8. Openness, notice and the privacy policy</w:t>
      </w:r>
    </w:p>
    <w:p>
      <w:pPr>
        <w:spacing w:after="120"/>
      </w:pPr>
      <w:r>
        <w:t xml:space="preserve">8.1 [ORGANISATION] makes readily available, in clear and simple language, its policies and practices for personal information in AI tools: the types of personal information involved and a general account of their use; the identity and contact details of the person accountable; how to gain access; what is made available to related organisations; and whether personal information is communicated outside Quebec or outside Canada.</w:t>
      </w:r>
    </w:p>
    <w:p>
      <w:pPr>
        <w:spacing w:after="120"/>
      </w:pPr>
      <w:r>
        <w:t xml:space="preserve">8.2 Individuals are told what, how, when and why personal information is collected, used or disclosed at each stage of an AI system's lifecycle for which [ORGANISATION] is responsible, including where personal information collected from prompts is used to train or refine a model, and what personal information was used to refine a model for [ORGANISATION]'s use.</w:t>
      </w:r>
    </w:p>
    <w:p>
      <w:pPr>
        <w:spacing w:after="120"/>
      </w:pPr>
      <w:r>
        <w:t xml:space="preserve">8.3 Where an AI tool will be used as part of a decision-making process, affected people are told so, in what capacity, with what safeguards, and what recourse is available, with a general description of how the system works and an overview of potential outcomes.</w:t>
      </w:r>
    </w:p>
    <w:p>
      <w:pPr>
        <w:spacing w:after="120"/>
      </w:pPr>
      <w:r>
        <w:t xml:space="preserve">8.4 </w:t>
      </w:r>
      <w:r>
        <w:rPr>
          <w:b/>
          <w:bCs/>
        </w:rPr>
        <w:t xml:space="preserve">Identification, location and profiling.</w:t>
      </w:r>
      <w:r>
        <w:t xml:space="preserve"> Where personal information is collected from a person using technology with functions that allow the person to be identified, located or profiled, the person is told first of the use of that technology and of the means available to activate those functions. Profiling means the collection and use of personal information to assess characteristics of a person, in particular work performance, economic situation, health, personal preferences, interests or behaviour. Such functions are off by default and activated only by the person.</w:t>
      </w:r>
    </w:p>
    <w:p>
      <w:pPr>
        <w:pStyle w:val="Heading1"/>
        <w:spacing w:after="120" w:before="280"/>
      </w:pPr>
      <w:r>
        <w:rPr>
          <w:color w:val="2E74B5"/>
        </w:rPr>
        <w:t xml:space="preserve">9. Security, retention and transfers</w:t>
      </w:r>
    </w:p>
    <w:p>
      <w:pPr>
        <w:spacing w:after="120"/>
      </w:pPr>
      <w:r>
        <w:t xml:space="preserve">9.1 Personal information in, or passing through, AI tools is protected by safeguards appropriate to its sensitivity against loss, theft, and unauthorised access, disclosure, copying, use or modification: physical, organisational and technological measures, regardless of the format in which the information is held.</w:t>
      </w:r>
    </w:p>
    <w:p>
      <w:pPr>
        <w:spacing w:after="120"/>
      </w:pPr>
      <w:r>
        <w:t xml:space="preserve">9.2 The AI-specific threats the commissioners have named are addressed for every tool: prompt injection, model inversion and other extraction of training data, and jailbreaking of privacy or security controls. Tools are tested for them before approval (clause 20.6).</w:t>
      </w:r>
    </w:p>
    <w:p>
      <w:pPr>
        <w:spacing w:after="120"/>
      </w:pPr>
      <w:r>
        <w:t xml:space="preserve">9.3 Personal information is retained only as long as necessary for the identified purposes, and then destroyed, erased or anonymised. Information used to make a decision about a person is retained long enough for the person to access it after the decision. Retention schedules cover training data, prompts and outputs.</w:t>
      </w:r>
    </w:p>
    <w:p>
      <w:pPr>
        <w:spacing w:after="120"/>
      </w:pPr>
      <w:r>
        <w:t xml:space="preserve">9.4 </w:t>
      </w:r>
      <w:r>
        <w:rPr>
          <w:b/>
          <w:bCs/>
        </w:rPr>
        <w:t xml:space="preserve">Outside Quebec, outside Canada.</w:t>
      </w:r>
      <w:r>
        <w:t xml:space="preserve"> Before personal information is communicated outside Quebec, including to an AI supplier or cloud service, a privacy impact assessment considers the sensitivity, the purposes, the protection measures including contractual ones, and the legal framework in the receiving state; the communication proceeds only if the assessment establishes adequate protection, and under a written agreement that reflects the assessment. Federally, [ORGANISATION] remains responsible for information transferred to a third party for processing and uses contractual or other means to provide a comparable level of protection. This policy applies the Quebec assessment to every cross-border AI supplier.</w:t>
      </w:r>
    </w:p>
    <w:p>
      <w:pPr>
        <w:pStyle w:val="Heading1"/>
        <w:spacing w:after="120" w:before="280"/>
      </w:pPr>
      <w:r>
        <w:rPr>
          <w:color w:val="2E74B5"/>
        </w:rPr>
        <w:t xml:space="preserve">10. Verification of output, code and agents</w:t>
      </w:r>
    </w:p>
    <w:p>
      <w:pPr>
        <w:spacing w:after="120"/>
      </w:pPr>
      <w:r>
        <w:t xml:space="preserve">10.1 AI output is a draft. It is verified by a person with the competence to do so before it is relied on, sent outside [ORGANISATION], or recorded as fact. The degree of verification matches the consequence of error.</w:t>
      </w:r>
    </w:p>
    <w:p>
      <w:pPr>
        <w:spacing w:after="120"/>
      </w:pPr>
      <w:r>
        <w:t xml:space="preserve">10.2 Legal, regulatory, financial, medical and safety content is verified against a primary source. AI-cited authorities are checked to exist and to say what is claimed.</w:t>
      </w:r>
    </w:p>
    <w:p>
      <w:pPr>
        <w:spacing w:after="120"/>
      </w:pPr>
      <w:r>
        <w:t xml:space="preserve">10.3 AI-generated code is reviewed as third-party code before it enters a repository.</w:t>
      </w:r>
    </w:p>
    <w:p>
      <w:pPr>
        <w:spacing w:after="120"/>
      </w:pPr>
      <w:r>
        <w:t xml:space="preserve">10.4 Records show where information is the product of an AI output and identify the data and system that generated it. Outputs that could have a significant impact on a person or group are identified as AI-generated.</w:t>
      </w:r>
    </w:p>
    <w:p>
      <w:pPr>
        <w:spacing w:after="120"/>
      </w:pPr>
      <w:r>
        <w:t xml:space="preserve">10.5 Where the outputs of a system are not meaningfully explainable, the use is reconsidered; for Level 4 it is not approved.</w:t>
      </w:r>
    </w:p>
    <w:p>
      <w:pPr>
        <w:spacing w:after="120"/>
      </w:pPr>
      <w:r>
        <w:t xml:space="preserve">10.6 </w:t>
      </w:r>
      <w:r>
        <w:rPr>
          <w:b/>
          <w:bCs/>
        </w:rPr>
        <w:t xml:space="preserve">AI agents.</w:t>
      </w:r>
      <w:r>
        <w:t xml:space="preserve"> A tool that selects its own actions across other systems is a Level 3 use at least and Level 4 where its actions affect a person. Every action it can take is enumerated and approved; it runs with least privilege; its actions are logged; a person can stop it.</w:t>
      </w:r>
    </w:p>
    <w:p>
      <w:pPr>
        <w:pStyle w:val="Heading1"/>
        <w:spacing w:after="120" w:before="280"/>
      </w:pPr>
      <w:r>
        <w:rPr>
          <w:color w:val="2E74B5"/>
        </w:rPr>
        <w:t xml:space="preserve">11. Accuracy</w:t>
      </w:r>
    </w:p>
    <w:p>
      <w:pPr>
        <w:spacing w:after="120"/>
      </w:pPr>
      <w:r>
        <w:t xml:space="preserve">11.1 Personal information is as accurate, complete and up to date as is necessary for the purposes for which it is used, so that inappropriate information is not used to make a decision about a person. AI carries heightened accuracy risk and the steps taken match it.</w:t>
      </w:r>
    </w:p>
    <w:p>
      <w:pPr>
        <w:spacing w:after="120"/>
      </w:pPr>
      <w:r>
        <w:t xml:space="preserve">11.2 Before approval, [ORGANISATION] evaluates the validity and reliability of the tool for the intended purpose and across the circumstances of use, and the accuracy limitations the supplier has disclosed: time-bounded or single-source training data, inputs that tend to produce wrong output. Where these are not disclosed and cannot be established, the use is reconsidered.</w:t>
      </w:r>
    </w:p>
    <w:p>
      <w:pPr>
        <w:spacing w:after="120"/>
      </w:pPr>
      <w:r>
        <w:t xml:space="preserve">11.3 A person is responsible for verifying any personal information obtained through AI and can overturn a result. Where a use relates to a specific group, that group is adequately and accurately represented in the training data.</w:t>
      </w:r>
    </w:p>
    <w:p>
      <w:pPr>
        <w:spacing w:after="120"/>
      </w:pPr>
      <w:r>
        <w:t xml:space="preserve">11.4 An individual may access personal information about them held in or generated by AI tools, and challenge its accuracy and completeness. Federally, a request is answered within thirty days, extendable once by thirty days with notice. Where inaccuracy is demonstrated the information is corrected, deleted or added to, and third parties with access are told; where a challenge is unresolved its substance is recorded.</w:t>
      </w:r>
    </w:p>
    <w:p>
      <w:pPr>
        <w:pStyle w:val="Heading1"/>
        <w:spacing w:after="120" w:before="280"/>
      </w:pPr>
      <w:r>
        <w:rPr>
          <w:color w:val="2E74B5"/>
        </w:rPr>
        <w:t xml:space="preserve">12. Decisions about people: the determination</w:t>
      </w:r>
    </w:p>
    <w:p>
      <w:pPr>
        <w:spacing w:after="120"/>
      </w:pPr>
      <w:r>
        <w:t xml:space="preserve">12.1 For every AI system that bears on a decision about an individual, the accountable person records a written determination on two questions:</w:t>
      </w:r>
    </w:p>
    <w:p>
      <w:pPr>
        <w:spacing w:after="120"/>
      </w:pPr>
      <w:r>
        <w:t xml:space="preserve">(a) is the decision </w:t>
      </w:r>
      <w:r>
        <w:rPr>
          <w:b/>
          <w:bCs/>
        </w:rPr>
        <w:t xml:space="preserve">based exclusively on automated processing</w:t>
      </w:r>
      <w:r>
        <w:t xml:space="preserve"> of personal information, so that the Quebec duty at clause 1.3 applies to it; and (b) if not, does the system nonetheless </w:t>
      </w:r>
      <w:r>
        <w:rPr>
          <w:b/>
          <w:bCs/>
        </w:rPr>
        <w:t xml:space="preserve">substantially contribute</w:t>
      </w:r>
      <w:r>
        <w:t xml:space="preserve"> to a decision that could have a legal or similarly significant effect, so that the house standard at clause 13 applies.</w:t>
      </w:r>
    </w:p>
    <w:p>
      <w:pPr>
        <w:spacing w:after="120"/>
      </w:pPr>
      <w:r>
        <w:t xml:space="preserve">12.2 A decision is exclusively automated where no person exercises judgment on it before it takes effect. A person who routinely approves what the system proposes, without the information, time or authority to decide otherwise, is not exercising judgment; such a decision is recorded as exclusively automated.</w:t>
      </w:r>
    </w:p>
    <w:p>
      <w:pPr>
        <w:spacing w:after="120"/>
      </w:pPr>
      <w:r>
        <w:t xml:space="preserve">12.3 A decision is substantially contributed to where the system's output is a key factor in the person's decision and directly connected to it: a ranking, a score, a recommendation, an eligibility flag.</w:t>
      </w:r>
    </w:p>
    <w:p>
      <w:pPr>
        <w:spacing w:after="120"/>
      </w:pPr>
      <w:r>
        <w:t xml:space="preserve">12.4 The determination is made on the use, not the tool, is recorded in the AI register with its reasons, and is revisited on any material change.</w:t>
      </w:r>
    </w:p>
    <w:p>
      <w:pPr>
        <w:spacing w:after="120"/>
      </w:pPr>
      <w:r>
        <w:t xml:space="preserve">12.5 The determination is not a permission. A system inside either limb is a Level 4 use.</w:t>
      </w:r>
    </w:p>
    <w:p>
      <w:pPr>
        <w:pStyle w:val="Heading1"/>
        <w:spacing w:after="120" w:before="280"/>
      </w:pPr>
      <w:r>
        <w:rPr>
          <w:color w:val="2E74B5"/>
        </w:rPr>
        <w:t xml:space="preserve">13. Decisions about people: what the person is owed</w:t>
      </w:r>
    </w:p>
    <w:p>
      <w:pPr>
        <w:spacing w:after="120"/>
      </w:pPr>
      <w:r>
        <w:t xml:space="preserve">13.1 For a decision based exclusively on automated processing, the Quebec Act requires, and this policy requires everywhere:</w:t>
      </w:r>
    </w:p>
    <w:p>
      <w:pPr>
        <w:spacing w:after="120"/>
      </w:pPr>
      <w:r>
        <w:t xml:space="preserve">(a) the person is informed that the decision was so rendered, no later than when they are informed of the decision; (b) on request, the person is told the personal information used to render the decision, the reasons and the principal factors and parameters that led to it, and their right to have the personal information used corrected; and (c) the person is given the opportunity to submit observations to a member of staff who is in a position to review the decision.</w:t>
      </w:r>
    </w:p>
    <w:p>
      <w:pPr>
        <w:spacing w:after="120"/>
      </w:pPr>
      <w:r>
        <w:t xml:space="preserve">13.2 For a decision the system substantially contributes to, [ORGANISATION] provides the same three things </w:t>
      </w:r>
      <w:r>
        <w:rPr>
          <w:b/>
          <w:bCs/>
        </w:rPr>
        <w:t xml:space="preserve">as a house standard</w:t>
      </w:r>
      <w:r>
        <w:t xml:space="preserve">. This is the right the commissioners' principles describe (an effective challenge mechanism, sufficient information to understand how the decision was reached, and human review or reconsideration on request), and it is what the pending federal bill would require of predictions, recommendations and decisions alike.</w:t>
      </w:r>
    </w:p>
    <w:p>
      <w:pPr>
        <w:spacing w:after="120"/>
      </w:pPr>
      <w:r>
        <w:t xml:space="preserve">13.3 The explanation is given in plain language, matched to the seriousness of the outcome, and is recorded. Where an explanation cannot be given because the system's behaviour cannot be explained, the system is not used for that decision.</w:t>
      </w:r>
    </w:p>
    <w:p>
      <w:pPr>
        <w:pStyle w:val="Heading1"/>
        <w:spacing w:after="120" w:before="280"/>
      </w:pPr>
      <w:r>
        <w:rPr>
          <w:color w:val="2E74B5"/>
        </w:rPr>
        <w:t xml:space="preserve">14. Human oversight of decisions about people</w:t>
      </w:r>
    </w:p>
    <w:p>
      <w:pPr>
        <w:spacing w:after="120"/>
      </w:pPr>
      <w:r>
        <w:t xml:space="preserve">14.1 No Level 4 decision is rendered exclusively by automated processing. A person with the authority and the competence to decide reviews the AI output, has access to the information it rests on, and can reach a different decision. Approval and override rates are monitored under clause 20.6, because a review that always agrees is not a review, and would return the decision to the exclusively automated limb.</w:t>
      </w:r>
    </w:p>
    <w:p>
      <w:pPr>
        <w:spacing w:after="120"/>
      </w:pPr>
      <w:r>
        <w:t xml:space="preserve">14.2 Accountability for the decision rests with [ORGANISATION], not with the system.</w:t>
      </w:r>
    </w:p>
    <w:p>
      <w:pPr>
        <w:pStyle w:val="Heading1"/>
        <w:spacing w:after="120" w:before="280"/>
      </w:pPr>
      <w:r>
        <w:rPr>
          <w:color w:val="2E74B5"/>
        </w:rPr>
        <w:t xml:space="preserve">15. Customer-facing AI</w:t>
      </w:r>
    </w:p>
    <w:p>
      <w:pPr>
        <w:spacing w:after="120"/>
      </w:pPr>
      <w:r>
        <w:t xml:space="preserve">15.1 Where a customer or member of the public interacts with an AI system, they are told so at the start, told the privacy risks and the mitigations available to them (including not entering personal information unless necessary), and can reach a person.</w:t>
      </w:r>
    </w:p>
    <w:p>
      <w:pPr>
        <w:spacing w:after="120"/>
      </w:pPr>
      <w:r>
        <w:t xml:space="preserve">15.2 Personal information collected through a customer-facing AI system is collected only for appropriate purposes, only with valid consent or a recognised exception, and never by nudging the person into disclosing what they would not otherwise disclose.</w:t>
      </w:r>
    </w:p>
    <w:p>
      <w:pPr>
        <w:spacing w:after="120"/>
      </w:pPr>
      <w:r>
        <w:t xml:space="preserve">15.3 A customer-facing AI system is tested before launch for inaccurate, biased and harmful outputs and for surfacing personal information about other people, and is monitored after launch.</w:t>
      </w:r>
    </w:p>
    <w:p>
      <w:pPr>
        <w:spacing w:after="120"/>
      </w:pPr>
      <w:r>
        <w:t xml:space="preserve">15.4 Where AI has generated or materially altered content presented as [ORGANISATION]'s work, the use is disclosed where a reasonable person would want to know and always where non-disclosure would mislead. Statements about what an AI product does are accurate.</w:t>
      </w:r>
    </w:p>
    <w:p>
      <w:pPr>
        <w:pStyle w:val="Heading1"/>
        <w:spacing w:after="120" w:before="280"/>
      </w:pPr>
      <w:r>
        <w:rPr>
          <w:color w:val="2E74B5"/>
        </w:rPr>
        <w:t xml:space="preserve">16. Training and fine-tuning on [ORGANISATION] data</w:t>
      </w:r>
    </w:p>
    <w:p>
      <w:pPr>
        <w:spacing w:after="120"/>
      </w:pPr>
      <w:r>
        <w:t xml:space="preserve">16.1 Using personal information [ORGANISATION] holds to train or fine-tune a model, or providing it to a supplier to do so, is a new purpose unless training was a purpose identified at collection. It requires consent, or a Quebec consistent-purpose basis (which will rarely be available: training a model has no direct and relevant connection to serving the person), or de-identification before use for study, research or statistical purposes.</w:t>
      </w:r>
    </w:p>
    <w:p>
      <w:pPr>
        <w:spacing w:after="120"/>
      </w:pPr>
      <w:r>
        <w:t xml:space="preserve">16.2 De-identified information used for training is protected by reasonable measures against re-identification, and no tool is prompted to re-identify it.</w:t>
      </w:r>
    </w:p>
    <w:p>
      <w:pPr>
        <w:spacing w:after="120"/>
      </w:pPr>
      <w:r>
        <w:t xml:space="preserve">16.3 A supplier that fine-tunes on [ORGANISATION] data does so under a written agreement that confines the data to [ORGANISATION]'s purposes, prohibits use to improve the supplier's other models, requires filters so that personal information does not surface in outputs, provides for deletion, and, where the supplier is outside Quebec, reflects the clause 9.4 assessment.</w:t>
      </w:r>
    </w:p>
    <w:p>
      <w:pPr>
        <w:spacing w:after="120"/>
      </w:pPr>
      <w:r>
        <w:t xml:space="preserve">16.4 Fine-tuning is a Level 3 use and requires a privacy impact assessment.</w:t>
      </w:r>
    </w:p>
    <w:p>
      <w:pPr>
        <w:pStyle w:val="Heading1"/>
        <w:spacing w:after="120" w:before="280"/>
      </w:pPr>
      <w:r>
        <w:rPr>
          <w:color w:val="2E74B5"/>
        </w:rPr>
        <w:t xml:space="preserve">17. Necessity, proportionality and the no-go zones</w:t>
      </w:r>
    </w:p>
    <w:p>
      <w:pPr>
        <w:spacing w:after="120"/>
      </w:pPr>
      <w:r>
        <w:t xml:space="preserve">17.1 Before an AI system is used where it may have a significant impact on people, [ORGANISATION] establishes, on evidence, that the use is necessary and proportionate: that the tool is more than potentially useful, that it is likely to be effective for the specified purpose, and that no more privacy-protective means achieves the same end.</w:t>
      </w:r>
    </w:p>
    <w:p>
      <w:pPr>
        <w:spacing w:after="120"/>
      </w:pPr>
      <w:r>
        <w:t xml:space="preserve">17.2 The no-go zones at clause 6.2 are absolute. If a use is found to be within one, the activity ceases. Where a use has an unintended inappropriate application, the supplier is told and the risk mitigated or the use withdrawn.</w:t>
      </w:r>
    </w:p>
    <w:p>
      <w:pPr>
        <w:pStyle w:val="Heading1"/>
        <w:spacing w:after="120" w:before="280"/>
      </w:pPr>
      <w:r>
        <w:rPr>
          <w:color w:val="2E74B5"/>
        </w:rPr>
        <w:t xml:space="preserve">18. Accountability</w:t>
      </w:r>
    </w:p>
    <w:p>
      <w:pPr>
        <w:spacing w:after="120"/>
      </w:pPr>
      <w:r>
        <w:t xml:space="preserve">18.1 [ORGANISATION] is responsible for personal information under its control, including information transferred to a third party for processing. The person in charge of the protection of personal information is [the person exercising the highest authority], who has delegated the function in writing to [title]; the title and contact information of the person in charge are published on [ORGANISATION]'s website.</w:t>
      </w:r>
    </w:p>
    <w:p>
      <w:pPr>
        <w:spacing w:after="120"/>
      </w:pPr>
      <w:r>
        <w:t xml:space="preserve">18.2 Policies and practices give effect to the privacy principles: procedures to protect personal information, procedures to receive and respond to complaints and inquiries, staff training, and information explaining the policies. This policy and its annex are those policies for AI.</w:t>
      </w:r>
    </w:p>
    <w:p>
      <w:pPr>
        <w:spacing w:after="120"/>
      </w:pPr>
      <w:r>
        <w:t xml:space="preserve">18.3 Privacy impact assessments and, for Level 4 systems, algorithmic impact assessments are undertaken and revisited, including bias testing, as systems and regulation evolve.</w:t>
      </w:r>
    </w:p>
    <w:p>
      <w:pPr>
        <w:pStyle w:val="Heading1"/>
        <w:spacing w:after="120" w:before="280"/>
      </w:pPr>
      <w:r>
        <w:rPr>
          <w:color w:val="2E74B5"/>
        </w:rPr>
        <w:t xml:space="preserve">19. Minors and vulnerable people</w:t>
      </w:r>
    </w:p>
    <w:p>
      <w:pPr>
        <w:spacing w:after="120"/>
      </w:pPr>
      <w:r>
        <w:t xml:space="preserve">19.1 Any AI use directed at minors, or in a service likely to be used by minors, is a Level 3 use, requires written approval by the person in charge, and is designed in the minor's interest. Minors are at particularly high risk of significant negative impact from AI, are less able to identify or challenge biased or inaccurate information, and need greater safeguards.</w:t>
      </w:r>
    </w:p>
    <w:p>
      <w:pPr>
        <w:spacing w:after="120"/>
      </w:pPr>
      <w:r>
        <w:t xml:space="preserve">19.2 Every privacy impact assessment for an AI system identifies risks to vulnerable groups, including groups that have historically experienced discrimination or bias, and the measures taken to mitigate them.</w:t>
      </w:r>
    </w:p>
    <w:p>
      <w:pPr>
        <w:pStyle w:val="Heading1"/>
        <w:spacing w:after="120" w:before="280"/>
      </w:pPr>
      <w:r>
        <w:rPr>
          <w:color w:val="2E74B5"/>
        </w:rPr>
        <w:t xml:space="preserve">20. Governance, records, incidents and monitoring</w:t>
      </w:r>
    </w:p>
    <w:p>
      <w:pPr>
        <w:spacing w:after="120"/>
      </w:pPr>
      <w:r>
        <w:t xml:space="preserve">20.1 The AI Governance Committee, chaired by [the accountable executive], approves Level 4 uses, owns this policy, and reviews the AI register quarterly.</w:t>
      </w:r>
    </w:p>
    <w:p>
      <w:pPr>
        <w:spacing w:after="120"/>
      </w:pPr>
      <w:r>
        <w:t xml:space="preserve">20.2 The person in charge of the protection of personal information approves Level 3 uses, owns privacy impact assessments, is consulted from the outset of every project to acquire, develop or overhaul a system involving personal information, holds the clause 12 determinations, and is consulted on every incident risk assessment.</w:t>
      </w:r>
    </w:p>
    <w:p>
      <w:pPr>
        <w:spacing w:after="120"/>
      </w:pPr>
      <w:r>
        <w:t xml:space="preserve">20.3 Every AI system has a named accountable person who owns its register entry, its assessments and its monitoring.</w:t>
      </w:r>
    </w:p>
    <w:p>
      <w:pPr>
        <w:spacing w:after="120"/>
      </w:pPr>
      <w:r>
        <w:t xml:space="preserve">20.4 </w:t>
      </w:r>
      <w:r>
        <w:rPr>
          <w:b/>
          <w:bCs/>
        </w:rPr>
        <w:t xml:space="preserve">The AI register</w:t>
      </w:r>
      <w:r>
        <w:t xml:space="preserve"> records every AI system in use, including AI embedded in other products: purpose, level, accountable person, the personal information it uses, the legal authority for each collection, use and disclosure, where it processes data and whether that is outside Quebec or Canada, the supplier's rights over inputs and outputs, the clause 12 determination, the privacy impact assessment, the testing done, the monitoring in place, and the retention periods for its data.</w:t>
      </w:r>
    </w:p>
    <w:p>
      <w:pPr>
        <w:spacing w:after="120"/>
      </w:pPr>
      <w:r>
        <w:t xml:space="preserve">20.5 </w:t>
      </w:r>
      <w:r>
        <w:rPr>
          <w:b/>
          <w:bCs/>
        </w:rPr>
        <w:t xml:space="preserve">Incidents.</w:t>
      </w:r>
      <w:r>
        <w:t xml:space="preserve"> Any suspected unauthorised access to, use, disclosure or loss of personal information involving an AI tool is reported to [Security] immediately. [ORGANISATION] takes reasonable measures to reduce the risk of injury and prevent recurrence. The person in charge is consulted on the risk assessment, which considers the sensitivity of the information, the anticipated consequences of its use, and the likelihood it will be used for injurious purposes. Where the incident presents a risk of serious injury, [ORGANISATION] promptly notifies the Commission d'accès à l'information and the persons concerned. Where it is reasonable to believe the breach creates a real risk of significant harm (bodily harm, humiliation, damage to reputation or relationships, loss of employment or opportunities, financial loss, identity theft, effects on credit, loss of property), [ORGANISATION] reports to the Privacy Commissioner of Canada and notifies the individuals as soon as feasible after determining the breach has occurred, conspicuously and directly. Every incident, whether or not notified, is entered in the incident register, which is provided to a commissioner on request. AI incidents that are not privacy incidents (harmful output, a biased decision, an agent acting outside its approval) are also recorded and investigated.</w:t>
      </w:r>
    </w:p>
    <w:p>
      <w:pPr>
        <w:spacing w:after="120"/>
      </w:pPr>
      <w:r>
        <w:t xml:space="preserve">20.6 </w:t>
      </w:r>
      <w:r>
        <w:rPr>
          <w:b/>
          <w:bCs/>
        </w:rPr>
        <w:t xml:space="preserve">Monitoring and testing.</w:t>
      </w:r>
      <w:r>
        <w:t xml:space="preserve"> Tools are tested before approval for the threats at clause 9.2, and adversarially for unintended inappropriate uses. Level 4 systems are tested before deployment and at least [annually] for differential outcomes on protected grounds, and monitored for approval and override rates. Inappropriate uses and biased outcomes not disclosed as a limitation are reported to the supplier.</w:t>
      </w:r>
    </w:p>
    <w:p>
      <w:pPr>
        <w:spacing w:after="120"/>
      </w:pPr>
      <w:r>
        <w:t xml:space="preserve">20.7 </w:t>
      </w:r>
      <w:r>
        <w:rPr>
          <w:b/>
          <w:bCs/>
        </w:rPr>
        <w:t xml:space="preserve">Complaints.</w:t>
      </w:r>
      <w:r>
        <w:t xml:space="preserve"> Individuals can complain about [ORGANISATION]'s handling of their personal information in connection with AI through the mechanism the privacy policy describes, and may complain to the Privacy Commissioner of Canada or the Commission d'accès à l'information.</w:t>
      </w:r>
    </w:p>
    <w:p>
      <w:pPr>
        <w:pStyle w:val="Heading1"/>
        <w:spacing w:after="120" w:before="280"/>
      </w:pPr>
      <w:r>
        <w:rPr>
          <w:color w:val="2E74B5"/>
        </w:rPr>
        <w:t xml:space="preserve">21. Training and acknowledgement</w:t>
      </w:r>
    </w:p>
    <w:p>
      <w:pPr>
        <w:spacing w:after="120"/>
      </w:pPr>
      <w:r>
        <w:t xml:space="preserve">21.1 Staff who use AI tools with [ORGANISATION] data complete training covering this policy, the levels of use, the prohibition on entering personal information into unapproved tools, the no-go zones, the accuracy and verification duties, and how to recognise and report an incident, before first use and at least [annually].</w:t>
      </w:r>
    </w:p>
    <w:p>
      <w:pPr>
        <w:spacing w:after="120"/>
      </w:pPr>
      <w:r>
        <w:t xml:space="preserve">21.2 Staff who review Level 4 decisions complete additional training on the system, on what a meaningful review requires, and on the rights at clause 13.</w:t>
      </w:r>
    </w:p>
    <w:p>
      <w:pPr>
        <w:spacing w:after="120"/>
      </w:pPr>
      <w:r>
        <w:t xml:space="preserve">21.3 Every person in scope acknowledges this policy in writing on joining and on each material revision.</w:t>
      </w:r>
    </w:p>
    <w:p>
      <w:pPr>
        <w:pStyle w:val="Heading1"/>
        <w:spacing w:after="120" w:before="280"/>
      </w:pPr>
      <w:r>
        <w:rPr>
          <w:color w:val="2E74B5"/>
        </w:rPr>
        <w:t xml:space="preserve">22. What this policy does not cover</w:t>
      </w:r>
    </w:p>
    <w:p>
      <w:pPr>
        <w:spacing w:after="120"/>
      </w:pPr>
      <w:r>
        <w:t xml:space="preserve">22.1 This policy states the federal Act as consolidated to 21 June 2026 and the Quebec private-sector Act as amended by Law 25, read with the commissioners' generative AI principles. </w:t>
      </w:r>
      <w:r>
        <w:rPr>
          <w:b/>
          <w:bCs/>
        </w:rPr>
        <w:t xml:space="preserve">It does not state:</w:t>
      </w:r>
    </w:p>
    <w:p>
      <w:pPr>
        <w:pStyle w:val="ListParagraph"/>
        <w:numPr>
          <w:ilvl w:val="0"/>
          <w:numId w:val="2"/>
        </w:numPr>
        <w:spacing w:after="80"/>
      </w:pPr>
      <w:r>
        <w:t xml:space="preserve">Alberta's and British Columbia's private-sector privacy Acts, or any other</w:t>
      </w:r>
    </w:p>
    <w:p>
      <w:pPr>
        <w:spacing w:after="80"/>
        <w:ind w:left="720"/>
      </w:pPr>
      <w:r>
        <w:t xml:space="preserve">provincial or territorial privacy law;</w:t>
      </w:r>
    </w:p>
    <w:p>
      <w:pPr>
        <w:pStyle w:val="ListParagraph"/>
        <w:numPr>
          <w:ilvl w:val="0"/>
          <w:numId w:val="2"/>
        </w:numPr>
        <w:spacing w:after="80"/>
      </w:pPr>
      <w:r>
        <w:t xml:space="preserve">provincial health-information Acts;</w:t>
      </w:r>
    </w:p>
    <w:p>
      <w:pPr>
        <w:pStyle w:val="ListParagraph"/>
        <w:numPr>
          <w:ilvl w:val="0"/>
          <w:numId w:val="2"/>
        </w:numPr>
        <w:spacing w:after="80"/>
      </w:pPr>
      <w:r>
        <w:t xml:space="preserve">federal and provincial human rights legislation, which reaches discriminatory AI</w:t>
      </w:r>
    </w:p>
    <w:p>
      <w:pPr>
        <w:spacing w:after="80"/>
        <w:ind w:left="720"/>
      </w:pPr>
      <w:r>
        <w:t xml:space="preserve">outcomes;</w:t>
      </w:r>
    </w:p>
    <w:p>
      <w:pPr>
        <w:pStyle w:val="ListParagraph"/>
        <w:numPr>
          <w:ilvl w:val="0"/>
          <w:numId w:val="2"/>
        </w:numPr>
        <w:spacing w:after="80"/>
      </w:pPr>
      <w:r>
        <w:t xml:space="preserve">consumer protection law, which reaches misleading statements about AI;</w:t>
      </w:r>
    </w:p>
    <w:p>
      <w:pPr>
        <w:pStyle w:val="ListParagraph"/>
        <w:numPr>
          <w:ilvl w:val="0"/>
          <w:numId w:val="2"/>
        </w:numPr>
        <w:spacing w:after="80"/>
      </w:pPr>
      <w:r>
        <w:t xml:space="preserve">the federal government's Directive on Automated Decision-Making and its guides on</w:t>
      </w:r>
    </w:p>
    <w:p>
      <w:pPr>
        <w:spacing w:after="80"/>
        <w:ind w:left="720"/>
      </w:pPr>
      <w:r>
        <w:t xml:space="preserve">generative and agentic AI, which bind federal institutions and not</w:t>
      </w:r>
    </w:p>
    <w:p>
      <w:pPr>
        <w:spacing w:after="80"/>
        <w:ind w:left="720"/>
      </w:pPr>
      <w:r>
        <w:t xml:space="preserve">[ORGANISATION];</w:t>
      </w:r>
    </w:p>
    <w:p>
      <w:pPr>
        <w:pStyle w:val="ListParagraph"/>
        <w:numPr>
          <w:ilvl w:val="0"/>
          <w:numId w:val="2"/>
        </w:numPr>
        <w:spacing w:after="80"/>
      </w:pPr>
      <w:r>
        <w:t xml:space="preserve">the regulations under either Act, including those on breach records, incident</w:t>
      </w:r>
    </w:p>
    <w:p>
      <w:pPr>
        <w:spacing w:after="80"/>
        <w:ind w:left="720"/>
      </w:pPr>
      <w:r>
        <w:t xml:space="preserve">notices and publicly available information;</w:t>
      </w:r>
    </w:p>
    <w:p>
      <w:pPr>
        <w:pStyle w:val="ListParagraph"/>
        <w:numPr>
          <w:ilvl w:val="0"/>
          <w:numId w:val="2"/>
        </w:numPr>
        <w:spacing w:after="80"/>
      </w:pPr>
      <w:r>
        <w:t xml:space="preserve">Bill C-36, which is not law;</w:t>
      </w:r>
    </w:p>
    <w:p>
      <w:pPr>
        <w:pStyle w:val="ListParagraph"/>
        <w:numPr>
          <w:ilvl w:val="0"/>
          <w:numId w:val="2"/>
        </w:numPr>
        <w:spacing w:after="80"/>
      </w:pPr>
      <w:r>
        <w:t xml:space="preserve">the Criminal Code and intellectual property law.</w:t>
      </w:r>
    </w:p>
    <w:p>
      <w:pPr>
        <w:spacing w:after="120"/>
      </w:pPr>
      <w:r>
        <w:t xml:space="preserve">22.2 Each is named because it exists and is likely to apply; none is stated because none is held in the source set behind this policy. The enterprise annex records them as open verifications.</w:t>
      </w:r>
    </w:p>
    <w:p>
      <w:pPr>
        <w:pStyle w:val="Heading1"/>
        <w:spacing w:after="120" w:before="280"/>
      </w:pPr>
      <w:r>
        <w:rPr>
          <w:color w:val="2E74B5"/>
        </w:rPr>
        <w:t xml:space="preserve">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DEEAF6" w:color="auto" w:val="clear"/>
            <w:tcMar>
              <w:top w:type="dxa" w:w="60"/>
              <w:left w:type="dxa" w:w="100"/>
              <w:bottom w:type="dxa" w:w="60"/>
              <w:right w:type="dxa" w:w="100"/>
            </w:tcMar>
          </w:tcPr>
          <w:p>
            <w:r>
              <w:rPr>
                <w:b/>
                <w:bCs/>
                <w:sz w:val="18"/>
                <w:szCs w:val="18"/>
              </w:rPr>
              <w:t xml:space="preserve">Version</w:t>
            </w:r>
          </w:p>
        </w:tc>
        <w:tc>
          <w:tcPr>
            <w:tcW w:type="dxa" w:w="3120"/>
            <w:shd w:fill="DEEAF6" w:color="auto" w:val="clear"/>
            <w:tcMar>
              <w:top w:type="dxa" w:w="60"/>
              <w:left w:type="dxa" w:w="100"/>
              <w:bottom w:type="dxa" w:w="60"/>
              <w:right w:type="dxa" w:w="100"/>
            </w:tcMar>
          </w:tcPr>
          <w:p>
            <w:r>
              <w:rPr>
                <w:b/>
                <w:bCs/>
                <w:sz w:val="18"/>
                <w:szCs w:val="18"/>
              </w:rPr>
              <w:t xml:space="preserve">Date</w:t>
            </w:r>
          </w:p>
        </w:tc>
        <w:tc>
          <w:tcPr>
            <w:tcW w:type="dxa" w:w="3120"/>
            <w:shd w:fill="DEEAF6" w:color="auto" w:val="clear"/>
            <w:tcMar>
              <w:top w:type="dxa" w:w="60"/>
              <w:left w:type="dxa" w:w="100"/>
              <w:bottom w:type="dxa" w:w="60"/>
              <w:right w:type="dxa" w:w="100"/>
            </w:tcMar>
          </w:tcPr>
          <w:p>
            <w:r>
              <w:rPr>
                <w:b/>
                <w:bCs/>
                <w:sz w:val="18"/>
                <w:szCs w:val="18"/>
              </w:rPr>
              <w:t xml:space="preserve">Change</w:t>
            </w:r>
          </w:p>
        </w:tc>
      </w:tr>
      <w:tr>
        <w:trPr>
          <w:tblHeader w:val="false"/>
        </w:trPr>
        <w:tc>
          <w:tcPr>
            <w:tcW w:type="dxa" w:w="3120"/>
            <w:tcMar>
              <w:top w:type="dxa" w:w="60"/>
              <w:left w:type="dxa" w:w="100"/>
              <w:bottom w:type="dxa" w:w="60"/>
              <w:right w:type="dxa" w:w="100"/>
            </w:tcMar>
          </w:tcPr>
          <w:p>
            <w:r>
              <w:rPr>
                <w:b w:val="false"/>
                <w:bCs w:val="false"/>
                <w:sz w:val="18"/>
                <w:szCs w:val="18"/>
              </w:rPr>
              <w:t xml:space="preserve">1.0</w:t>
            </w:r>
          </w:p>
        </w:tc>
        <w:tc>
          <w:tcPr>
            <w:tcW w:type="dxa" w:w="3120"/>
            <w:tcMar>
              <w:top w:type="dxa" w:w="60"/>
              <w:left w:type="dxa" w:w="100"/>
              <w:bottom w:type="dxa" w:w="60"/>
              <w:right w:type="dxa" w:w="100"/>
            </w:tcMar>
          </w:tcPr>
          <w:p>
            <w:r>
              <w:rPr>
                <w:b w:val="false"/>
                <w:bCs w:val="false"/>
                <w:sz w:val="18"/>
                <w:szCs w:val="18"/>
              </w:rPr>
              <w:t xml:space="preserve">3 September 2026</w:t>
            </w:r>
          </w:p>
        </w:tc>
        <w:tc>
          <w:tcPr>
            <w:tcW w:type="dxa" w:w="3120"/>
            <w:tcMar>
              <w:top w:type="dxa" w:w="60"/>
              <w:left w:type="dxa" w:w="100"/>
              <w:bottom w:type="dxa" w:w="60"/>
              <w:right w:type="dxa" w:w="100"/>
            </w:tcMar>
          </w:tcPr>
          <w:p>
            <w:r>
              <w:rPr>
                <w:b w:val="false"/>
                <w:bCs w:val="false"/>
                <w:sz w:val="18"/>
                <w:szCs w:val="18"/>
              </w:rPr>
              <w:t xml:space="preserve">Initial policy, published within its stated scope: PIPEDA consolidated to 21 June 2026 and Quebec's private-sector Act as amended by Law 25 (2021, chapter 25, assented 22 September 2021), read with the commissioners' generative AI principles; Bill C-36 named as pending and not relied on. Verified by direct reading of the held instruments.</w:t>
            </w:r>
          </w:p>
        </w:tc>
      </w:tr>
    </w:tbl>
    <w:p>
      <w:pPr>
        <w:spacing w:after="120"/>
      </w:pPr>
    </w:p>
    <w:p>
      <w:pPr>
        <w:spacing w:after="120"/>
      </w:pPr>
      <w:r>
        <w:rPr>
          <w:i/>
          <w:iCs/>
          <w:color w:val="666666"/>
        </w:rPr>
        <w:t xml:space="preserve">Educational template - not legal advice. Review by qualified counsel before adoption.</w:t>
      </w:r>
      <w:r>
        <w:rPr>
          <w:i/>
          <w:iCs/>
          <w:color w:val="666666"/>
        </w:rPr>
        <w:t xml:space="preserve"> </w:t>
      </w:r>
      <w:r>
        <w:rPr>
          <w:i/>
          <w:iCs/>
          <w:color w:val="666666"/>
        </w:rPr>
        <w:t xml:space="preserve">Provision identifiers are in the research note, not in this policy.</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AI Acceptable Use Policy - Canada - v1.0 - Internal   |   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A4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rPr>
      <w:b/>
      <w:bCs/>
      <w:color w:val="1F4D78"/>
      <w:sz w:val="40"/>
      <w:szCs w:val="40"/>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2026-09-03T18:24:35.092Z</dcterms:created>
  <dcterms:modified xsi:type="dcterms:W3CDTF">2026-09-03T18:24:35.126Z</dcterms:modified>
</cp:coreProperties>
</file>

<file path=docProps/custom.xml><?xml version="1.0" encoding="utf-8"?>
<Properties xmlns="http://schemas.openxmlformats.org/officeDocument/2006/custom-properties" xmlns:vt="http://schemas.openxmlformats.org/officeDocument/2006/docPropsVTypes"/>
</file>