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Source register - Saudi Arabia AI policy set</w:t>
      </w:r>
    </w:p>
    <w:p>
      <w:pPr>
        <w:spacing w:after="110"/>
      </w:pPr>
      <w:r>
        <w:rPr>
          <w:rFonts w:ascii="Calibri" w:cs="Calibri" w:eastAsia="Calibri" w:hAnsi="Calibri"/>
          <w:color w:val="333A45"/>
          <w:sz w:val="21"/>
          <w:szCs w:val="21"/>
        </w:rPr>
        <w:t xml:space="preserve">Every document referred to, used, or deliberately not used in producing the Saudi Arabia AI Acceptable Use Policy v1.0, the Enterprise Annex v1.0, and the research note.</w:t>
      </w:r>
    </w:p>
    <w:p>
      <w:pPr>
        <w:spacing w:after="110"/>
      </w:pPr>
      <w:r>
        <w:rPr>
          <w:rFonts w:ascii="Calibri" w:cs="Calibri" w:eastAsia="Calibri" w:hAnsi="Calibri"/>
          <w:color w:val="333A45"/>
          <w:sz w:val="21"/>
          <w:szCs w:val="21"/>
        </w:rPr>
        <w:t xml:space="preserve">State as at 31 August 2026. Hashes are SHA-256 of the file as supplied, truncated to 16 characters.</w:t>
      </w:r>
    </w:p>
    <w:p>
      <w:pPr>
        <w:keepNext/>
        <w:pBdr>
          <w:bottom w:val="single" w:color="9DB9E8" w:sz="4" w:space="3"/>
        </w:pBdr>
        <w:spacing w:after="100" w:before="260"/>
      </w:pPr>
      <w:r>
        <w:rPr>
          <w:rFonts w:ascii="Calibri" w:cs="Calibri" w:eastAsia="Calibri" w:hAnsi="Calibri"/>
          <w:b/>
          <w:bCs/>
          <w:color w:val="2E5AAC"/>
          <w:sz w:val="26"/>
          <w:szCs w:val="26"/>
        </w:rPr>
        <w:t xml:space="preserve">0. Read this first - what this set is, and is not</w:t>
      </w:r>
    </w:p>
    <w:p>
      <w:pPr>
        <w:spacing w:after="110"/>
      </w:pPr>
      <w:r>
        <w:rPr>
          <w:rFonts w:ascii="Calibri" w:cs="Calibri" w:eastAsia="Calibri" w:hAnsi="Calibri"/>
          <w:b/>
          <w:bCs/>
          <w:color w:val="333A45"/>
          <w:sz w:val="21"/>
          <w:szCs w:val="21"/>
        </w:rPr>
        <w:t xml:space="preserve">This set governs government data.</w:t>
      </w:r>
      <w:r>
        <w:rPr>
          <w:rFonts w:ascii="Calibri" w:cs="Calibri" w:eastAsia="Calibri" w:hAnsi="Calibri"/>
          <w:color w:val="333A45"/>
          <w:sz w:val="21"/>
          <w:szCs w:val="21"/>
        </w:rPr>
        <w:t xml:space="preserve"> The three instruments it rests on apply to public entities and to business partners handling government data. </w:t>
      </w:r>
      <w:r>
        <w:rPr>
          <w:rFonts w:ascii="Calibri" w:cs="Calibri" w:eastAsia="Calibri" w:hAnsi="Calibri"/>
          <w:b/>
          <w:bCs/>
          <w:color w:val="333A45"/>
          <w:sz w:val="21"/>
          <w:szCs w:val="21"/>
        </w:rPr>
        <w:t xml:space="preserve">They do not govern a private organisation's processing of its own customers' or employees' personal data.</w:t>
      </w:r>
    </w:p>
    <w:p>
      <w:pPr>
        <w:spacing w:after="110"/>
      </w:pPr>
      <w:r>
        <w:rPr>
          <w:rFonts w:ascii="Calibri" w:cs="Calibri" w:eastAsia="Calibri" w:hAnsi="Calibri"/>
          <w:b/>
          <w:bCs/>
          <w:color w:val="333A45"/>
          <w:sz w:val="21"/>
          <w:szCs w:val="21"/>
        </w:rPr>
        <w:t xml:space="preserve">The Kingdom's personal data protection legislation and its implementing regulations are not held.</w:t>
      </w:r>
      <w:r>
        <w:rPr>
          <w:rFonts w:ascii="Calibri" w:cs="Calibri" w:eastAsia="Calibri" w:hAnsi="Calibri"/>
          <w:color w:val="333A45"/>
          <w:sz w:val="21"/>
          <w:szCs w:val="21"/>
        </w:rPr>
        <w:t xml:space="preserve"> A general private-sector AI acceptable use policy cannot be built from what is here, and this set does not pretend to be one. The limitation is stated in the policy's opening section and in the annex, not only in this register.</w:t>
      </w:r>
    </w:p>
    <w:p>
      <w:pPr>
        <w:spacing w:after="110"/>
      </w:pPr>
      <w:r>
        <w:rPr>
          <w:rFonts w:ascii="Calibri" w:cs="Calibri" w:eastAsia="Calibri" w:hAnsi="Calibri"/>
          <w:color w:val="333A45"/>
          <w:sz w:val="21"/>
          <w:szCs w:val="21"/>
        </w:rPr>
        <w:t xml:space="preserve">Research note section 2 sets out the four scope provisions this rests on, quoted.</w:t>
      </w:r>
    </w:p>
    <w:p>
      <w:pPr>
        <w:keepNext/>
        <w:pBdr>
          <w:bottom w:val="single" w:color="9DB9E8" w:sz="4" w:space="3"/>
        </w:pBdr>
        <w:spacing w:after="100" w:before="260"/>
      </w:pPr>
      <w:r>
        <w:rPr>
          <w:rFonts w:ascii="Calibri" w:cs="Calibri" w:eastAsia="Calibri" w:hAnsi="Calibri"/>
          <w:b/>
          <w:bCs/>
          <w:color w:val="2E5AAC"/>
          <w:sz w:val="26"/>
          <w:szCs w:val="26"/>
        </w:rPr>
        <w:t xml:space="preserve">1. Primary sources - HELD AND CITED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1800"/>
        <w:gridCol w:w="1800"/>
        <w:gridCol w:w="1800"/>
        <w:gridCol w:w="1800"/>
        <w:gridCol w:w="1800"/>
      </w:tblGrid>
      <w:tr>
        <w:trPr>
          <w:tblHeader/>
        </w:trPr>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 and date</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is cited</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National Data Management and Personal Data Protection Standards</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Cover: </w:t>
            </w:r>
            <w:r>
              <w:rPr>
                <w:rFonts w:ascii="Calibri" w:cs="Calibri" w:eastAsia="Calibri" w:hAnsi="Calibri"/>
                <w:b/>
                <w:bCs/>
                <w:color w:val="333A45"/>
                <w:sz w:val="19"/>
                <w:szCs w:val="19"/>
              </w:rPr>
              <w:t xml:space="preserve">Version 1.5, January 2021</w:t>
            </w:r>
            <w:r>
              <w:rPr>
                <w:rFonts w:ascii="Calibri" w:cs="Calibri" w:eastAsia="Calibri" w:hAnsi="Calibri"/>
                <w:color w:val="333A45"/>
                <w:sz w:val="19"/>
                <w:szCs w:val="19"/>
              </w:rPr>
              <w:t xml:space="preserve">. 173 pp. Issued by the National Data Management Office</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784fdaae1ff5d9de</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Sections 1, 3, 4, 5, 8.1, 8.2; domain 9.14 in full (PDP.1.1, 1.2, 2.1, 3.1, 3.2, 4.1, 4.2, 4.3, 4.4, 5.1); DC.2.1; DO.2.1; DG.4; section 9.15</w:t>
            </w:r>
          </w:p>
        </w:tc>
      </w:tr>
      <w:tr>
        <w:trPr>
          <w:tblHeader w:val="false"/>
        </w:trPr>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National Data Governance Policies - Data Classification Policy</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Version 1, 5/5/2020</w:t>
            </w:r>
            <w:r>
              <w:rPr>
                <w:rFonts w:ascii="Calibri" w:cs="Calibri" w:eastAsia="Calibri" w:hAnsi="Calibri"/>
                <w:color w:val="333A45"/>
                <w:sz w:val="19"/>
                <w:szCs w:val="19"/>
              </w:rPr>
              <w:t xml:space="preserve">. 28 pp. NDMO</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bfad974c5343b264</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Clauses 1.1, 1.2 (principles 1-7), 1.3 (four levels and the Restricted sub-categories)</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Data Sharing Policy</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Version 2.0, 2024</w:t>
            </w:r>
            <w:r>
              <w:rPr>
                <w:rFonts w:ascii="Calibri" w:cs="Calibri" w:eastAsia="Calibri" w:hAnsi="Calibri"/>
                <w:color w:val="333A45"/>
                <w:sz w:val="19"/>
                <w:szCs w:val="19"/>
              </w:rPr>
              <w:t xml:space="preserve">. 21 pp. NDMO</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93e843b8a20a75de</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Definitions; clause First (Scope); clause Second (the eight principles); clause Fifth (agreement contents, items 1-8); general rules</w:t>
            </w:r>
          </w:p>
        </w:tc>
      </w:tr>
    </w:tbl>
    <w:p>
      <w:pPr>
        <w:spacing w:after="120"/>
      </w:pPr>
    </w:p>
    <w:p>
      <w:pPr>
        <w:spacing w:after="110"/>
      </w:pPr>
      <w:r>
        <w:rPr>
          <w:rFonts w:ascii="Calibri" w:cs="Calibri" w:eastAsia="Calibri" w:hAnsi="Calibri"/>
          <w:b/>
          <w:bCs/>
          <w:color w:val="333A45"/>
          <w:sz w:val="21"/>
          <w:szCs w:val="21"/>
        </w:rPr>
        <w:t xml:space="preserve">A version inconsistency in row 1, recorded not resolved.</w:t>
      </w:r>
      <w:r>
        <w:rPr>
          <w:rFonts w:ascii="Calibri" w:cs="Calibri" w:eastAsia="Calibri" w:hAnsi="Calibri"/>
          <w:color w:val="333A45"/>
          <w:sz w:val="21"/>
          <w:szCs w:val="21"/>
        </w:rPr>
        <w:t xml:space="preserve"> The cover page reads "Version 1.5 / January 2021". The internal document-control table records version 1.4 at June 2021 and version 1.5 at June 2021. The two cannot both be right. </w:t>
      </w:r>
      <w:r>
        <w:rPr>
          <w:rFonts w:ascii="Calibri" w:cs="Calibri" w:eastAsia="Calibri" w:hAnsi="Calibri"/>
          <w:b/>
          <w:bCs/>
          <w:color w:val="333A45"/>
          <w:sz w:val="21"/>
          <w:szCs w:val="21"/>
        </w:rPr>
        <w:t xml:space="preserve">No provision relied on in this set is affected</w:t>
      </w:r>
      <w:r>
        <w:rPr>
          <w:rFonts w:ascii="Calibri" w:cs="Calibri" w:eastAsia="Calibri" w:hAnsi="Calibri"/>
          <w:color w:val="333A45"/>
          <w:sz w:val="21"/>
          <w:szCs w:val="21"/>
        </w:rPr>
        <w:t xml:space="preserve">, but a position that turned on the precise date of a version should be checked against an authoritative copy.</w:t>
      </w:r>
    </w:p>
    <w:p>
      <w:pPr>
        <w:spacing w:after="110"/>
      </w:pPr>
      <w:r>
        <w:rPr>
          <w:rFonts w:ascii="Calibri" w:cs="Calibri" w:eastAsia="Calibri" w:hAnsi="Calibri"/>
          <w:b/>
          <w:bCs/>
          <w:color w:val="333A45"/>
          <w:sz w:val="21"/>
          <w:szCs w:val="21"/>
        </w:rPr>
        <w:t xml:space="preserve">Three byte-identical copies of row 1 were supplied.</w:t>
      </w:r>
      <w:r>
        <w:rPr>
          <w:rFonts w:ascii="Calibri" w:cs="Calibri" w:eastAsia="Calibri" w:hAnsi="Calibri"/>
          <w:color w:val="333A45"/>
          <w:sz w:val="21"/>
          <w:szCs w:val="21"/>
        </w:rPr>
        <w:t xml:space="preserve"> The duplicates were verified identical by hash and discarded before use.</w:t>
      </w:r>
    </w:p>
    <w:p>
      <w:pPr>
        <w:keepNext/>
        <w:pBdr>
          <w:bottom w:val="single" w:color="9DB9E8" w:sz="4" w:space="3"/>
        </w:pBdr>
        <w:spacing w:after="100" w:before="260"/>
      </w:pPr>
      <w:r>
        <w:rPr>
          <w:rFonts w:ascii="Calibri" w:cs="Calibri" w:eastAsia="Calibri" w:hAnsi="Calibri"/>
          <w:b/>
          <w:bCs/>
          <w:color w:val="2E5AAC"/>
          <w:sz w:val="26"/>
          <w:szCs w:val="26"/>
        </w:rPr>
        <w:t xml:space="preserve">2. HELD BUT NOT CITED</w:t>
      </w:r>
    </w:p>
    <w:p>
      <w:pPr>
        <w:spacing w:after="110"/>
      </w:pPr>
      <w:r>
        <w:rPr>
          <w:rFonts w:ascii="Calibri" w:cs="Calibri" w:eastAsia="Calibri" w:hAnsi="Calibri"/>
          <w:color w:val="333A45"/>
          <w:sz w:val="21"/>
          <w:szCs w:val="21"/>
        </w:rPr>
        <w:t xml:space="preserve">Substantial parts of the standards were read and set aside. The instrument spans 15 domains, 77 controls and 191 specifications; this set draws on the Personal Data Protection domain in full and on individual specifications elsewhere. The remaining domains - data governance beyond the organisation control, catalogue and metadata, quality, operations beyond the retention specification, document and content management, architecture and modelling, reference and master data, business intelligence and analytics, data value realisation, open data, and freedom of information - are not cited because no AI clause in this set rests on them.</w:t>
      </w:r>
    </w:p>
    <w:p>
      <w:pPr>
        <w:spacing w:after="110"/>
      </w:pPr>
      <w:r>
        <w:rPr>
          <w:rFonts w:ascii="Calibri" w:cs="Calibri" w:eastAsia="Calibri" w:hAnsi="Calibri"/>
          <w:b/>
          <w:bCs/>
          <w:color w:val="333A45"/>
          <w:sz w:val="21"/>
          <w:szCs w:val="21"/>
        </w:rPr>
        <w:t xml:space="preserve">They are not irrelevant.</w:t>
      </w:r>
      <w:r>
        <w:rPr>
          <w:rFonts w:ascii="Calibri" w:cs="Calibri" w:eastAsia="Calibri" w:hAnsi="Calibri"/>
          <w:color w:val="333A45"/>
          <w:sz w:val="21"/>
          <w:szCs w:val="21"/>
        </w:rPr>
        <w:t xml:space="preserve"> An entity implementing this policy is separately assessed against all of them, and annex A11.7 requires a mapping from the AI controls here to the specifications they support.</w:t>
      </w:r>
    </w:p>
    <w:p>
      <w:pPr>
        <w:keepNext/>
        <w:pBdr>
          <w:bottom w:val="single" w:color="9DB9E8" w:sz="4" w:space="3"/>
        </w:pBdr>
        <w:spacing w:after="100" w:before="260"/>
      </w:pPr>
      <w:r>
        <w:rPr>
          <w:rFonts w:ascii="Calibri" w:cs="Calibri" w:eastAsia="Calibri" w:hAnsi="Calibri"/>
          <w:b/>
          <w:bCs/>
          <w:color w:val="2E5AAC"/>
          <w:sz w:val="26"/>
          <w:szCs w:val="26"/>
        </w:rPr>
        <w:t xml:space="preserve">3. NOT HELD - the gaps that shape what these documents can say</w:t>
      </w:r>
    </w:p>
    <w:p>
      <w:pPr>
        <w:keepNext/>
        <w:spacing w:after="80" w:before="200"/>
      </w:pPr>
      <w:r>
        <w:rPr>
          <w:rFonts w:ascii="Calibri" w:cs="Calibri" w:eastAsia="Calibri" w:hAnsi="Calibri"/>
          <w:b/>
          <w:bCs/>
          <w:color w:val="1F3864"/>
          <w:sz w:val="22"/>
          <w:szCs w:val="22"/>
        </w:rPr>
        <w:t xml:space="preserve">3.1 The personal data legislation</w:t>
      </w:r>
    </w:p>
    <w:p>
      <w:pPr>
        <w:spacing w:after="110"/>
      </w:pPr>
      <w:r>
        <w:rPr>
          <w:rFonts w:ascii="Calibri" w:cs="Calibri" w:eastAsia="Calibri" w:hAnsi="Calibri"/>
          <w:b/>
          <w:bCs/>
          <w:color w:val="333A45"/>
          <w:sz w:val="21"/>
          <w:szCs w:val="21"/>
        </w:rPr>
        <w:t xml:space="preserve">The Kingdom's personal data protection legislation and its implementing regulations are not held.</w:t>
      </w:r>
      <w:r>
        <w:rPr>
          <w:rFonts w:ascii="Calibri" w:cs="Calibri" w:eastAsia="Calibri" w:hAnsi="Calibri"/>
          <w:color w:val="333A45"/>
          <w:sz w:val="21"/>
          <w:szCs w:val="21"/>
        </w:rPr>
        <w:t xml:space="preserve"> This is why:</w:t>
      </w:r>
    </w:p>
    <w:p>
      <w:pPr>
        <w:pStyle w:val="ListParagraph"/>
        <w:numPr>
          <w:ilvl w:val="0"/>
          <w:numId w:val="2"/>
        </w:numPr>
        <w:spacing w:after="70"/>
      </w:pPr>
      <w:r>
        <w:rPr>
          <w:rFonts w:ascii="Calibri" w:cs="Calibri" w:eastAsia="Calibri" w:hAnsi="Calibri"/>
          <w:color w:val="333A45"/>
          <w:sz w:val="21"/>
          <w:szCs w:val="21"/>
        </w:rPr>
        <w:t xml:space="preserve">the set cannot state the lawful bases for processing, or define personal or sensitive personal data;</w:t>
      </w:r>
    </w:p>
    <w:p>
      <w:pPr>
        <w:pStyle w:val="ListParagraph"/>
        <w:numPr>
          <w:ilvl w:val="0"/>
          <w:numId w:val="2"/>
        </w:numPr>
        <w:spacing w:after="70"/>
      </w:pPr>
      <w:r>
        <w:rPr>
          <w:rFonts w:ascii="Calibri" w:cs="Calibri" w:eastAsia="Calibri" w:hAnsi="Calibri"/>
          <w:color w:val="333A45"/>
          <w:sz w:val="21"/>
          <w:szCs w:val="21"/>
        </w:rPr>
        <w:t xml:space="preserve">it cannot state the conditions for transferring personal data outside the Kingdom;</w:t>
      </w:r>
    </w:p>
    <w:p>
      <w:pPr>
        <w:pStyle w:val="ListParagraph"/>
        <w:numPr>
          <w:ilvl w:val="0"/>
          <w:numId w:val="2"/>
        </w:numPr>
        <w:spacing w:after="70"/>
      </w:pPr>
      <w:r>
        <w:rPr>
          <w:rFonts w:ascii="Calibri" w:cs="Calibri" w:eastAsia="Calibri" w:hAnsi="Calibri"/>
          <w:color w:val="333A45"/>
          <w:sz w:val="21"/>
          <w:szCs w:val="21"/>
        </w:rPr>
        <w:t xml:space="preserve">it cannot state any penalty for contravention;</w:t>
      </w:r>
    </w:p>
    <w:p>
      <w:pPr>
        <w:pStyle w:val="ListParagraph"/>
        <w:numPr>
          <w:ilvl w:val="0"/>
          <w:numId w:val="2"/>
        </w:numPr>
        <w:spacing w:after="70"/>
      </w:pPr>
      <w:r>
        <w:rPr>
          <w:rFonts w:ascii="Calibri" w:cs="Calibri" w:eastAsia="Calibri" w:hAnsi="Calibri"/>
          <w:b/>
          <w:bCs/>
          <w:color w:val="333A45"/>
          <w:sz w:val="21"/>
          <w:szCs w:val="21"/>
        </w:rPr>
        <w:t xml:space="preserve">it cannot serve a private organisation with no government data.</w:t>
      </w:r>
    </w:p>
    <w:p>
      <w:pPr>
        <w:keepNext/>
        <w:spacing w:after="80" w:before="200"/>
      </w:pPr>
      <w:r>
        <w:rPr>
          <w:rFonts w:ascii="Calibri" w:cs="Calibri" w:eastAsia="Calibri" w:hAnsi="Calibri"/>
          <w:b/>
          <w:bCs/>
          <w:color w:val="1F3864"/>
          <w:sz w:val="22"/>
          <w:szCs w:val="22"/>
        </w:rPr>
        <w:t xml:space="preserve">3.2 NDMO Personal Data Protection Regulations</w:t>
      </w:r>
    </w:p>
    <w:p>
      <w:pPr>
        <w:spacing w:after="110"/>
      </w:pPr>
      <w:r>
        <w:rPr>
          <w:rFonts w:ascii="Calibri" w:cs="Calibri" w:eastAsia="Calibri" w:hAnsi="Calibri"/>
          <w:b/>
          <w:bCs/>
          <w:color w:val="333A45"/>
          <w:sz w:val="21"/>
          <w:szCs w:val="21"/>
        </w:rPr>
        <w:t xml:space="preserve">Nine of the ten Personal Data Protection specifications direct the reader to these regulations "for more detailed requirements".</w:t>
      </w:r>
      <w:r>
        <w:rPr>
          <w:rFonts w:ascii="Calibri" w:cs="Calibri" w:eastAsia="Calibri" w:hAnsi="Calibri"/>
          <w:color w:val="333A45"/>
          <w:sz w:val="21"/>
          <w:szCs w:val="21"/>
        </w:rPr>
        <w:t xml:space="preserve"> They are not held. Consequently the set states what the standards themselves require - including the seven data subject rights, the 72-hour breach notification period and the 24-month register minimum, all of which </w:t>
      </w:r>
      <w:r>
        <w:rPr>
          <w:rFonts w:ascii="Calibri" w:cs="Calibri" w:eastAsia="Calibri" w:hAnsi="Calibri"/>
          <w:b/>
          <w:bCs/>
          <w:color w:val="333A45"/>
          <w:sz w:val="21"/>
          <w:szCs w:val="21"/>
        </w:rPr>
        <w:t xml:space="preserve">are</w:t>
      </w:r>
      <w:r>
        <w:rPr>
          <w:rFonts w:ascii="Calibri" w:cs="Calibri" w:eastAsia="Calibri" w:hAnsi="Calibri"/>
          <w:color w:val="333A45"/>
          <w:sz w:val="21"/>
          <w:szCs w:val="21"/>
        </w:rPr>
        <w:t xml:space="preserve"> in the standards - and stops where the standards point elsewhere.</w:t>
      </w:r>
    </w:p>
    <w:p>
      <w:pPr>
        <w:spacing w:after="110"/>
      </w:pPr>
      <w:r>
        <w:rPr>
          <w:rFonts w:ascii="Calibri" w:cs="Calibri" w:eastAsia="Calibri" w:hAnsi="Calibri"/>
          <w:color w:val="333A45"/>
          <w:sz w:val="21"/>
          <w:szCs w:val="21"/>
        </w:rPr>
        <w:t xml:space="preserve">Research note section 7 tabulates every such pointer.</w:t>
      </w:r>
    </w:p>
    <w:p>
      <w:pPr>
        <w:keepNext/>
        <w:spacing w:after="80" w:before="200"/>
      </w:pPr>
      <w:r>
        <w:rPr>
          <w:rFonts w:ascii="Calibri" w:cs="Calibri" w:eastAsia="Calibri" w:hAnsi="Calibri"/>
          <w:b/>
          <w:bCs/>
          <w:color w:val="1F3864"/>
          <w:sz w:val="22"/>
          <w:szCs w:val="22"/>
        </w:rPr>
        <w:t xml:space="preserve">3.3 Every data security specification</w:t>
      </w:r>
    </w:p>
    <w:p>
      <w:pPr>
        <w:spacing w:after="110"/>
      </w:pPr>
      <w:r>
        <w:rPr>
          <w:rFonts w:ascii="Calibri" w:cs="Calibri" w:eastAsia="Calibri" w:hAnsi="Calibri"/>
          <w:b/>
          <w:bCs/>
          <w:color w:val="333A45"/>
          <w:sz w:val="21"/>
          <w:szCs w:val="21"/>
        </w:rPr>
        <w:t xml:space="preserve">The Data Security and Protection domain contains eleven controls and no specifications.</w:t>
      </w:r>
      <w:r>
        <w:rPr>
          <w:rFonts w:ascii="Calibri" w:cs="Calibri" w:eastAsia="Calibri" w:hAnsi="Calibri"/>
          <w:color w:val="333A45"/>
          <w:sz w:val="21"/>
          <w:szCs w:val="21"/>
        </w:rPr>
        <w:t xml:space="preserve"> Both the specifications and the compliance assessment for that domain are the mandate of the National Cybersecurity Authority and are expressly excluded from the annual data management compliance assessment. One Data Classification specification (DC.2.1, Security Controls) likewise carries the priority "As specified by NCA" rather than a numbered priority.</w:t>
      </w:r>
    </w:p>
    <w:p>
      <w:pPr>
        <w:spacing w:after="110"/>
      </w:pPr>
      <w:r>
        <w:rPr>
          <w:rFonts w:ascii="Calibri" w:cs="Calibri" w:eastAsia="Calibri" w:hAnsi="Calibri"/>
          <w:b/>
          <w:bCs/>
          <w:color w:val="333A45"/>
          <w:sz w:val="21"/>
          <w:szCs w:val="21"/>
        </w:rPr>
        <w:t xml:space="preserve">No instrument of that authority is held.</w:t>
      </w:r>
      <w:r>
        <w:rPr>
          <w:rFonts w:ascii="Calibri" w:cs="Calibri" w:eastAsia="Calibri" w:hAnsi="Calibri"/>
          <w:color w:val="333A45"/>
          <w:sz w:val="21"/>
          <w:szCs w:val="21"/>
        </w:rPr>
        <w:t xml:space="preserve"> Policy Section 13 therefore states [ENTITY]'s own house standards, says explicitly that it is doing so, and directs the reader to that authority's requirements without reproducing, summarising or asserting them. Where they differ, they govern.</w:t>
      </w:r>
    </w:p>
    <w:p>
      <w:pPr>
        <w:keepNext/>
        <w:spacing w:after="80" w:before="200"/>
      </w:pPr>
      <w:r>
        <w:rPr>
          <w:rFonts w:ascii="Calibri" w:cs="Calibri" w:eastAsia="Calibri" w:hAnsi="Calibri"/>
          <w:b/>
          <w:bCs/>
          <w:color w:val="1F3864"/>
          <w:sz w:val="22"/>
          <w:szCs w:val="22"/>
        </w:rPr>
        <w:t xml:space="preserve">3.4 NDMO Organizational Manual</w:t>
      </w:r>
    </w:p>
    <w:p>
      <w:pPr>
        <w:spacing w:after="110"/>
      </w:pPr>
      <w:r>
        <w:rPr>
          <w:rFonts w:ascii="Calibri" w:cs="Calibri" w:eastAsia="Calibri" w:hAnsi="Calibri"/>
          <w:color w:val="333A45"/>
          <w:sz w:val="21"/>
          <w:szCs w:val="21"/>
        </w:rPr>
        <w:t xml:space="preserve">Every specification in the Data Management Organization control requires the appointed roles' responsibilities to be "aligned with the responsibilities defined in the 'Organizational Manual' published by NDMO". </w:t>
      </w:r>
      <w:r>
        <w:rPr>
          <w:rFonts w:ascii="Calibri" w:cs="Calibri" w:eastAsia="Calibri" w:hAnsi="Calibri"/>
          <w:b/>
          <w:bCs/>
          <w:color w:val="333A45"/>
          <w:sz w:val="21"/>
          <w:szCs w:val="21"/>
        </w:rPr>
        <w:t xml:space="preserve">The manual is not held.</w:t>
      </w:r>
      <w:r>
        <w:rPr>
          <w:rFonts w:ascii="Calibri" w:cs="Calibri" w:eastAsia="Calibri" w:hAnsi="Calibri"/>
          <w:color w:val="333A45"/>
          <w:sz w:val="21"/>
          <w:szCs w:val="21"/>
        </w:rPr>
        <w:t xml:space="preserve"> Annex A1.4 provides that where it differs from this annex, it governs, and A11.5 makes obtaining it a standing committee action.</w:t>
      </w:r>
    </w:p>
    <w:p>
      <w:pPr>
        <w:keepNext/>
        <w:spacing w:after="80" w:before="200"/>
      </w:pPr>
      <w:r>
        <w:rPr>
          <w:rFonts w:ascii="Calibri" w:cs="Calibri" w:eastAsia="Calibri" w:hAnsi="Calibri"/>
          <w:b/>
          <w:bCs/>
          <w:color w:val="1F3864"/>
          <w:sz w:val="22"/>
          <w:szCs w:val="22"/>
        </w:rPr>
        <w:t xml:space="preserve">3.5 Other</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is missing</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Consequence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Sector regulator instruments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 sector overlay exists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Employment law, anti-discrimination law, intellectual property law</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18 and 20 carry no citation and are house standards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Enforcement decisions and case law</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None relied on anywhere</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4. Sources appearing in the held instruments that were NOT used</w:t>
      </w:r>
    </w:p>
    <w:p>
      <w:pPr>
        <w:spacing w:after="110"/>
      </w:pPr>
      <w:r>
        <w:rPr>
          <w:rFonts w:ascii="Calibri" w:cs="Calibri" w:eastAsia="Calibri" w:hAnsi="Calibri"/>
          <w:color w:val="333A45"/>
          <w:sz w:val="21"/>
          <w:szCs w:val="21"/>
        </w:rPr>
        <w:t xml:space="preserve">The Personal Data Protection domain's own reference list names three documents: the NDMO Personal Data Protection Regulation, </w:t>
      </w:r>
      <w:r>
        <w:rPr>
          <w:rFonts w:ascii="Calibri" w:cs="Calibri" w:eastAsia="Calibri" w:hAnsi="Calibri"/>
          <w:b/>
          <w:bCs/>
          <w:color w:val="333A45"/>
          <w:sz w:val="21"/>
          <w:szCs w:val="21"/>
        </w:rPr>
        <w:t xml:space="preserve">the General Data Protection Regulation (2018)</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the California Consumer Privacy Act (2020)</w:t>
      </w:r>
      <w:r>
        <w:rPr>
          <w:rFonts w:ascii="Calibri" w:cs="Calibri" w:eastAsia="Calibri" w:hAnsi="Calibri"/>
          <w:color w:val="333A45"/>
          <w:sz w:val="21"/>
          <w:szCs w:val="21"/>
        </w:rPr>
        <w:t xml:space="preserve">. The Data Security domain's reference list names PCI Security Standards Council material and two ISO standards.</w:t>
      </w:r>
    </w:p>
    <w:p>
      <w:pPr>
        <w:spacing w:after="110"/>
      </w:pPr>
      <w:r>
        <w:rPr>
          <w:rFonts w:ascii="Calibri" w:cs="Calibri" w:eastAsia="Calibri" w:hAnsi="Calibri"/>
          <w:b/>
          <w:bCs/>
          <w:color w:val="333A45"/>
          <w:sz w:val="21"/>
          <w:szCs w:val="21"/>
        </w:rPr>
        <w:t xml:space="preserve">None of the foreign or industry instruments was consulted, cited, or relied on.</w:t>
      </w:r>
      <w:r>
        <w:rPr>
          <w:rFonts w:ascii="Calibri" w:cs="Calibri" w:eastAsia="Calibri" w:hAnsi="Calibri"/>
          <w:color w:val="333A45"/>
          <w:sz w:val="21"/>
          <w:szCs w:val="21"/>
        </w:rPr>
        <w:t xml:space="preserve"> Their appearance in a reference list inside a Saudi standard does not make them law in the Kingdom, and importing an obligation from them would have been exactly the error this set exists to avoid.</w:t>
      </w:r>
    </w:p>
    <w:p>
      <w:pPr>
        <w:spacing w:after="110"/>
      </w:pPr>
      <w:r>
        <w:rPr>
          <w:rFonts w:ascii="Calibri" w:cs="Calibri" w:eastAsia="Calibri" w:hAnsi="Calibri"/>
          <w:color w:val="333A45"/>
          <w:sz w:val="21"/>
          <w:szCs w:val="21"/>
        </w:rPr>
        <w:t xml:space="preserve">This is worth stating explicitly because the temptation is real: the seven data subject rights in the standards are recognisably the shape of a familiar list, and it would have been easy to fill in response periods, exemptions and verification requirements from that familiar source. </w:t>
      </w:r>
      <w:r>
        <w:rPr>
          <w:rFonts w:ascii="Calibri" w:cs="Calibri" w:eastAsia="Calibri" w:hAnsi="Calibri"/>
          <w:b/>
          <w:bCs/>
          <w:color w:val="333A45"/>
          <w:sz w:val="21"/>
          <w:szCs w:val="21"/>
        </w:rPr>
        <w:t xml:space="preserve">Nothing of the kind was done.</w:t>
      </w:r>
      <w:r>
        <w:rPr>
          <w:rFonts w:ascii="Calibri" w:cs="Calibri" w:eastAsia="Calibri" w:hAnsi="Calibri"/>
          <w:color w:val="333A45"/>
          <w:sz w:val="21"/>
          <w:szCs w:val="21"/>
        </w:rPr>
        <w:t xml:space="preserve"> The set states the seven rights because the standards state them, and says nothing about how they operate because the standards direct that question to regulations not held.</w:t>
      </w:r>
    </w:p>
    <w:p>
      <w:pPr>
        <w:keepNext/>
        <w:pBdr>
          <w:bottom w:val="single" w:color="9DB9E8" w:sz="4" w:space="3"/>
        </w:pBdr>
        <w:spacing w:after="100" w:before="260"/>
      </w:pPr>
      <w:r>
        <w:rPr>
          <w:rFonts w:ascii="Calibri" w:cs="Calibri" w:eastAsia="Calibri" w:hAnsi="Calibri"/>
          <w:b/>
          <w:bCs/>
          <w:color w:val="2E5AAC"/>
          <w:sz w:val="26"/>
          <w:szCs w:val="26"/>
        </w:rPr>
        <w:t xml:space="preserve">5. Documents supplied in the same batch and NOT used here</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Document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Jurisdiction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Personal Data Protection Act 2012 (2020 Revised Edition)</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Singapore</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d41a91872422d696</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Digital Personal Data Protection Rules, 2025 - G.S.R. 846(E)</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India</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eabc7d05e0131446</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Corrigenda - G.S.R. 892(E)</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India</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8f8d9526b5118018</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Data Protection Board composition - G.S.R. 845(E)</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India</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812fe0ce802fe78f</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DIFC Regulation 10 Accreditation and Certification Framework</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UAE (DIFC)</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1557019ef9551bbe</w:t>
            </w:r>
          </w:p>
        </w:tc>
      </w:tr>
    </w:tbl>
    <w:p>
      <w:pPr>
        <w:spacing w:after="120"/>
      </w:pPr>
    </w:p>
    <w:p>
      <w:pPr>
        <w:spacing w:after="110"/>
      </w:pPr>
      <w:r>
        <w:rPr>
          <w:rFonts w:ascii="Calibri" w:cs="Calibri" w:eastAsia="Calibri" w:hAnsi="Calibri"/>
          <w:b/>
          <w:bCs/>
          <w:color w:val="333A45"/>
          <w:sz w:val="21"/>
          <w:szCs w:val="21"/>
        </w:rPr>
        <w:t xml:space="preserve">No provision of any of these entered the Saudi set</w:t>
      </w:r>
      <w:r>
        <w:rPr>
          <w:rFonts w:ascii="Calibri" w:cs="Calibri" w:eastAsia="Calibri" w:hAnsi="Calibri"/>
          <w:color w:val="333A45"/>
          <w:sz w:val="21"/>
          <w:szCs w:val="21"/>
        </w:rPr>
        <w:t xml:space="preserve">, and no comparison to any other jurisdiction appears in any Saudi document.</w:t>
      </w:r>
    </w:p>
    <w:p>
      <w:pPr>
        <w:keepNext/>
        <w:pBdr>
          <w:bottom w:val="single" w:color="9DB9E8" w:sz="4" w:space="3"/>
        </w:pBdr>
        <w:spacing w:after="100" w:before="260"/>
      </w:pPr>
      <w:r>
        <w:rPr>
          <w:rFonts w:ascii="Calibri" w:cs="Calibri" w:eastAsia="Calibri" w:hAnsi="Calibri"/>
          <w:b/>
          <w:bCs/>
          <w:color w:val="2E5AAC"/>
          <w:sz w:val="26"/>
          <w:szCs w:val="26"/>
        </w:rPr>
        <w:t xml:space="preserve">6. Document architecture</w:t>
      </w:r>
    </w:p>
    <w:p>
      <w:pPr>
        <w:spacing w:after="110"/>
      </w:pPr>
      <w:r>
        <w:rPr>
          <w:rFonts w:ascii="Calibri" w:cs="Calibri" w:eastAsia="Calibri" w:hAnsi="Calibri"/>
          <w:color w:val="333A45"/>
          <w:sz w:val="21"/>
          <w:szCs w:val="21"/>
        </w:rPr>
        <w:t xml:space="preserve">[ENTITY] supplied an existing policy set as a structural template. Only its architecture was used: section order, tone, the convention that control and specification identifiers live in the research note rather than the policy body, and the practice of flagging house standards that exceed the instrument.</w:t>
      </w:r>
    </w:p>
    <w:p>
      <w:pPr>
        <w:spacing w:after="110"/>
      </w:pPr>
      <w:r>
        <w:rPr>
          <w:rFonts w:ascii="Calibri" w:cs="Calibri" w:eastAsia="Calibri" w:hAnsi="Calibri"/>
          <w:b/>
          <w:bCs/>
          <w:color w:val="333A45"/>
          <w:sz w:val="21"/>
          <w:szCs w:val="21"/>
        </w:rPr>
        <w:t xml:space="preserve">No legal source from that template was carried across.</w:t>
      </w:r>
      <w:r>
        <w:rPr>
          <w:rFonts w:ascii="Calibri" w:cs="Calibri" w:eastAsia="Calibri" w:hAnsi="Calibri"/>
          <w:color w:val="333A45"/>
          <w:sz w:val="21"/>
          <w:szCs w:val="21"/>
        </w:rPr>
        <w:t xml:space="preserve"> Every obligation in this set was derived independently from the instruments in section 1. Where the template carried a citation and no equivalent Saudi provision is held, the clause here is an unsourced house standard and is labelled as such in the policy text itself, not only in this register.</w:t>
      </w:r>
    </w:p>
    <w:p>
      <w:pPr>
        <w:keepNext/>
        <w:pBdr>
          <w:bottom w:val="single" w:color="9DB9E8" w:sz="4" w:space="3"/>
        </w:pBdr>
        <w:spacing w:after="100" w:before="260"/>
      </w:pPr>
      <w:r>
        <w:rPr>
          <w:rFonts w:ascii="Calibri" w:cs="Calibri" w:eastAsia="Calibri" w:hAnsi="Calibri"/>
          <w:b/>
          <w:bCs/>
          <w:color w:val="2E5AAC"/>
          <w:sz w:val="26"/>
          <w:szCs w:val="26"/>
        </w:rPr>
        <w:t xml:space="preserve">7. Documents PRODUCED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Document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Status</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Saudi_AI_Acceptable_Use_Policy.md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Published 2 Sep 2026</w:t>
            </w:r>
            <w:r>
              <w:rPr>
                <w:rFonts w:ascii="Calibri" w:cs="Calibri" w:eastAsia="Calibri" w:hAnsi="Calibri"/>
                <w:color w:val="333A45"/>
                <w:sz w:val="19"/>
                <w:szCs w:val="19"/>
              </w:rPr>
              <w:t xml:space="preserve"> - verified within stated scope (government data)</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Saudi_AI_Governance_Enterprise_Annex.md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Published 2 Sep 2026</w:t>
            </w:r>
            <w:r>
              <w:rPr>
                <w:rFonts w:ascii="Calibri" w:cs="Calibri" w:eastAsia="Calibri" w:hAnsi="Calibri"/>
                <w:color w:val="333A45"/>
                <w:sz w:val="19"/>
                <w:szCs w:val="19"/>
              </w:rPr>
              <w:t xml:space="preserve"> - verified within stated scope (government data)</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Saudi_policy_research_note.md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 + addendum</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Citations, findings, the map of the gaps; 2 Sep addendum on the Implementing Regulation</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Saudi_source_register.md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1.1</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This document</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8. Sources NOT used, as a matter of method</w:t>
      </w:r>
    </w:p>
    <w:p>
      <w:pPr>
        <w:pStyle w:val="ListParagraph"/>
        <w:numPr>
          <w:ilvl w:val="0"/>
          <w:numId w:val="2"/>
        </w:numPr>
        <w:spacing w:after="70"/>
      </w:pPr>
      <w:r>
        <w:rPr>
          <w:rFonts w:ascii="Calibri" w:cs="Calibri" w:eastAsia="Calibri" w:hAnsi="Calibri"/>
          <w:b/>
          <w:bCs/>
          <w:color w:val="333A45"/>
          <w:sz w:val="21"/>
          <w:szCs w:val="21"/>
        </w:rPr>
        <w:t xml:space="preserve">No web content entered any obligation.</w:t>
      </w:r>
      <w:r>
        <w:rPr>
          <w:rFonts w:ascii="Calibri" w:cs="Calibri" w:eastAsia="Calibri" w:hAnsi="Calibri"/>
          <w:color w:val="333A45"/>
          <w:sz w:val="21"/>
          <w:szCs w:val="21"/>
        </w:rPr>
        <w:t xml:space="preserve"> No page was consulted as authority for anything in this set.</w:t>
      </w:r>
    </w:p>
    <w:p>
      <w:pPr>
        <w:pStyle w:val="ListParagraph"/>
        <w:numPr>
          <w:ilvl w:val="0"/>
          <w:numId w:val="2"/>
        </w:numPr>
        <w:spacing w:after="70"/>
      </w:pPr>
      <w:r>
        <w:rPr>
          <w:rFonts w:ascii="Calibri" w:cs="Calibri" w:eastAsia="Calibri" w:hAnsi="Calibri"/>
          <w:b/>
          <w:bCs/>
          <w:color w:val="333A45"/>
          <w:sz w:val="21"/>
          <w:szCs w:val="21"/>
        </w:rPr>
        <w:t xml:space="preserve">No AI-generated legal content.</w:t>
      </w:r>
      <w:r>
        <w:rPr>
          <w:rFonts w:ascii="Calibri" w:cs="Calibri" w:eastAsia="Calibri" w:hAnsi="Calibri"/>
          <w:color w:val="333A45"/>
          <w:sz w:val="21"/>
          <w:szCs w:val="21"/>
        </w:rPr>
        <w:t xml:space="preserve"> Every provision cited resolves to text in the files at section 1.</w:t>
      </w:r>
    </w:p>
    <w:p>
      <w:pPr>
        <w:pStyle w:val="ListParagraph"/>
        <w:numPr>
          <w:ilvl w:val="0"/>
          <w:numId w:val="2"/>
        </w:numPr>
        <w:spacing w:after="70"/>
      </w:pPr>
      <w:r>
        <w:rPr>
          <w:rFonts w:ascii="Calibri" w:cs="Calibri" w:eastAsia="Calibri" w:hAnsi="Calibri"/>
          <w:b/>
          <w:bCs/>
          <w:color w:val="333A45"/>
          <w:sz w:val="21"/>
          <w:szCs w:val="21"/>
        </w:rPr>
        <w:t xml:space="preserve">No secondary commentary, law-firm briefing, or comparative summary.</w:t>
      </w:r>
    </w:p>
    <w:p>
      <w:pPr>
        <w:pStyle w:val="ListParagraph"/>
        <w:numPr>
          <w:ilvl w:val="0"/>
          <w:numId w:val="2"/>
        </w:numPr>
        <w:spacing w:after="70"/>
      </w:pPr>
      <w:r>
        <w:rPr>
          <w:rFonts w:ascii="Calibri" w:cs="Calibri" w:eastAsia="Calibri" w:hAnsi="Calibri"/>
          <w:b/>
          <w:bCs/>
          <w:color w:val="333A45"/>
          <w:sz w:val="21"/>
          <w:szCs w:val="21"/>
        </w:rPr>
        <w:t xml:space="preserve">No foreign instrument</w:t>
      </w:r>
      <w:r>
        <w:rPr>
          <w:rFonts w:ascii="Calibri" w:cs="Calibri" w:eastAsia="Calibri" w:hAnsi="Calibri"/>
          <w:color w:val="333A45"/>
          <w:sz w:val="21"/>
          <w:szCs w:val="21"/>
        </w:rPr>
        <w:t xml:space="preserve">, including the two named in the standards' own reference list - section 4.</w:t>
      </w:r>
    </w:p>
    <w:p>
      <w:pPr>
        <w:pStyle w:val="ListParagraph"/>
        <w:numPr>
          <w:ilvl w:val="0"/>
          <w:numId w:val="2"/>
        </w:numPr>
        <w:spacing w:after="70"/>
      </w:pPr>
      <w:r>
        <w:rPr>
          <w:rFonts w:ascii="Calibri" w:cs="Calibri" w:eastAsia="Calibri" w:hAnsi="Calibri"/>
          <w:b/>
          <w:bCs/>
          <w:color w:val="333A45"/>
          <w:sz w:val="21"/>
          <w:szCs w:val="21"/>
        </w:rPr>
        <w:t xml:space="preserve">No comparison to any other jurisdiction.</w:t>
      </w:r>
    </w:p>
    <w:p>
      <w:pPr>
        <w:keepNext/>
        <w:pBdr>
          <w:bottom w:val="single" w:color="9DB9E8" w:sz="4" w:space="3"/>
        </w:pBdr>
        <w:spacing w:after="100" w:before="260"/>
      </w:pPr>
      <w:r>
        <w:rPr>
          <w:rFonts w:ascii="Calibri" w:cs="Calibri" w:eastAsia="Calibri" w:hAnsi="Calibri"/>
          <w:b/>
          <w:bCs/>
          <w:color w:val="2E5AAC"/>
          <w:sz w:val="26"/>
          <w:szCs w:val="26"/>
        </w:rPr>
        <w:t xml:space="preserve">9. The verifications that mattered most</w:t>
      </w:r>
    </w:p>
    <w:p>
      <w:pPr>
        <w:keepNext/>
        <w:spacing w:after="80" w:before="200"/>
      </w:pPr>
      <w:r>
        <w:rPr>
          <w:rFonts w:ascii="Calibri" w:cs="Calibri" w:eastAsia="Calibri" w:hAnsi="Calibri"/>
          <w:b/>
          <w:bCs/>
          <w:color w:val="1F3864"/>
          <w:sz w:val="22"/>
          <w:szCs w:val="22"/>
        </w:rPr>
        <w:t xml:space="preserve">9.1 Scope, and the temptation to ignore it</w:t>
      </w:r>
    </w:p>
    <w:p>
      <w:pPr>
        <w:spacing w:after="110"/>
      </w:pPr>
      <w:r>
        <w:rPr>
          <w:rFonts w:ascii="Calibri" w:cs="Calibri" w:eastAsia="Calibri" w:hAnsi="Calibri"/>
          <w:color w:val="333A45"/>
          <w:sz w:val="21"/>
          <w:szCs w:val="21"/>
        </w:rPr>
        <w:t xml:space="preserve">The obvious document to write, asked for a Saudi AI policy, is a private-sector one. The three instruments supplied do not support it. Section 3 of the standards limits them to public entities and to business partners handling government data; the Classification Policy applies to data "received, produced, or managed by public entities"; the Data Sharing Policy governs "government entity data".</w:t>
      </w:r>
    </w:p>
    <w:p>
      <w:pPr>
        <w:spacing w:after="110"/>
      </w:pPr>
      <w:r>
        <w:rPr>
          <w:rFonts w:ascii="Calibri" w:cs="Calibri" w:eastAsia="Calibri" w:hAnsi="Calibri"/>
          <w:b/>
          <w:bCs/>
          <w:color w:val="333A45"/>
          <w:sz w:val="21"/>
          <w:szCs w:val="21"/>
        </w:rPr>
        <w:t xml:space="preserve">A set written past that limit would have been wrong in a way that is very hard to detect from the inside</w:t>
      </w:r>
      <w:r>
        <w:rPr>
          <w:rFonts w:ascii="Calibri" w:cs="Calibri" w:eastAsia="Calibri" w:hAnsi="Calibri"/>
          <w:color w:val="333A45"/>
          <w:sz w:val="21"/>
          <w:szCs w:val="21"/>
        </w:rPr>
        <w:t xml:space="preserve"> - it would have looked like a competent privacy policy, cited real Saudi instruments, and applied to nobody it claimed to apply to. The scope statement is therefore the first thing in the policy, not a caveat at the end.</w:t>
      </w:r>
    </w:p>
    <w:p>
      <w:pPr>
        <w:keepNext/>
        <w:spacing w:after="80" w:before="200"/>
      </w:pPr>
      <w:r>
        <w:rPr>
          <w:rFonts w:ascii="Calibri" w:cs="Calibri" w:eastAsia="Calibri" w:hAnsi="Calibri"/>
          <w:b/>
          <w:bCs/>
          <w:color w:val="1F3864"/>
          <w:sz w:val="22"/>
          <w:szCs w:val="22"/>
        </w:rPr>
        <w:t xml:space="preserve">9.2 An arithmetic discrepancy that turned out not to be one</w:t>
      </w:r>
    </w:p>
    <w:p>
      <w:pPr>
        <w:spacing w:after="110"/>
      </w:pPr>
      <w:r>
        <w:rPr>
          <w:rFonts w:ascii="Calibri" w:cs="Calibri" w:eastAsia="Calibri" w:hAnsi="Calibri"/>
          <w:color w:val="333A45"/>
          <w:sz w:val="21"/>
          <w:szCs w:val="21"/>
        </w:rPr>
        <w:t xml:space="preserve">The standards state 77 controls and 191 specifications, with priority counts of 76 P1, 98 P2 and 16 P3 across the fifteen domains. </w:t>
      </w:r>
      <w:r>
        <w:rPr>
          <w:rFonts w:ascii="Calibri" w:cs="Calibri" w:eastAsia="Calibri" w:hAnsi="Calibri"/>
          <w:b/>
          <w:bCs/>
          <w:color w:val="333A45"/>
          <w:sz w:val="21"/>
          <w:szCs w:val="21"/>
        </w:rPr>
        <w:t xml:space="preserve">Those priorities total 190, not 191</w:t>
      </w:r>
      <w:r>
        <w:rPr>
          <w:rFonts w:ascii="Calibri" w:cs="Calibri" w:eastAsia="Calibri" w:hAnsi="Calibri"/>
          <w:color w:val="333A45"/>
          <w:sz w:val="21"/>
          <w:szCs w:val="21"/>
        </w:rPr>
        <w:t xml:space="preserve">, and the shortfall localises to the Data Classification domain, whose row reads 10 specifications against 5 + 4 + 0 = 9.</w:t>
      </w:r>
    </w:p>
    <w:p>
      <w:pPr>
        <w:spacing w:after="110"/>
      </w:pPr>
      <w:r>
        <w:rPr>
          <w:rFonts w:ascii="Calibri" w:cs="Calibri" w:eastAsia="Calibri" w:hAnsi="Calibri"/>
          <w:color w:val="333A45"/>
          <w:sz w:val="21"/>
          <w:szCs w:val="21"/>
        </w:rPr>
        <w:t xml:space="preserve">Reading the domain body found ten specification identifiers (DC.1.1 through DC.5.1) and nine priority tokens. </w:t>
      </w:r>
      <w:r>
        <w:rPr>
          <w:rFonts w:ascii="Calibri" w:cs="Calibri" w:eastAsia="Calibri" w:hAnsi="Calibri"/>
          <w:b/>
          <w:bCs/>
          <w:color w:val="333A45"/>
          <w:sz w:val="21"/>
          <w:szCs w:val="21"/>
        </w:rPr>
        <w:t xml:space="preserve">The tenth, DC.2.1 (Security Controls), carries the priority "As specified by NCA".</w:t>
      </w:r>
      <w:r>
        <w:rPr>
          <w:rFonts w:ascii="Calibri" w:cs="Calibri" w:eastAsia="Calibri" w:hAnsi="Calibri"/>
          <w:color w:val="333A45"/>
          <w:sz w:val="21"/>
          <w:szCs w:val="21"/>
        </w:rPr>
        <w:t xml:space="preserve"> It is a deliberate carve-out consistent with the security domain being deferred to that authority throughout - not a table error and not an extraction artefact.</w:t>
      </w:r>
    </w:p>
    <w:p>
      <w:pPr>
        <w:spacing w:after="110"/>
      </w:pPr>
      <w:r>
        <w:rPr>
          <w:rFonts w:ascii="Calibri" w:cs="Calibri" w:eastAsia="Calibri" w:hAnsi="Calibri"/>
          <w:b/>
          <w:bCs/>
          <w:color w:val="333A45"/>
          <w:sz w:val="21"/>
          <w:szCs w:val="21"/>
        </w:rPr>
        <w:t xml:space="preserve">This was nearly recorded as a defect in the source.</w:t>
      </w:r>
      <w:r>
        <w:rPr>
          <w:rFonts w:ascii="Calibri" w:cs="Calibri" w:eastAsia="Calibri" w:hAnsi="Calibri"/>
          <w:color w:val="333A45"/>
          <w:sz w:val="21"/>
          <w:szCs w:val="21"/>
        </w:rPr>
        <w:t xml:space="preserve"> It is recorded here as what it actually is, and it reinforces the structural point at 3.3: data security is carved out of these standards wherever it appears, not only in its own domain.</w:t>
      </w:r>
    </w:p>
    <w:p>
      <w:pPr>
        <w:keepNext/>
        <w:spacing w:after="80" w:before="200"/>
      </w:pPr>
      <w:r>
        <w:rPr>
          <w:rFonts w:ascii="Calibri" w:cs="Calibri" w:eastAsia="Calibri" w:hAnsi="Calibri"/>
          <w:b/>
          <w:bCs/>
          <w:color w:val="1F3864"/>
          <w:sz w:val="22"/>
          <w:szCs w:val="22"/>
        </w:rPr>
        <w:t xml:space="preserve">9.3 A citation that could not be made safely</w:t>
      </w:r>
    </w:p>
    <w:p>
      <w:pPr>
        <w:spacing w:after="110"/>
      </w:pPr>
      <w:r>
        <w:rPr>
          <w:rFonts w:ascii="Calibri" w:cs="Calibri" w:eastAsia="Calibri" w:hAnsi="Calibri"/>
          <w:color w:val="333A45"/>
          <w:sz w:val="21"/>
          <w:szCs w:val="21"/>
        </w:rPr>
        <w:t xml:space="preserve">The Data Management Organization control appoints the Chief Data Officer, Compliance Officer, Personal Data Protection Officer, Business Data Executives, Business Data Stewards, IT Data Stewards and others, each at priority P1 and each aligned to the Organizational Manual. </w:t>
      </w:r>
      <w:r>
        <w:rPr>
          <w:rFonts w:ascii="Calibri" w:cs="Calibri" w:eastAsia="Calibri" w:hAnsi="Calibri"/>
          <w:b/>
          <w:bCs/>
          <w:color w:val="333A45"/>
          <w:sz w:val="21"/>
          <w:szCs w:val="21"/>
        </w:rPr>
        <w:t xml:space="preserve">The roles, their stated purposes and their priority are read directly and are not in doubt.</w:t>
      </w:r>
    </w:p>
    <w:p>
      <w:pPr>
        <w:spacing w:after="110"/>
      </w:pPr>
      <w:r>
        <w:rPr>
          <w:rFonts w:ascii="Calibri" w:cs="Calibri" w:eastAsia="Calibri" w:hAnsi="Calibri"/>
          <w:color w:val="333A45"/>
          <w:sz w:val="21"/>
          <w:szCs w:val="21"/>
        </w:rPr>
        <w:t xml:space="preserve">The specification numbers are another matter. The PDF renders that control as a multi-column table, and text extraction batches the identifiers separately from the role descriptions, so an individual DG.4.x number cannot be matched to an individual role with confidence. </w:t>
      </w:r>
      <w:r>
        <w:rPr>
          <w:rFonts w:ascii="Calibri" w:cs="Calibri" w:eastAsia="Calibri" w:hAnsi="Calibri"/>
          <w:b/>
          <w:bCs/>
          <w:color w:val="333A45"/>
          <w:sz w:val="21"/>
          <w:szCs w:val="21"/>
        </w:rPr>
        <w:t xml:space="preserve">The research note therefore cites the control and not the specification numbers</w:t>
      </w:r>
      <w:r>
        <w:rPr>
          <w:rFonts w:ascii="Calibri" w:cs="Calibri" w:eastAsia="Calibri" w:hAnsi="Calibri"/>
          <w:color w:val="333A45"/>
          <w:sz w:val="21"/>
          <w:szCs w:val="21"/>
        </w:rPr>
        <w:t xml:space="preserve">, and says why.</w:t>
      </w:r>
    </w:p>
    <w:p>
      <w:pPr>
        <w:spacing w:after="110"/>
      </w:pPr>
      <w:r>
        <w:rPr>
          <w:rFonts w:ascii="Calibri" w:cs="Calibri" w:eastAsia="Calibri" w:hAnsi="Calibri"/>
          <w:color w:val="333A45"/>
          <w:sz w:val="21"/>
          <w:szCs w:val="21"/>
        </w:rPr>
        <w:t xml:space="preserve">The alternative - assigning plausible numbers from the order in which fragments happened to appear - would have produced citations that looked authoritative and could not be checked. That is the failure mode this project exists to prevent, and the honest citation is the less precise one.</w:t>
      </w:r>
    </w:p>
    <w:p>
      <w:pPr>
        <w:keepNext/>
        <w:spacing w:after="80" w:before="200"/>
      </w:pPr>
      <w:r>
        <w:rPr>
          <w:rFonts w:ascii="Calibri" w:cs="Calibri" w:eastAsia="Calibri" w:hAnsi="Calibri"/>
          <w:b/>
          <w:bCs/>
          <w:color w:val="1F3864"/>
          <w:sz w:val="22"/>
          <w:szCs w:val="22"/>
        </w:rPr>
        <w:t xml:space="preserve">9.4 The three routes</w:t>
      </w:r>
    </w:p>
    <w:p>
      <w:pPr>
        <w:spacing w:after="110"/>
      </w:pPr>
      <w:r>
        <w:rPr>
          <w:rFonts w:ascii="Calibri" w:cs="Calibri" w:eastAsia="Calibri" w:hAnsi="Calibri"/>
          <w:color w:val="333A45"/>
          <w:sz w:val="21"/>
          <w:szCs w:val="21"/>
        </w:rPr>
        <w:t xml:space="preserve">Since the instruments contain no AI provision at all, every AI obligation in the policy had to be traced to an existing one. There turned out to be exactly three that carry real weight:</w:t>
      </w:r>
    </w:p>
    <w:p>
      <w:pPr>
        <w:pStyle w:val="ListParagraph"/>
        <w:numPr>
          <w:ilvl w:val="0"/>
          <w:numId w:val="2"/>
        </w:numPr>
        <w:spacing w:after="70"/>
      </w:pPr>
      <w:r>
        <w:rPr>
          <w:rFonts w:ascii="Calibri" w:cs="Calibri" w:eastAsia="Calibri" w:hAnsi="Calibri"/>
          <w:b/>
          <w:bCs/>
          <w:color w:val="333A45"/>
          <w:sz w:val="21"/>
          <w:szCs w:val="21"/>
        </w:rPr>
        <w:t xml:space="preserve">Classification</w:t>
      </w:r>
      <w:r>
        <w:rPr>
          <w:rFonts w:ascii="Calibri" w:cs="Calibri" w:eastAsia="Calibri" w:hAnsi="Calibri"/>
          <w:color w:val="333A45"/>
          <w:sz w:val="21"/>
          <w:szCs w:val="21"/>
        </w:rPr>
        <w:t xml:space="preserve">, where the "highest level of protection" principle governs integrated datasets - which is what a corpus, an index, a fine-tuning set, or a multi-document prompt is;</w:t>
      </w:r>
    </w:p>
    <w:p>
      <w:pPr>
        <w:pStyle w:val="ListParagraph"/>
        <w:numPr>
          <w:ilvl w:val="0"/>
          <w:numId w:val="2"/>
        </w:numPr>
        <w:spacing w:after="70"/>
      </w:pPr>
      <w:r>
        <w:rPr>
          <w:rFonts w:ascii="Calibri" w:cs="Calibri" w:eastAsia="Calibri" w:hAnsi="Calibri"/>
          <w:b/>
          <w:bCs/>
          <w:color w:val="333A45"/>
          <w:sz w:val="21"/>
          <w:szCs w:val="21"/>
        </w:rPr>
        <w:t xml:space="preserve">The yearly personal data risk assessment</w:t>
      </w:r>
      <w:r>
        <w:rPr>
          <w:rFonts w:ascii="Calibri" w:cs="Calibri" w:eastAsia="Calibri" w:hAnsi="Calibri"/>
          <w:color w:val="333A45"/>
          <w:sz w:val="21"/>
          <w:szCs w:val="21"/>
        </w:rPr>
        <w:t xml:space="preserve">, which reaches information systems "whether automated or manual" and so carries AI systems in without any AI-specific language;</w:t>
      </w:r>
    </w:p>
    <w:p>
      <w:pPr>
        <w:pStyle w:val="ListParagraph"/>
        <w:numPr>
          <w:ilvl w:val="0"/>
          <w:numId w:val="2"/>
        </w:numPr>
        <w:spacing w:after="70"/>
      </w:pPr>
      <w:r>
        <w:rPr>
          <w:rFonts w:ascii="Calibri" w:cs="Calibri" w:eastAsia="Calibri" w:hAnsi="Calibri"/>
          <w:b/>
          <w:bCs/>
          <w:color w:val="333A45"/>
          <w:sz w:val="21"/>
          <w:szCs w:val="21"/>
        </w:rPr>
        <w:t xml:space="preserve">Data sharing</w:t>
      </w:r>
      <w:r>
        <w:rPr>
          <w:rFonts w:ascii="Calibri" w:cs="Calibri" w:eastAsia="Calibri" w:hAnsi="Calibri"/>
          <w:color w:val="333A45"/>
          <w:sz w:val="21"/>
          <w:szCs w:val="21"/>
        </w:rPr>
        <w:t xml:space="preserve">, because a commercial AI service receiving government data is a non-government data requester, and the agreement contents the policy prescribes map almost exactly onto what an AI vendor contract has to settle - purpose limitation, territorial limits, third-party benefit, and a destruction mechanism.</w:t>
      </w:r>
    </w:p>
    <w:p>
      <w:pPr>
        <w:spacing w:after="110"/>
      </w:pPr>
      <w:r>
        <w:rPr>
          <w:rFonts w:ascii="Calibri" w:cs="Calibri" w:eastAsia="Calibri" w:hAnsi="Calibri"/>
          <w:color w:val="333A45"/>
          <w:sz w:val="21"/>
          <w:szCs w:val="21"/>
        </w:rPr>
        <w:t xml:space="preserve">Everything else in the policy that goes beyond those three is a house standard and is labelled as one where it appears.</w:t>
      </w:r>
    </w:p>
    <w:p>
      <w:pPr>
        <w:keepNext/>
        <w:pBdr>
          <w:bottom w:val="single" w:color="9DB9E8" w:sz="4" w:space="3"/>
        </w:pBdr>
        <w:spacing w:after="100" w:before="260"/>
      </w:pPr>
      <w:r>
        <w:rPr>
          <w:rFonts w:ascii="Calibri" w:cs="Calibri" w:eastAsia="Calibri" w:hAnsi="Calibri"/>
          <w:b/>
          <w:bCs/>
          <w:color w:val="2E5AAC"/>
          <w:sz w:val="26"/>
          <w:szCs w:val="26"/>
        </w:rPr>
        <w:t xml:space="preserve">10. Standing caveat</w:t>
      </w:r>
    </w:p>
    <w:p>
      <w:pPr>
        <w:spacing w:after="110"/>
      </w:pPr>
      <w:r>
        <w:rPr>
          <w:rFonts w:ascii="Calibri" w:cs="Calibri" w:eastAsia="Calibri" w:hAnsi="Calibri"/>
          <w:color w:val="333A45"/>
          <w:sz w:val="21"/>
          <w:szCs w:val="21"/>
        </w:rPr>
        <w:t xml:space="preserve">No provision cited in this set has been reviewed by qualified counsel. These documents are educational templates, apply to government data only, and do not constitute legal advice.</w:t>
      </w:r>
    </w:p>
    <w:p>
      <w:pPr>
        <w:keepNext/>
        <w:pBdr>
          <w:bottom w:val="single" w:color="9DB9E8" w:sz="4" w:space="3"/>
        </w:pBdr>
        <w:spacing w:after="100" w:before="260"/>
      </w:pPr>
      <w:r>
        <w:rPr>
          <w:rFonts w:ascii="Calibri" w:cs="Calibri" w:eastAsia="Calibri" w:hAnsi="Calibri"/>
          <w:b/>
          <w:bCs/>
          <w:color w:val="2E5AAC"/>
          <w:sz w:val="26"/>
          <w:szCs w:val="26"/>
        </w:rPr>
        <w:t xml:space="preserve">11. ADDENDUM 2 September 2026 - the personal-data corpus arrives</w:t>
      </w:r>
    </w:p>
    <w:p>
      <w:pPr>
        <w:spacing w:after="110"/>
      </w:pPr>
      <w:r>
        <w:rPr>
          <w:rFonts w:ascii="Calibri" w:cs="Calibri" w:eastAsia="Calibri" w:hAnsi="Calibri"/>
          <w:color w:val="333A45"/>
          <w:sz w:val="21"/>
          <w:szCs w:val="21"/>
        </w:rPr>
        <w:t xml:space="preserve">Three SDAIA documents were supplied on 2 September 2026 and are now HELD. Hashes as supplied, truncated to 16 characters.</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1800"/>
        <w:gridCol w:w="1800"/>
        <w:gridCol w:w="1800"/>
        <w:gridCol w:w="1800"/>
        <w:gridCol w:w="1800"/>
      </w:tblGrid>
      <w:tr>
        <w:trPr>
          <w:tblHeader/>
        </w:trPr>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 and date</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Tier</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Implementing Regulation of the Personal Data Protection Law</w:t>
            </w:r>
            <w:r>
              <w:rPr>
                <w:rFonts w:ascii="Calibri" w:cs="Calibri" w:eastAsia="Calibri" w:hAnsi="Calibri"/>
                <w:color w:val="333A45"/>
                <w:sz w:val="19"/>
                <w:szCs w:val="19"/>
              </w:rPr>
              <w:t xml:space="preserve"> - English</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No version, issue date, or issuing decision number appears anywhere in the file</w:t>
            </w:r>
            <w:r>
              <w:rPr>
                <w:rFonts w:ascii="Calibri" w:cs="Calibri" w:eastAsia="Calibri" w:hAnsi="Calibri"/>
                <w:color w:val="333A45"/>
                <w:sz w:val="19"/>
                <w:szCs w:val="19"/>
              </w:rPr>
              <w:t xml:space="preserve"> (see finding below). 27 pp, 38 articles. SDAIA</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translation</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7607ea92027e1f10</w:t>
            </w:r>
          </w:p>
        </w:tc>
      </w:tr>
      <w:tr>
        <w:trPr>
          <w:tblHeader w:val="false"/>
        </w:trPr>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Generative AI Guidelines for the Public</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2025. 22 pp. SDAIA</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guidance</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c4a2451c19eb3e78</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Generative AI Guidelines for Government</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2025. 30 pp, incl. operational appendix and checklist. SDAIA</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guidance</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fb2427075540afee</w:t>
            </w:r>
          </w:p>
        </w:tc>
      </w:tr>
    </w:tbl>
    <w:p>
      <w:pPr>
        <w:spacing w:after="120"/>
      </w:pPr>
    </w:p>
    <w:p>
      <w:pPr>
        <w:spacing w:after="110"/>
      </w:pPr>
      <w:r>
        <w:rPr>
          <w:rFonts w:ascii="Calibri" w:cs="Calibri" w:eastAsia="Calibri" w:hAnsi="Calibri"/>
          <w:b/>
          <w:bCs/>
          <w:color w:val="333A45"/>
          <w:sz w:val="21"/>
          <w:szCs w:val="21"/>
        </w:rPr>
        <w:t xml:space="preserve">Finding - the Implementing Regulation file carries no translation disclaimer, no version marker, and no dates.</w:t>
      </w:r>
      <w:r>
        <w:rPr>
          <w:rFonts w:ascii="Calibri" w:cs="Calibri" w:eastAsia="Calibri" w:hAnsi="Calibri"/>
          <w:color w:val="333A45"/>
          <w:sz w:val="21"/>
          <w:szCs w:val="21"/>
        </w:rPr>
        <w:t xml:space="preserve"> The file was checked cover to cover, text and page images. It does not state the decision that issued it, the date it was issued, whether it reflects any amendment, or that the Arabic text prevails. The register therefore records the Arabic-prevails position as a matter of how Saudi law is enacted - the model proven on Bahrain Order 43 - not as a quotation from this file. Two consequences:</w:t>
      </w:r>
    </w:p>
    <w:p>
      <w:pPr>
        <w:pStyle w:val="ListParagraph"/>
        <w:numPr>
          <w:ilvl w:val="0"/>
          <w:numId w:val="2"/>
        </w:numPr>
        <w:spacing w:after="70"/>
      </w:pPr>
      <w:r>
        <w:rPr>
          <w:rFonts w:ascii="Calibri" w:cs="Calibri" w:eastAsia="Calibri" w:hAnsi="Calibri"/>
          <w:b/>
          <w:bCs/>
          <w:color w:val="333A45"/>
          <w:sz w:val="21"/>
          <w:szCs w:val="21"/>
        </w:rPr>
        <w:t xml:space="preserve">Tier is translation, and the enacted Arabic is NOT held.</w:t>
      </w:r>
      <w:r>
        <w:rPr>
          <w:rFonts w:ascii="Calibri" w:cs="Calibri" w:eastAsia="Calibri" w:hAnsi="Calibri"/>
          <w:color w:val="333A45"/>
          <w:sz w:val="21"/>
          <w:szCs w:val="21"/>
        </w:rPr>
        <w:t xml:space="preserve"> No divergence finding is possible until it is. On the Bahrain evidence (five divergences in one order's translation, none in another's), neither fidelity nor divergence should be assumed.</w:t>
      </w:r>
    </w:p>
    <w:p>
      <w:pPr>
        <w:pStyle w:val="ListParagraph"/>
        <w:numPr>
          <w:ilvl w:val="0"/>
          <w:numId w:val="2"/>
        </w:numPr>
        <w:spacing w:after="70"/>
      </w:pPr>
      <w:r>
        <w:rPr>
          <w:rFonts w:ascii="Calibri" w:cs="Calibri" w:eastAsia="Calibri" w:hAnsi="Calibri"/>
          <w:b/>
          <w:bCs/>
          <w:color w:val="333A45"/>
          <w:sz w:val="21"/>
          <w:szCs w:val="21"/>
        </w:rPr>
        <w:t xml:space="preserve">Currency is unverified.</w:t>
      </w:r>
      <w:r>
        <w:rPr>
          <w:rFonts w:ascii="Calibri" w:cs="Calibri" w:eastAsia="Calibri" w:hAnsi="Calibri"/>
          <w:color w:val="333A45"/>
          <w:sz w:val="21"/>
          <w:szCs w:val="21"/>
        </w:rPr>
        <w:t xml:space="preserve"> A position that turns on precise wording must first establish that this text reflects the Regulation as amended.</w:t>
      </w:r>
    </w:p>
    <w:p>
      <w:pPr>
        <w:spacing w:after="110"/>
      </w:pPr>
      <w:r>
        <w:rPr>
          <w:rFonts w:ascii="Calibri" w:cs="Calibri" w:eastAsia="Calibri" w:hAnsi="Calibri"/>
          <w:b/>
          <w:bCs/>
          <w:color w:val="333A45"/>
          <w:sz w:val="21"/>
          <w:szCs w:val="21"/>
        </w:rPr>
        <w:t xml:space="preserve">Still NOT held, and therefore still not asserted: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is missing</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Consequence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Personal Data Protection Law itself</w:t>
            </w:r>
            <w:r>
              <w:rPr>
                <w:rFonts w:ascii="Calibri" w:cs="Calibri" w:eastAsia="Calibri" w:hAnsi="Calibri"/>
                <w:color w:val="333A45"/>
                <w:sz w:val="19"/>
                <w:szCs w:val="19"/>
              </w:rPr>
              <w:t xml:space="preserve"> (Royal Decree M/19 of 1443H as amended by M/148 of 5/9/1444H)</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Regulation is subordinate to it and cites it throughout. Lawful bases live in the Law; penalties live in the Law; the Regulation's own commencement is defined by reference to the Law's enforcement (Art 38). </w:t>
            </w:r>
            <w:r>
              <w:rPr>
                <w:rFonts w:ascii="Calibri" w:cs="Calibri" w:eastAsia="Calibri" w:hAnsi="Calibri"/>
                <w:b/>
                <w:bCs/>
                <w:color w:val="333A45"/>
                <w:sz w:val="19"/>
                <w:szCs w:val="19"/>
              </w:rPr>
              <w:t xml:space="preserve">The private-sector extension cannot be written from the Regulation alone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Personal Data Transfer Regulation</w:t>
            </w:r>
            <w:r>
              <w:rPr>
                <w:rFonts w:ascii="Calibri" w:cs="Calibri" w:eastAsia="Calibri" w:hAnsi="Calibri"/>
                <w:color w:val="333A45"/>
                <w:sz w:val="19"/>
                <w:szCs w:val="19"/>
              </w:rPr>
              <w:t xml:space="preserve"> (a separate SDAIA instrument)</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Implementing Regulation contains no transfer-conditions article; Art 33(5)(g) presupposes transfers are governed elsewhere. Cross-border conditions remain unstated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enacted Arabic of the Implementing Regulation</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Divergence verification blocked (finding above)</w:t>
            </w:r>
          </w:p>
        </w:tc>
      </w:tr>
    </w:tbl>
    <w:p>
      <w:pPr>
        <w:spacing w:after="120"/>
      </w:pPr>
    </w:p>
    <w:p>
      <w:pPr>
        <w:spacing w:after="110"/>
      </w:pPr>
      <w:r>
        <w:rPr>
          <w:rFonts w:ascii="Calibri" w:cs="Calibri" w:eastAsia="Calibri" w:hAnsi="Calibri"/>
          <w:color w:val="333A45"/>
          <w:sz w:val="21"/>
          <w:szCs w:val="21"/>
        </w:rPr>
        <w:t xml:space="preserve">Rows 5 and 6 are </w:t>
      </w:r>
      <w:r>
        <w:rPr>
          <w:rFonts w:ascii="Calibri" w:cs="Calibri" w:eastAsia="Calibri" w:hAnsi="Calibri"/>
          <w:b/>
          <w:bCs/>
          <w:color w:val="333A45"/>
          <w:sz w:val="21"/>
          <w:szCs w:val="21"/>
        </w:rPr>
        <w:t xml:space="preserve">guidance tier</w:t>
      </w:r>
      <w:r>
        <w:rPr>
          <w:rFonts w:ascii="Calibri" w:cs="Calibri" w:eastAsia="Calibri" w:hAnsi="Calibri"/>
          <w:color w:val="333A45"/>
          <w:sz w:val="21"/>
          <w:szCs w:val="21"/>
        </w:rPr>
        <w:t xml:space="preserve">: SDAIA guidance documents, not enacted instruments. They can ground good-practice controls and the government-entity GenAI overlay; they cannot ground a statement of legal obligation. Nothing in the policy set yet cites them; they are recorded here on receipt so that the GenAI overlay, when written, starts from declared sources.</w:t>
      </w:r>
    </w:p>
    <w:p>
      <w:pPr>
        <w:spacing w:after="110"/>
      </w:pPr>
      <w:r>
        <w:rPr>
          <w:rFonts w:ascii="Calibri" w:cs="Calibri" w:eastAsia="Calibri" w:hAnsi="Calibri"/>
          <w:color w:val="333A45"/>
          <w:sz w:val="21"/>
          <w:szCs w:val="21"/>
        </w:rPr>
        <w:t xml:space="preserve">Gap 3.1 is therefore </w:t>
      </w:r>
      <w:r>
        <w:rPr>
          <w:rFonts w:ascii="Calibri" w:cs="Calibri" w:eastAsia="Calibri" w:hAnsi="Calibri"/>
          <w:b/>
          <w:bCs/>
          <w:color w:val="333A45"/>
          <w:sz w:val="21"/>
          <w:szCs w:val="21"/>
        </w:rPr>
        <w:t xml:space="preserve">narrowed, not closed</w:t>
      </w:r>
      <w:r>
        <w:rPr>
          <w:rFonts w:ascii="Calibri" w:cs="Calibri" w:eastAsia="Calibri" w:hAnsi="Calibri"/>
          <w:color w:val="333A45"/>
          <w:sz w:val="21"/>
          <w:szCs w:val="21"/>
        </w:rPr>
        <w:t xml:space="preserve">: the Regulation is held and has been read in full; the Law and the Transfer Regulation remain the gate to the private-sector set. The research note's 2 September addendum records what the Regulation independently corroborates in the existing set and the AI-specific hooks it adds for the extension.</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Saudi AI policy set - source register - v1.0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Register - Saudi Arabia AI Policy Set</dc:title>
  <dc:creator>Narendra Karki</dc:creator>
  <cp:lastModifiedBy>Narendra Karki</cp:lastModifiedBy>
  <cp:revision>1</cp:revision>
  <dcterms:created xsi:type="dcterms:W3CDTF">2026-09-02T04:12:22.404Z</dcterms:created>
  <dcterms:modified xsi:type="dcterms:W3CDTF">2026-09-02T04:12:22.404Z</dcterms:modified>
</cp:coreProperties>
</file>

<file path=docProps/custom.xml><?xml version="1.0" encoding="utf-8"?>
<Properties xmlns="http://schemas.openxmlformats.org/officeDocument/2006/custom-properties" xmlns:vt="http://schemas.openxmlformats.org/officeDocument/2006/docPropsVTypes"/>
</file>