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12" w:space="6"/>
        </w:pBdr>
        <w:spacing w:after="200" w:before="0"/>
      </w:pPr>
      <w:r>
        <w:rPr>
          <w:b/>
          <w:bCs/>
          <w:color w:val="1F4E79"/>
          <w:sz w:val="40"/>
          <w:szCs w:val="40"/>
        </w:rPr>
        <w:t xml:space="preserve">Research note - EU AI Act Classification Walkthrough (v1.0)</w:t>
      </w:r>
    </w:p>
    <w:p>
      <w:pPr>
        <w:spacing w:after="140"/>
        <w:jc w:val="both"/>
      </w:pPr>
      <w:r>
        <w:t xml:space="preserve">Purpose: records the primary-source verification behind every classification rule stated in the walkthrough, per the project rule that article numbers live in the research record, not the artifact body. Educational, not legal advice.</w:t>
      </w:r>
    </w:p>
    <w:p>
      <w:pPr>
        <w:spacing w:after="140"/>
        <w:jc w:val="both"/>
      </w:pPr>
      <w:r>
        <w:t xml:space="preserve">This note also covers the companion explainer </w:t>
      </w:r>
      <w:r>
        <w:rPr>
          <w:rFonts w:ascii="Consolas" w:cs="Consolas" w:eastAsia="Consolas" w:hAnsi="Consolas"/>
          <w:sz w:val="19"/>
          <w:szCs w:val="19"/>
        </w:rPr>
        <w:t xml:space="preserve">EU_AI_Act_What_Applies_Today.md</w:t>
      </w:r>
      <w:r>
        <w:t xml:space="preserve"> (v1.0): every legal position in it restates a position already verified in the tables below - the Art 50(1)-(5) overlay duties and their 2 Aug 2026 commencement, the Art 113 schedule as amended, Art 5(1)(f) and its workplace-and-education boundary, Art 4 literacy, Annex III points 1(c), 4(a) and 5(b) with the fraud-detection exception, and the Art 6(3) profiling override. The explainer's worked examples (insurer, bank) introduce no new legal claims; the voice-stress example applies Art 5(1)(f) only to staff and candidates, and classifies the customer-facing use via Annex III 1(c) plus Art 50(3), deliberately.</w:t>
      </w:r>
    </w:p>
    <w:p>
      <w:pPr>
        <w:spacing w:after="140"/>
        <w:jc w:val="both"/>
      </w:pPr>
      <w:r>
        <w:t xml:space="preserve">The explainer's sector section (finance, healthcare) rests on the same tables: the distress-targeting example on Art 5(1)(b) </w:t>
      </w:r>
      <w:r>
        <w:rPr>
          <w:rFonts w:ascii="Consolas" w:cs="Consolas" w:eastAsia="Consolas" w:hAnsi="Consolas"/>
          <w:sz w:val="19"/>
          <w:szCs w:val="19"/>
        </w:rPr>
        <w:t xml:space="preserve">B</w:t>
      </w:r>
      <w:r>
        <w:t xml:space="preserve"> (specific social or economic situation; materially distorting behaviour; significant harm caused or likely); the customer reliability score on Art 5(1)(c)(i)-(ii) </w:t>
      </w:r>
      <w:r>
        <w:rPr>
          <w:rFonts w:ascii="Consolas" w:cs="Consolas" w:eastAsia="Consolas" w:hAnsi="Consolas"/>
          <w:sz w:val="19"/>
          <w:szCs w:val="19"/>
        </w:rPr>
        <w:t xml:space="preserve">B</w:t>
      </w:r>
      <w:r>
        <w:t xml:space="preserve">, contrasted with Annex III 5(b) </w:t>
      </w:r>
      <w:r>
        <w:rPr>
          <w:rFonts w:ascii="Consolas" w:cs="Consolas" w:eastAsia="Consolas" w:hAnsi="Consolas"/>
          <w:sz w:val="19"/>
          <w:szCs w:val="19"/>
        </w:rPr>
        <w:t xml:space="preserve">B</w:t>
      </w:r>
      <w:r>
        <w:t xml:space="preserve"> (creditworthiness as high-risk, not banned); the biometric segmentation example on Art 5(1)(g) </w:t>
      </w:r>
      <w:r>
        <w:rPr>
          <w:rFonts w:ascii="Consolas" w:cs="Consolas" w:eastAsia="Consolas" w:hAnsi="Consolas"/>
          <w:sz w:val="19"/>
          <w:szCs w:val="19"/>
        </w:rPr>
        <w:t xml:space="preserve">B</w:t>
      </w:r>
      <w:r>
        <w:t xml:space="preserve">, contrasted with the verification exclusion in Annex III 1(a) </w:t>
      </w:r>
      <w:r>
        <w:rPr>
          <w:rFonts w:ascii="Consolas" w:cs="Consolas" w:eastAsia="Consolas" w:hAnsi="Consolas"/>
          <w:sz w:val="19"/>
          <w:szCs w:val="19"/>
        </w:rPr>
        <w:t xml:space="preserve">B</w:t>
      </w:r>
      <w:r>
        <w:t xml:space="preserve">; the patient-monitoring example on the medical or safety exception in Art 5(1)(f) </w:t>
      </w:r>
      <w:r>
        <w:rPr>
          <w:rFonts w:ascii="Consolas" w:cs="Consolas" w:eastAsia="Consolas" w:hAnsi="Consolas"/>
          <w:sz w:val="19"/>
          <w:szCs w:val="19"/>
        </w:rPr>
        <w:t xml:space="preserve">B</w:t>
      </w:r>
      <w:r>
        <w:t xml:space="preserve">, with the surviving classification via Annex III 1(c) </w:t>
      </w:r>
      <w:r>
        <w:rPr>
          <w:rFonts w:ascii="Consolas" w:cs="Consolas" w:eastAsia="Consolas" w:hAnsi="Consolas"/>
          <w:sz w:val="19"/>
          <w:szCs w:val="19"/>
        </w:rPr>
        <w:t xml:space="preserve">B</w:t>
      </w:r>
      <w:r>
        <w:t xml:space="preserve"> and the disclosure duty via Art 50(3) </w:t>
      </w:r>
      <w:r>
        <w:rPr>
          <w:rFonts w:ascii="Consolas" w:cs="Consolas" w:eastAsia="Consolas" w:hAnsi="Consolas"/>
          <w:sz w:val="19"/>
          <w:szCs w:val="19"/>
        </w:rPr>
        <w:t xml:space="preserve">B</w:t>
      </w:r>
      <w:r>
        <w:t xml:space="preserve">; the staff wellbeing dashboard on Art 5(1)(f) </w:t>
      </w:r>
      <w:r>
        <w:rPr>
          <w:rFonts w:ascii="Consolas" w:cs="Consolas" w:eastAsia="Consolas" w:hAnsi="Consolas"/>
          <w:sz w:val="19"/>
          <w:szCs w:val="19"/>
        </w:rPr>
        <w:t xml:space="preserve">B</w:t>
      </w:r>
      <w:r>
        <w:t xml:space="preserve">, taking the protective reading of the exception (stated as such in the document; the same boundary caveat as Limitation 5 applies); and the triage example on Annex III 5(d) </w:t>
      </w:r>
      <w:r>
        <w:rPr>
          <w:rFonts w:ascii="Consolas" w:cs="Consolas" w:eastAsia="Consolas" w:hAnsi="Consolas"/>
          <w:sz w:val="19"/>
          <w:szCs w:val="19"/>
        </w:rPr>
        <w:t xml:space="preserve">B</w:t>
      </w:r>
      <w:r>
        <w:t xml:space="preserve">. The "practice, not component" framing restates the chapeau wording of Art 5(1) (placing on the market, putting into service, use) and, for the December 2026 items, the system-vs-use test in Art 5(1a) </w:t>
      </w:r>
      <w:r>
        <w:rPr>
          <w:rFonts w:ascii="Consolas" w:cs="Consolas" w:eastAsia="Consolas" w:hAnsi="Consolas"/>
          <w:sz w:val="19"/>
          <w:szCs w:val="19"/>
        </w:rPr>
        <w:t xml:space="preserve">M1</w:t>
      </w:r>
      <w:r>
        <w:t xml:space="preserve">.</w:t>
      </w:r>
    </w:p>
    <w:p>
      <w:pPr>
        <w:spacing w:after="140"/>
        <w:jc w:val="both"/>
      </w:pPr>
      <w:r>
        <w:rPr>
          <w:rFonts w:ascii="Consolas" w:cs="Consolas" w:eastAsia="Consolas" w:hAnsi="Consolas"/>
          <w:sz w:val="19"/>
          <w:szCs w:val="19"/>
        </w:rPr>
        <w:t xml:space="preserve">EU_AI_Act_Classification_Worked_Examples.md</w:t>
      </w:r>
      <w:r>
        <w:t xml:space="preserve"> (v1.0) is likewise derivative of the verified tables. Bank rows: chatbot Art 50(1) </w:t>
      </w:r>
      <w:r>
        <w:rPr>
          <w:rFonts w:ascii="Consolas" w:cs="Consolas" w:eastAsia="Consolas" w:hAnsi="Consolas"/>
          <w:sz w:val="19"/>
          <w:szCs w:val="19"/>
        </w:rPr>
        <w:t xml:space="preserve">B</w:t>
      </w:r>
      <w:r>
        <w:t xml:space="preserve">; credit scoring Annex III 5(b) </w:t>
      </w:r>
      <w:r>
        <w:rPr>
          <w:rFonts w:ascii="Consolas" w:cs="Consolas" w:eastAsia="Consolas" w:hAnsi="Consolas"/>
          <w:sz w:val="19"/>
          <w:szCs w:val="19"/>
        </w:rPr>
        <w:t xml:space="preserve">B</w:t>
      </w:r>
      <w:r>
        <w:t xml:space="preserve"> with Art 6(3) third subparagraph </w:t>
      </w:r>
      <w:r>
        <w:rPr>
          <w:rFonts w:ascii="Consolas" w:cs="Consolas" w:eastAsia="Consolas" w:hAnsi="Consolas"/>
          <w:sz w:val="19"/>
          <w:szCs w:val="19"/>
        </w:rPr>
        <w:t xml:space="preserve">B</w:t>
      </w:r>
      <w:r>
        <w:t xml:space="preserve">; fraud detection the express exception in Annex III 5(b) </w:t>
      </w:r>
      <w:r>
        <w:rPr>
          <w:rFonts w:ascii="Consolas" w:cs="Consolas" w:eastAsia="Consolas" w:hAnsi="Consolas"/>
          <w:sz w:val="19"/>
          <w:szCs w:val="19"/>
        </w:rPr>
        <w:t xml:space="preserve">B</w:t>
      </w:r>
      <w:r>
        <w:t xml:space="preserve">; CV screening Annex III 4(a) </w:t>
      </w:r>
      <w:r>
        <w:rPr>
          <w:rFonts w:ascii="Consolas" w:cs="Consolas" w:eastAsia="Consolas" w:hAnsi="Consolas"/>
          <w:sz w:val="19"/>
          <w:szCs w:val="19"/>
        </w:rPr>
        <w:t xml:space="preserve">B</w:t>
      </w:r>
      <w:r>
        <w:t xml:space="preserve">; image generator Art 50(2), 50(4) </w:t>
      </w:r>
      <w:r>
        <w:rPr>
          <w:rFonts w:ascii="Consolas" w:cs="Consolas" w:eastAsia="Consolas" w:hAnsi="Consolas"/>
          <w:sz w:val="19"/>
          <w:szCs w:val="19"/>
        </w:rPr>
        <w:t xml:space="preserve">B</w:t>
      </w:r>
      <w:r>
        <w:t xml:space="preserve">; call-centre engagement scoring and voice-stress on staff or candidates Art 5(1)(f) </w:t>
      </w:r>
      <w:r>
        <w:rPr>
          <w:rFonts w:ascii="Consolas" w:cs="Consolas" w:eastAsia="Consolas" w:hAnsi="Consolas"/>
          <w:sz w:val="19"/>
          <w:szCs w:val="19"/>
        </w:rPr>
        <w:t xml:space="preserve">B</w:t>
      </w:r>
      <w:r>
        <w:t xml:space="preserve">; voice-stress on customers Annex III 1(c) </w:t>
      </w:r>
      <w:r>
        <w:rPr>
          <w:rFonts w:ascii="Consolas" w:cs="Consolas" w:eastAsia="Consolas" w:hAnsi="Consolas"/>
          <w:sz w:val="19"/>
          <w:szCs w:val="19"/>
        </w:rPr>
        <w:t xml:space="preserve">B</w:t>
      </w:r>
      <w:r>
        <w:t xml:space="preserve"> plus Art 50(3) </w:t>
      </w:r>
      <w:r>
        <w:rPr>
          <w:rFonts w:ascii="Consolas" w:cs="Consolas" w:eastAsia="Consolas" w:hAnsi="Consolas"/>
          <w:sz w:val="19"/>
          <w:szCs w:val="19"/>
        </w:rPr>
        <w:t xml:space="preserve">B</w:t>
      </w:r>
      <w:r>
        <w:t xml:space="preserve">. Hospital rows: radiology module Art 6(1)(a)-(b) </w:t>
      </w:r>
      <w:r>
        <w:rPr>
          <w:rFonts w:ascii="Consolas" w:cs="Consolas" w:eastAsia="Consolas" w:hAnsi="Consolas"/>
          <w:sz w:val="19"/>
          <w:szCs w:val="19"/>
        </w:rPr>
        <w:t xml:space="preserve">B</w:t>
      </w:r>
      <w:r>
        <w:t xml:space="preserve"> with Annex I Section A item 11 </w:t>
      </w:r>
      <w:r>
        <w:rPr>
          <w:rFonts w:ascii="Consolas" w:cs="Consolas" w:eastAsia="Consolas" w:hAnsi="Consolas"/>
          <w:sz w:val="19"/>
          <w:szCs w:val="19"/>
        </w:rPr>
        <w:t xml:space="preserve">B</w:t>
      </w:r>
      <w:r>
        <w:t xml:space="preserve">; emergency triage Annex III 5(d) </w:t>
      </w:r>
      <w:r>
        <w:rPr>
          <w:rFonts w:ascii="Consolas" w:cs="Consolas" w:eastAsia="Consolas" w:hAnsi="Consolas"/>
          <w:sz w:val="19"/>
          <w:szCs w:val="19"/>
        </w:rPr>
        <w:t xml:space="preserve">B</w:t>
      </w:r>
      <w:r>
        <w:t xml:space="preserve">; ward distress monitoring the medical or safety exception in Art 5(1)(f) </w:t>
      </w:r>
      <w:r>
        <w:rPr>
          <w:rFonts w:ascii="Consolas" w:cs="Consolas" w:eastAsia="Consolas" w:hAnsi="Consolas"/>
          <w:sz w:val="19"/>
          <w:szCs w:val="19"/>
        </w:rPr>
        <w:t xml:space="preserve">B</w:t>
      </w:r>
      <w:r>
        <w:t xml:space="preserve"> plus Annex III 1(c) </w:t>
      </w:r>
      <w:r>
        <w:rPr>
          <w:rFonts w:ascii="Consolas" w:cs="Consolas" w:eastAsia="Consolas" w:hAnsi="Consolas"/>
          <w:sz w:val="19"/>
          <w:szCs w:val="19"/>
        </w:rPr>
        <w:t xml:space="preserve">B</w:t>
      </w:r>
      <w:r>
        <w:t xml:space="preserve"> and Art 50(3) </w:t>
      </w:r>
      <w:r>
        <w:rPr>
          <w:rFonts w:ascii="Consolas" w:cs="Consolas" w:eastAsia="Consolas" w:hAnsi="Consolas"/>
          <w:sz w:val="19"/>
          <w:szCs w:val="19"/>
        </w:rPr>
        <w:t xml:space="preserve">B</w:t>
      </w:r>
      <w:r>
        <w:t xml:space="preserve">; staff burnout dashboard Art 5(1)(f) </w:t>
      </w:r>
      <w:r>
        <w:rPr>
          <w:rFonts w:ascii="Consolas" w:cs="Consolas" w:eastAsia="Consolas" w:hAnsi="Consolas"/>
          <w:sz w:val="19"/>
          <w:szCs w:val="19"/>
        </w:rPr>
        <w:t xml:space="preserve">B</w:t>
      </w:r>
      <w:r>
        <w:t xml:space="preserve"> on the protective reading (Limitation 5 applies); rostering Annex III 4(b) </w:t>
      </w:r>
      <w:r>
        <w:rPr>
          <w:rFonts w:ascii="Consolas" w:cs="Consolas" w:eastAsia="Consolas" w:hAnsi="Consolas"/>
          <w:sz w:val="19"/>
          <w:szCs w:val="19"/>
        </w:rPr>
        <w:t xml:space="preserve">B</w:t>
      </w:r>
      <w:r>
        <w:t xml:space="preserve">, whose outcome turns on whether the system allocates on individual behaviour or traits - stated in the document as an open question, not resolved; clinical recruitment Annex III 4(a) </w:t>
      </w:r>
      <w:r>
        <w:rPr>
          <w:rFonts w:ascii="Consolas" w:cs="Consolas" w:eastAsia="Consolas" w:hAnsi="Consolas"/>
          <w:sz w:val="19"/>
          <w:szCs w:val="19"/>
        </w:rPr>
        <w:t xml:space="preserve">B</w:t>
      </w:r>
      <w:r>
        <w:t xml:space="preserve">; entrance facial recognition NOT within Art 5(1)(h) </w:t>
      </w:r>
      <w:r>
        <w:rPr>
          <w:rFonts w:ascii="Consolas" w:cs="Consolas" w:eastAsia="Consolas" w:hAnsi="Consolas"/>
          <w:sz w:val="19"/>
          <w:szCs w:val="19"/>
        </w:rPr>
        <w:t xml:space="preserve">B</w:t>
      </w:r>
      <w:r>
        <w:t xml:space="preserve"> (which is limited to law-enforcement purposes) but within Annex III 1(a) </w:t>
      </w:r>
      <w:r>
        <w:rPr>
          <w:rFonts w:ascii="Consolas" w:cs="Consolas" w:eastAsia="Consolas" w:hAnsi="Consolas"/>
          <w:sz w:val="19"/>
          <w:szCs w:val="19"/>
        </w:rPr>
        <w:t xml:space="preserve">B</w:t>
      </w:r>
      <w:r>
        <w:t xml:space="preserve">. Commencement dates throughout from Art 113 </w:t>
      </w:r>
      <w:r>
        <w:rPr>
          <w:rFonts w:ascii="Consolas" w:cs="Consolas" w:eastAsia="Consolas" w:hAnsi="Consolas"/>
          <w:sz w:val="19"/>
          <w:szCs w:val="19"/>
        </w:rPr>
        <w:t xml:space="preserve">M1</w:t>
      </w:r>
      <w:r>
        <w:t xml:space="preserve"> as tabulated above. The five-question method restates Gates 1-5 of the walkthrough.</w:t>
      </w:r>
    </w:p>
    <w:p>
      <w:pPr>
        <w:spacing w:after="140"/>
        <w:jc w:val="both"/>
      </w:pPr>
      <w:r>
        <w:rPr>
          <w:b/>
          <w:bCs/>
        </w:rPr>
        <w:t xml:space="preserve">Two negative classifications are asserted</w:t>
      </w:r>
      <w:r>
        <w:t xml:space="preserve"> in that document and rest on the item-by-item Annex III reading dated 1 September 2026: AML transaction monitoring and appointment no-show prediction fall within none of the eight areas. A negative is only as good as the reading behind it - if Annex III is amended under Art 7, both must be re-checked.</w:t>
      </w:r>
    </w:p>
    <w:p>
      <w:pPr>
        <w:spacing w:after="140" w:before="320"/>
      </w:pPr>
      <w:r>
        <w:rPr>
          <w:b/>
          <w:bCs/>
          <w:color w:val="1F4E79"/>
          <w:sz w:val="30"/>
          <w:szCs w:val="30"/>
        </w:rPr>
        <w:t xml:space="preserve">Sources verified</w:t>
      </w:r>
    </w:p>
    <w:p>
      <w:pPr>
        <w:spacing w:after="140"/>
        <w:jc w:val="both"/>
      </w:pPr>
      <w:r>
        <w:t xml:space="preserve">All citations below were read in the primary text. Verification date: </w:t>
      </w:r>
      <w:r>
        <w:rPr>
          <w:b/>
          <w:bCs/>
        </w:rPr>
        <w:t xml:space="preserve">1 September 2026</w:t>
      </w:r>
      <w:r>
        <w:t xml:space="preserve">.</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500"/>
        <w:gridCol w:w="2953"/>
        <w:gridCol w:w="2953"/>
        <w:gridCol w:w="2953"/>
      </w:tblGrid>
      <w:tr>
        <w:trPr>
          <w:tblHeader/>
        </w:trPr>
        <w:tc>
          <w:tcPr>
            <w:tcW w:type="dxa" w:w="500"/>
            <w:shd w:fill="1F4E79" w:val="clear"/>
            <w:tcMar>
              <w:top w:type="dxa" w:w="60"/>
              <w:left w:type="dxa" w:w="100"/>
              <w:bottom w:type="dxa" w:w="60"/>
              <w:right w:type="dxa" w:w="100"/>
            </w:tcMar>
          </w:tcPr>
          <w:p>
            <w:pPr>
              <w:spacing w:after="20" w:before="20"/>
            </w:pPr>
            <w:r>
              <w:rPr>
                <w:b/>
                <w:bCs/>
                <w:color w:val="FFFFFF"/>
                <w:sz w:val="19"/>
                <w:szCs w:val="19"/>
              </w:rPr>
              <w:t xml:space="preserve">#</w:t>
            </w:r>
          </w:p>
        </w:tc>
        <w:tc>
          <w:tcPr>
            <w:tcW w:type="dxa" w:w="2953"/>
            <w:shd w:fill="1F4E79" w:val="clear"/>
            <w:tcMar>
              <w:top w:type="dxa" w:w="60"/>
              <w:left w:type="dxa" w:w="100"/>
              <w:bottom w:type="dxa" w:w="60"/>
              <w:right w:type="dxa" w:w="100"/>
            </w:tcMar>
          </w:tcPr>
          <w:p>
            <w:pPr>
              <w:spacing w:after="20" w:before="20"/>
            </w:pPr>
            <w:r>
              <w:rPr>
                <w:b/>
                <w:bCs/>
                <w:color w:val="FFFFFF"/>
                <w:sz w:val="19"/>
                <w:szCs w:val="19"/>
              </w:rPr>
              <w:t xml:space="preserve">Instrument</w:t>
            </w:r>
          </w:p>
        </w:tc>
        <w:tc>
          <w:tcPr>
            <w:tcW w:type="dxa" w:w="2953"/>
            <w:shd w:fill="1F4E79" w:val="clear"/>
            <w:tcMar>
              <w:top w:type="dxa" w:w="60"/>
              <w:left w:type="dxa" w:w="100"/>
              <w:bottom w:type="dxa" w:w="60"/>
              <w:right w:type="dxa" w:w="100"/>
            </w:tcMar>
          </w:tcPr>
          <w:p>
            <w:pPr>
              <w:spacing w:after="20" w:before="20"/>
            </w:pPr>
            <w:r>
              <w:rPr>
                <w:b/>
                <w:bCs/>
                <w:color w:val="FFFFFF"/>
                <w:sz w:val="19"/>
                <w:szCs w:val="19"/>
              </w:rPr>
              <w:t xml:space="preserve">Version used</w:t>
            </w:r>
          </w:p>
        </w:tc>
        <w:tc>
          <w:tcPr>
            <w:tcW w:type="dxa" w:w="2953"/>
            <w:shd w:fill="1F4E79" w:val="clear"/>
            <w:tcMar>
              <w:top w:type="dxa" w:w="60"/>
              <w:left w:type="dxa" w:w="100"/>
              <w:bottom w:type="dxa" w:w="60"/>
              <w:right w:type="dxa" w:w="100"/>
            </w:tcMar>
          </w:tcPr>
          <w:p>
            <w:pPr>
              <w:spacing w:after="20" w:before="20"/>
            </w:pPr>
            <w:r>
              <w:rPr>
                <w:b/>
                <w:bCs/>
                <w:color w:val="FFFFFF"/>
                <w:sz w:val="19"/>
                <w:szCs w:val="19"/>
              </w:rPr>
              <w:t xml:space="preserve">Status</w:t>
            </w:r>
          </w:p>
        </w:tc>
      </w:tr>
      <w:tr>
        <w:tc>
          <w:tcPr>
            <w:tcW w:type="dxa" w:w="500"/>
            <w:tcMar>
              <w:top w:type="dxa" w:w="60"/>
              <w:left w:type="dxa" w:w="100"/>
              <w:bottom w:type="dxa" w:w="60"/>
              <w:right w:type="dxa" w:w="100"/>
            </w:tcMar>
          </w:tcPr>
          <w:p>
            <w:pPr>
              <w:spacing w:after="20" w:before="20"/>
            </w:pPr>
            <w:r>
              <w:rPr>
                <w:sz w:val="19"/>
                <w:szCs w:val="19"/>
              </w:rPr>
              <w:t xml:space="preserve">1</w:t>
            </w:r>
          </w:p>
        </w:tc>
        <w:tc>
          <w:tcPr>
            <w:tcW w:type="dxa" w:w="2953"/>
            <w:tcMar>
              <w:top w:type="dxa" w:w="60"/>
              <w:left w:type="dxa" w:w="100"/>
              <w:bottom w:type="dxa" w:w="60"/>
              <w:right w:type="dxa" w:w="100"/>
            </w:tcMar>
          </w:tcPr>
          <w:p>
            <w:pPr>
              <w:spacing w:after="20" w:before="20"/>
            </w:pPr>
            <w:r>
              <w:rPr>
                <w:b/>
                <w:bCs/>
                <w:sz w:val="19"/>
                <w:szCs w:val="19"/>
              </w:rPr>
              <w:t xml:space="preserve">Regulation (EU) 2024/1689 consolidated</w:t>
            </w:r>
            <w:r>
              <w:rPr>
                <w:sz w:val="19"/>
                <w:szCs w:val="19"/>
              </w:rPr>
              <w:t xml:space="preserve"> (AI Act)</w:t>
            </w:r>
          </w:p>
        </w:tc>
        <w:tc>
          <w:tcPr>
            <w:tcW w:type="dxa" w:w="2953"/>
            <w:tcMar>
              <w:top w:type="dxa" w:w="60"/>
              <w:left w:type="dxa" w:w="100"/>
              <w:bottom w:type="dxa" w:w="60"/>
              <w:right w:type="dxa" w:w="100"/>
            </w:tcMar>
          </w:tcPr>
          <w:p>
            <w:pPr>
              <w:spacing w:after="20" w:before="20"/>
            </w:pPr>
            <w:r>
              <w:rPr>
                <w:rFonts w:ascii="Consolas" w:cs="Consolas" w:eastAsia="Consolas" w:hAnsi="Consolas"/>
                <w:sz w:val="19"/>
                <w:szCs w:val="19"/>
              </w:rPr>
              <w:t xml:space="preserve">02024R1689-20260727</w:t>
            </w:r>
            <w:r>
              <w:rPr>
                <w:sz w:val="19"/>
                <w:szCs w:val="19"/>
              </w:rPr>
              <w:t xml:space="preserve">, consolidation stamp </w:t>
            </w:r>
            <w:r>
              <w:rPr>
                <w:rFonts w:ascii="Consolas" w:cs="Consolas" w:eastAsia="Consolas" w:hAnsi="Consolas"/>
                <w:sz w:val="19"/>
                <w:szCs w:val="19"/>
              </w:rPr>
              <w:t xml:space="preserve">02024R1689 - EN - 27.07.2026 - 001.001</w:t>
            </w:r>
            <w:r>
              <w:rPr>
                <w:sz w:val="19"/>
                <w:szCs w:val="19"/>
              </w:rPr>
              <w:t xml:space="preserve"> on every page</w:t>
            </w:r>
          </w:p>
        </w:tc>
        <w:tc>
          <w:tcPr>
            <w:tcW w:type="dxa" w:w="2953"/>
            <w:tcMar>
              <w:top w:type="dxa" w:w="60"/>
              <w:left w:type="dxa" w:w="100"/>
              <w:bottom w:type="dxa" w:w="60"/>
              <w:right w:type="dxa" w:w="100"/>
            </w:tcMar>
          </w:tcPr>
          <w:p>
            <w:pPr>
              <w:spacing w:after="20" w:before="20"/>
            </w:pPr>
            <w:r>
              <w:rPr>
                <w:b/>
                <w:bCs/>
                <w:sz w:val="19"/>
                <w:szCs w:val="19"/>
              </w:rPr>
              <w:t xml:space="preserve">The operative text.</w:t>
            </w:r>
            <w:r>
              <w:rPr>
                <w:sz w:val="19"/>
                <w:szCs w:val="19"/>
              </w:rPr>
              <w:t xml:space="preserve"> Incorporates amendment M1</w:t>
            </w:r>
          </w:p>
        </w:tc>
      </w:tr>
      <w:tr>
        <w:tc>
          <w:tcPr>
            <w:tcW w:type="dxa" w:w="500"/>
            <w:shd w:fill="F2F7FB" w:val="clear"/>
            <w:tcMar>
              <w:top w:type="dxa" w:w="60"/>
              <w:left w:type="dxa" w:w="100"/>
              <w:bottom w:type="dxa" w:w="60"/>
              <w:right w:type="dxa" w:w="100"/>
            </w:tcMar>
          </w:tcPr>
          <w:p>
            <w:pPr>
              <w:spacing w:after="20" w:before="20"/>
            </w:pPr>
            <w:r>
              <w:rPr>
                <w:sz w:val="19"/>
                <w:szCs w:val="19"/>
              </w:rPr>
              <w:t xml:space="preserve">2</w:t>
            </w:r>
          </w:p>
        </w:tc>
        <w:tc>
          <w:tcPr>
            <w:tcW w:type="dxa" w:w="2953"/>
            <w:shd w:fill="F2F7FB" w:val="clear"/>
            <w:tcMar>
              <w:top w:type="dxa" w:w="60"/>
              <w:left w:type="dxa" w:w="100"/>
              <w:bottom w:type="dxa" w:w="60"/>
              <w:right w:type="dxa" w:w="100"/>
            </w:tcMar>
          </w:tcPr>
          <w:p>
            <w:pPr>
              <w:spacing w:after="20" w:before="20"/>
            </w:pPr>
            <w:r>
              <w:rPr>
                <w:b/>
                <w:bCs/>
                <w:sz w:val="19"/>
                <w:szCs w:val="19"/>
              </w:rPr>
              <w:t xml:space="preserve">Regulation (EU) 2026/1744</w:t>
            </w:r>
            <w:r>
              <w:rPr>
                <w:sz w:val="19"/>
                <w:szCs w:val="19"/>
              </w:rPr>
              <w:t xml:space="preserve"> (Digital Omnibus on AI)</w:t>
            </w:r>
          </w:p>
        </w:tc>
        <w:tc>
          <w:tcPr>
            <w:tcW w:type="dxa" w:w="2953"/>
            <w:shd w:fill="F2F7FB" w:val="clear"/>
            <w:tcMar>
              <w:top w:type="dxa" w:w="60"/>
              <w:left w:type="dxa" w:w="100"/>
              <w:bottom w:type="dxa" w:w="60"/>
              <w:right w:type="dxa" w:w="100"/>
            </w:tcMar>
          </w:tcPr>
          <w:p>
            <w:pPr>
              <w:spacing w:after="20" w:before="20"/>
            </w:pPr>
            <w:r>
              <w:rPr>
                <w:sz w:val="19"/>
                <w:szCs w:val="19"/>
              </w:rPr>
              <w:t xml:space="preserve">OJ L, 2026/1744, 24.7.2026; adopted 8 July 2026; PE/30/2026/REV/1</w:t>
            </w:r>
          </w:p>
        </w:tc>
        <w:tc>
          <w:tcPr>
            <w:tcW w:type="dxa" w:w="2953"/>
            <w:shd w:fill="F2F7FB" w:val="clear"/>
            <w:tcMar>
              <w:top w:type="dxa" w:w="60"/>
              <w:left w:type="dxa" w:w="100"/>
              <w:bottom w:type="dxa" w:w="60"/>
              <w:right w:type="dxa" w:w="100"/>
            </w:tcMar>
          </w:tcPr>
          <w:p>
            <w:pPr>
              <w:spacing w:after="20" w:before="20"/>
            </w:pPr>
            <w:r>
              <w:rPr>
                <w:b/>
                <w:bCs/>
                <w:sz w:val="19"/>
                <w:szCs w:val="19"/>
              </w:rPr>
              <w:t xml:space="preserve">In force.</w:t>
            </w:r>
            <w:r>
              <w:rPr>
                <w:sz w:val="19"/>
                <w:szCs w:val="19"/>
              </w:rPr>
              <w:t xml:space="preserve"> The M1 amendment; amends Regulations (EU) 2024/1689, 2018/1139 and 2023/1230</w:t>
            </w:r>
          </w:p>
        </w:tc>
      </w:tr>
    </w:tbl>
    <w:p>
      <w:pPr>
        <w:spacing w:after="80"/>
      </w:pPr>
    </w:p>
    <w:p>
      <w:pPr>
        <w:spacing w:after="140"/>
        <w:jc w:val="both"/>
      </w:pPr>
      <w:r>
        <w:t xml:space="preserve">Every AI Act citation below is from the consolidated text. Provisions are marked as the consolidation marks them: </w:t>
      </w:r>
      <w:r>
        <w:rPr>
          <w:rFonts w:ascii="Consolas" w:cs="Consolas" w:eastAsia="Consolas" w:hAnsi="Consolas"/>
          <w:sz w:val="19"/>
          <w:szCs w:val="19"/>
        </w:rPr>
        <w:t xml:space="preserve">B</w:t>
      </w:r>
      <w:r>
        <w:t xml:space="preserve"> for base text, </w:t>
      </w:r>
      <w:r>
        <w:rPr>
          <w:rFonts w:ascii="Consolas" w:cs="Consolas" w:eastAsia="Consolas" w:hAnsi="Consolas"/>
          <w:sz w:val="19"/>
          <w:szCs w:val="19"/>
        </w:rPr>
        <w:t xml:space="preserve">M1</w:t>
      </w:r>
      <w:r>
        <w:t xml:space="preserve"> for text inserted or replaced by the omnibus.</w:t>
      </w:r>
    </w:p>
    <w:p>
      <w:pPr>
        <w:spacing w:after="140"/>
        <w:jc w:val="both"/>
      </w:pPr>
      <w:r>
        <w:rPr>
          <w:b/>
          <w:bCs/>
        </w:rPr>
        <w:t xml:space="preserve">Nothing in the walkthrough rests on web content.</w:t>
      </w:r>
      <w:r>
        <w:t xml:space="preserve"> No web source was consulted for any provision; both instruments were supplied as files and read directly.</w:t>
      </w:r>
    </w:p>
    <w:p>
      <w:pPr>
        <w:spacing w:after="140" w:before="320"/>
      </w:pPr>
      <w:r>
        <w:rPr>
          <w:b/>
          <w:bCs/>
          <w:color w:val="1F4E79"/>
          <w:sz w:val="30"/>
          <w:szCs w:val="30"/>
        </w:rPr>
        <w:t xml:space="preserve">The gates, article by article</w:t>
      </w:r>
    </w:p>
    <w:p>
      <w:pPr>
        <w:spacing w:after="100" w:before="240"/>
      </w:pPr>
      <w:r>
        <w:rPr>
          <w:b/>
          <w:bCs/>
          <w:color w:val="2E74B5"/>
          <w:sz w:val="24"/>
          <w:szCs w:val="24"/>
        </w:rPr>
        <w:t xml:space="preserve">Threshold questions (walkthrough section 2)</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Statement in walkthrough</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4680"/>
            <w:tcMar>
              <w:top w:type="dxa" w:w="60"/>
              <w:left w:type="dxa" w:w="100"/>
              <w:bottom w:type="dxa" w:w="60"/>
              <w:right w:type="dxa" w:w="100"/>
            </w:tcMar>
          </w:tcPr>
          <w:p>
            <w:pPr>
              <w:spacing w:after="20" w:before="20"/>
            </w:pPr>
            <w:r>
              <w:rPr>
                <w:sz w:val="19"/>
                <w:szCs w:val="19"/>
              </w:rPr>
              <w:t xml:space="preserve">Definition of AI system; "infers" as the load-bearing element</w:t>
            </w:r>
          </w:p>
        </w:tc>
        <w:tc>
          <w:tcPr>
            <w:tcW w:type="dxa" w:w="4680"/>
            <w:tcMar>
              <w:top w:type="dxa" w:w="60"/>
              <w:left w:type="dxa" w:w="100"/>
              <w:bottom w:type="dxa" w:w="60"/>
              <w:right w:type="dxa" w:w="100"/>
            </w:tcMar>
          </w:tcPr>
          <w:p>
            <w:pPr>
              <w:spacing w:after="20" w:before="20"/>
            </w:pPr>
            <w:r>
              <w:rPr>
                <w:sz w:val="19"/>
                <w:szCs w:val="19"/>
              </w:rPr>
              <w:t xml:space="preserve">Art 3(1)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Provider and deployer definitions</w:t>
            </w:r>
          </w:p>
        </w:tc>
        <w:tc>
          <w:tcPr>
            <w:tcW w:type="dxa" w:w="4680"/>
            <w:shd w:fill="F2F7FB" w:val="clear"/>
            <w:tcMar>
              <w:top w:type="dxa" w:w="60"/>
              <w:left w:type="dxa" w:w="100"/>
              <w:bottom w:type="dxa" w:w="60"/>
              <w:right w:type="dxa" w:w="100"/>
            </w:tcMar>
          </w:tcPr>
          <w:p>
            <w:pPr>
              <w:spacing w:after="20" w:before="20"/>
            </w:pPr>
            <w:r>
              <w:rPr>
                <w:sz w:val="19"/>
                <w:szCs w:val="19"/>
              </w:rPr>
              <w:t xml:space="preserve">Art 3(3), 3(4)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Scope: providers wherever established; deployers in the Union; third-country operators where output is used in the Union</w:t>
            </w:r>
          </w:p>
        </w:tc>
        <w:tc>
          <w:tcPr>
            <w:tcW w:type="dxa" w:w="4680"/>
            <w:tcMar>
              <w:top w:type="dxa" w:w="60"/>
              <w:left w:type="dxa" w:w="100"/>
              <w:bottom w:type="dxa" w:w="60"/>
              <w:right w:type="dxa" w:w="100"/>
            </w:tcMar>
          </w:tcPr>
          <w:p>
            <w:pPr>
              <w:spacing w:after="20" w:before="20"/>
            </w:pPr>
            <w:r>
              <w:rPr>
                <w:sz w:val="19"/>
                <w:szCs w:val="19"/>
              </w:rPr>
              <w:t xml:space="preserve">Art 2(1)(a)-(c)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Exclusions: military, defence, national security; scientific research; pre-market R&amp;D (except real-world testing); purely personal non-professional use</w:t>
            </w:r>
          </w:p>
        </w:tc>
        <w:tc>
          <w:tcPr>
            <w:tcW w:type="dxa" w:w="4680"/>
            <w:shd w:fill="F2F7FB" w:val="clear"/>
            <w:tcMar>
              <w:top w:type="dxa" w:w="60"/>
              <w:left w:type="dxa" w:w="100"/>
              <w:bottom w:type="dxa" w:w="60"/>
              <w:right w:type="dxa" w:w="100"/>
            </w:tcMar>
          </w:tcPr>
          <w:p>
            <w:pPr>
              <w:spacing w:after="20" w:before="20"/>
            </w:pPr>
            <w:r>
              <w:rPr>
                <w:sz w:val="19"/>
                <w:szCs w:val="19"/>
              </w:rPr>
              <w:t xml:space="preserve">Art 2(3), 2(6), 2(8), 2(10)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Free and open-source exemption and its carve-back (prohibited, high-risk, or transparency-relevant systems)</w:t>
            </w:r>
          </w:p>
        </w:tc>
        <w:tc>
          <w:tcPr>
            <w:tcW w:type="dxa" w:w="4680"/>
            <w:tcMar>
              <w:top w:type="dxa" w:w="60"/>
              <w:left w:type="dxa" w:w="100"/>
              <w:bottom w:type="dxa" w:w="60"/>
              <w:right w:type="dxa" w:w="100"/>
            </w:tcMar>
          </w:tcPr>
          <w:p>
            <w:pPr>
              <w:spacing w:after="20" w:before="20"/>
            </w:pPr>
            <w:r>
              <w:rPr>
                <w:sz w:val="19"/>
                <w:szCs w:val="19"/>
              </w:rPr>
              <w:t xml:space="preserve">Art 2(12)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Deployer becoming provider (own name, substantial modification)</w:t>
            </w:r>
          </w:p>
        </w:tc>
        <w:tc>
          <w:tcPr>
            <w:tcW w:type="dxa" w:w="4680"/>
            <w:shd w:fill="F2F7FB" w:val="clear"/>
            <w:tcMar>
              <w:top w:type="dxa" w:w="60"/>
              <w:left w:type="dxa" w:w="100"/>
              <w:bottom w:type="dxa" w:w="60"/>
              <w:right w:type="dxa" w:w="100"/>
            </w:tcMar>
          </w:tcPr>
          <w:p>
            <w:pPr>
              <w:spacing w:after="20" w:before="20"/>
            </w:pPr>
            <w:r>
              <w:rPr>
                <w:sz w:val="19"/>
                <w:szCs w:val="19"/>
              </w:rPr>
              <w:t xml:space="preserve">Art 25(1) </w:t>
            </w:r>
            <w:r>
              <w:rPr>
                <w:rFonts w:ascii="Consolas" w:cs="Consolas" w:eastAsia="Consolas" w:hAnsi="Consolas"/>
                <w:sz w:val="19"/>
                <w:szCs w:val="19"/>
              </w:rPr>
              <w:t xml:space="preserve">B</w:t>
            </w:r>
            <w:r>
              <w:rPr>
                <w:sz w:val="19"/>
                <w:szCs w:val="19"/>
              </w:rPr>
              <w:t xml:space="preserve"> (value-chain switch, expressed for high-risk systems); Art 3(3) </w:t>
            </w:r>
            <w:r>
              <w:rPr>
                <w:rFonts w:ascii="Consolas" w:cs="Consolas" w:eastAsia="Consolas" w:hAnsi="Consolas"/>
                <w:sz w:val="19"/>
                <w:szCs w:val="19"/>
              </w:rPr>
              <w:t xml:space="preserve">B</w:t>
            </w:r>
            <w:r>
              <w:rPr>
                <w:sz w:val="19"/>
                <w:szCs w:val="19"/>
              </w:rPr>
              <w:t xml:space="preserve"> (the general provider definition, which catches own-name placing regardless of tier); Art 3(23) </w:t>
            </w:r>
            <w:r>
              <w:rPr>
                <w:rFonts w:ascii="Consolas" w:cs="Consolas" w:eastAsia="Consolas" w:hAnsi="Consolas"/>
                <w:sz w:val="19"/>
                <w:szCs w:val="19"/>
              </w:rPr>
              <w:t xml:space="preserve">B</w:t>
            </w:r>
            <w:r>
              <w:rPr>
                <w:sz w:val="19"/>
                <w:szCs w:val="19"/>
              </w:rPr>
              <w:t xml:space="preserve"> (substantial modification)</w:t>
            </w:r>
          </w:p>
        </w:tc>
      </w:tr>
    </w:tbl>
    <w:p>
      <w:pPr>
        <w:spacing w:after="80"/>
      </w:pPr>
    </w:p>
    <w:p>
      <w:pPr>
        <w:spacing w:after="100" w:before="240"/>
      </w:pPr>
      <w:r>
        <w:rPr>
          <w:b/>
          <w:bCs/>
          <w:color w:val="2E74B5"/>
          <w:sz w:val="24"/>
          <w:szCs w:val="24"/>
        </w:rPr>
        <w:t xml:space="preserve">Gate 1 - prohibited practices (walkthrough section 3)</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Prohibition as expressed</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4680"/>
            <w:tcMar>
              <w:top w:type="dxa" w:w="60"/>
              <w:left w:type="dxa" w:w="100"/>
              <w:bottom w:type="dxa" w:w="60"/>
              <w:right w:type="dxa" w:w="100"/>
            </w:tcMar>
          </w:tcPr>
          <w:p>
            <w:pPr>
              <w:spacing w:after="20" w:before="20"/>
            </w:pPr>
            <w:r>
              <w:rPr>
                <w:sz w:val="19"/>
                <w:szCs w:val="19"/>
              </w:rPr>
              <w:t xml:space="preserve">1. Manipulation causing significant harm</w:t>
            </w:r>
          </w:p>
        </w:tc>
        <w:tc>
          <w:tcPr>
            <w:tcW w:type="dxa" w:w="4680"/>
            <w:tcMar>
              <w:top w:type="dxa" w:w="60"/>
              <w:left w:type="dxa" w:w="100"/>
              <w:bottom w:type="dxa" w:w="60"/>
              <w:right w:type="dxa" w:w="100"/>
            </w:tcMar>
          </w:tcPr>
          <w:p>
            <w:pPr>
              <w:spacing w:after="20" w:before="20"/>
            </w:pPr>
            <w:r>
              <w:rPr>
                <w:sz w:val="19"/>
                <w:szCs w:val="19"/>
              </w:rPr>
              <w:t xml:space="preserve">Art 5(1)(a)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2. Exploiting vulnerabilities of age, disability, social or economic situation</w:t>
            </w:r>
          </w:p>
        </w:tc>
        <w:tc>
          <w:tcPr>
            <w:tcW w:type="dxa" w:w="4680"/>
            <w:shd w:fill="F2F7FB" w:val="clear"/>
            <w:tcMar>
              <w:top w:type="dxa" w:w="60"/>
              <w:left w:type="dxa" w:w="100"/>
              <w:bottom w:type="dxa" w:w="60"/>
              <w:right w:type="dxa" w:w="100"/>
            </w:tcMar>
          </w:tcPr>
          <w:p>
            <w:pPr>
              <w:spacing w:after="20" w:before="20"/>
            </w:pPr>
            <w:r>
              <w:rPr>
                <w:sz w:val="19"/>
                <w:szCs w:val="19"/>
              </w:rPr>
              <w:t xml:space="preserve">Art 5(1)(b)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3. Social scoring (unrelated context, or unjustified/disproportionate treatment)</w:t>
            </w:r>
          </w:p>
        </w:tc>
        <w:tc>
          <w:tcPr>
            <w:tcW w:type="dxa" w:w="4680"/>
            <w:tcMar>
              <w:top w:type="dxa" w:w="60"/>
              <w:left w:type="dxa" w:w="100"/>
              <w:bottom w:type="dxa" w:w="60"/>
              <w:right w:type="dxa" w:w="100"/>
            </w:tcMar>
          </w:tcPr>
          <w:p>
            <w:pPr>
              <w:spacing w:after="20" w:before="20"/>
            </w:pPr>
            <w:r>
              <w:rPr>
                <w:sz w:val="19"/>
                <w:szCs w:val="19"/>
              </w:rPr>
              <w:t xml:space="preserve">Art 5(1)(c)(i)-(ii)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4. Predicting individual offending solely from profiling or personality traits; support-of-human-assessment carve-out</w:t>
            </w:r>
          </w:p>
        </w:tc>
        <w:tc>
          <w:tcPr>
            <w:tcW w:type="dxa" w:w="4680"/>
            <w:shd w:fill="F2F7FB" w:val="clear"/>
            <w:tcMar>
              <w:top w:type="dxa" w:w="60"/>
              <w:left w:type="dxa" w:w="100"/>
              <w:bottom w:type="dxa" w:w="60"/>
              <w:right w:type="dxa" w:w="100"/>
            </w:tcMar>
          </w:tcPr>
          <w:p>
            <w:pPr>
              <w:spacing w:after="20" w:before="20"/>
            </w:pPr>
            <w:r>
              <w:rPr>
                <w:sz w:val="19"/>
                <w:szCs w:val="19"/>
              </w:rPr>
              <w:t xml:space="preserve">Art 5(1)(d)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5. Untargeted scraping of facial images from internet or CCTV</w:t>
            </w:r>
          </w:p>
        </w:tc>
        <w:tc>
          <w:tcPr>
            <w:tcW w:type="dxa" w:w="4680"/>
            <w:tcMar>
              <w:top w:type="dxa" w:w="60"/>
              <w:left w:type="dxa" w:w="100"/>
              <w:bottom w:type="dxa" w:w="60"/>
              <w:right w:type="dxa" w:w="100"/>
            </w:tcMar>
          </w:tcPr>
          <w:p>
            <w:pPr>
              <w:spacing w:after="20" w:before="20"/>
            </w:pPr>
            <w:r>
              <w:rPr>
                <w:sz w:val="19"/>
                <w:szCs w:val="19"/>
              </w:rPr>
              <w:t xml:space="preserve">Art 5(1)(e)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6. Emotion inference in workplace and education institutions, medical or safety exception</w:t>
            </w:r>
          </w:p>
        </w:tc>
        <w:tc>
          <w:tcPr>
            <w:tcW w:type="dxa" w:w="4680"/>
            <w:shd w:fill="F2F7FB" w:val="clear"/>
            <w:tcMar>
              <w:top w:type="dxa" w:w="60"/>
              <w:left w:type="dxa" w:w="100"/>
              <w:bottom w:type="dxa" w:w="60"/>
              <w:right w:type="dxa" w:w="100"/>
            </w:tcMar>
          </w:tcPr>
          <w:p>
            <w:pPr>
              <w:spacing w:after="20" w:before="20"/>
            </w:pPr>
            <w:r>
              <w:rPr>
                <w:sz w:val="19"/>
                <w:szCs w:val="19"/>
              </w:rPr>
              <w:t xml:space="preserve">Art 5(1)(f)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7. Biometric categorisation deducing sensitive traits; lawful-dataset labelling carve-out</w:t>
            </w:r>
          </w:p>
        </w:tc>
        <w:tc>
          <w:tcPr>
            <w:tcW w:type="dxa" w:w="4680"/>
            <w:tcMar>
              <w:top w:type="dxa" w:w="60"/>
              <w:left w:type="dxa" w:w="100"/>
              <w:bottom w:type="dxa" w:w="60"/>
              <w:right w:type="dxa" w:w="100"/>
            </w:tcMar>
          </w:tcPr>
          <w:p>
            <w:pPr>
              <w:spacing w:after="20" w:before="20"/>
            </w:pPr>
            <w:r>
              <w:rPr>
                <w:sz w:val="19"/>
                <w:szCs w:val="19"/>
              </w:rPr>
              <w:t xml:space="preserve">Art 5(1)(g)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8. Real-time remote biometric identification for law enforcement; authorised objectives and safeguards</w:t>
            </w:r>
          </w:p>
        </w:tc>
        <w:tc>
          <w:tcPr>
            <w:tcW w:type="dxa" w:w="4680"/>
            <w:shd w:fill="F2F7FB" w:val="clear"/>
            <w:tcMar>
              <w:top w:type="dxa" w:w="60"/>
              <w:left w:type="dxa" w:w="100"/>
              <w:bottom w:type="dxa" w:w="60"/>
              <w:right w:type="dxa" w:w="100"/>
            </w:tcMar>
          </w:tcPr>
          <w:p>
            <w:pPr>
              <w:spacing w:after="20" w:before="20"/>
            </w:pPr>
            <w:r>
              <w:rPr>
                <w:sz w:val="19"/>
                <w:szCs w:val="19"/>
              </w:rPr>
              <w:t xml:space="preserve">Art 5(1)(h), 5(2)-(7)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9. Non-consensual intimate imagery</w:t>
            </w:r>
          </w:p>
        </w:tc>
        <w:tc>
          <w:tcPr>
            <w:tcW w:type="dxa" w:w="4680"/>
            <w:tcMar>
              <w:top w:type="dxa" w:w="60"/>
              <w:left w:type="dxa" w:w="100"/>
              <w:bottom w:type="dxa" w:w="60"/>
              <w:right w:type="dxa" w:w="100"/>
            </w:tcMar>
          </w:tcPr>
          <w:p>
            <w:pPr>
              <w:spacing w:after="20" w:before="20"/>
            </w:pPr>
            <w:r>
              <w:rPr>
                <w:sz w:val="19"/>
                <w:szCs w:val="19"/>
              </w:rPr>
              <w:t xml:space="preserve">Art 5(1)(ba)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10. CSAM generation or manipulation</w:t>
            </w:r>
          </w:p>
        </w:tc>
        <w:tc>
          <w:tcPr>
            <w:tcW w:type="dxa" w:w="4680"/>
            <w:shd w:fill="F2F7FB" w:val="clear"/>
            <w:tcMar>
              <w:top w:type="dxa" w:w="60"/>
              <w:left w:type="dxa" w:w="100"/>
              <w:bottom w:type="dxa" w:w="60"/>
              <w:right w:type="dxa" w:w="100"/>
            </w:tcMar>
          </w:tcPr>
          <w:p>
            <w:pPr>
              <w:spacing w:after="20" w:before="20"/>
            </w:pPr>
            <w:r>
              <w:rPr>
                <w:sz w:val="19"/>
                <w:szCs w:val="19"/>
              </w:rPr>
              <w:t xml:space="preserve">Art 5(1)(bb) </w:t>
            </w:r>
            <w:r>
              <w:rPr>
                <w:rFonts w:ascii="Consolas" w:cs="Consolas" w:eastAsia="Consolas" w:hAnsi="Consolas"/>
                <w:sz w:val="19"/>
                <w:szCs w:val="19"/>
              </w:rPr>
              <w:t xml:space="preserve">M1</w:t>
            </w:r>
            <w:r>
              <w:rPr>
                <w:sz w:val="19"/>
                <w:szCs w:val="19"/>
              </w:rPr>
              <w:t xml:space="preserve"> (by reference to Directive 2011/93/EU Art 2(c),(e))</w:t>
            </w:r>
          </w:p>
        </w:tc>
      </w:tr>
      <w:tr>
        <w:tc>
          <w:tcPr>
            <w:tcW w:type="dxa" w:w="4680"/>
            <w:tcMar>
              <w:top w:type="dxa" w:w="60"/>
              <w:left w:type="dxa" w:w="100"/>
              <w:bottom w:type="dxa" w:w="60"/>
              <w:right w:type="dxa" w:w="100"/>
            </w:tcMar>
          </w:tcPr>
          <w:p>
            <w:pPr>
              <w:spacing w:after="20" w:before="20"/>
            </w:pPr>
            <w:r>
              <w:rPr>
                <w:sz w:val="19"/>
                <w:szCs w:val="19"/>
              </w:rPr>
              <w:t xml:space="preserve">System-level vs use-level test for items 9-10 (intended purpose, or foreseeable-and-reproducible without adequate safeguards; use for the purpose prohibited outright)</w:t>
            </w:r>
          </w:p>
        </w:tc>
        <w:tc>
          <w:tcPr>
            <w:tcW w:type="dxa" w:w="4680"/>
            <w:tcMar>
              <w:top w:type="dxa" w:w="60"/>
              <w:left w:type="dxa" w:w="100"/>
              <w:bottom w:type="dxa" w:w="60"/>
              <w:right w:type="dxa" w:w="100"/>
            </w:tcMar>
          </w:tcPr>
          <w:p>
            <w:pPr>
              <w:spacing w:after="20" w:before="20"/>
            </w:pPr>
            <w:r>
              <w:rPr>
                <w:sz w:val="19"/>
                <w:szCs w:val="19"/>
              </w:rPr>
              <w:t xml:space="preserve">Art 5(1a)(a)-(b)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Manipulation not increasing exposure or altering nature is out of item 9</w:t>
            </w:r>
          </w:p>
        </w:tc>
        <w:tc>
          <w:tcPr>
            <w:tcW w:type="dxa" w:w="4680"/>
            <w:shd w:fill="F2F7FB" w:val="clear"/>
            <w:tcMar>
              <w:top w:type="dxa" w:w="60"/>
              <w:left w:type="dxa" w:w="100"/>
              <w:bottom w:type="dxa" w:w="60"/>
              <w:right w:type="dxa" w:w="100"/>
            </w:tcMar>
          </w:tcPr>
          <w:p>
            <w:pPr>
              <w:spacing w:after="20" w:before="20"/>
            </w:pPr>
            <w:r>
              <w:rPr>
                <w:sz w:val="19"/>
                <w:szCs w:val="19"/>
              </w:rPr>
              <w:t xml:space="preserve">Art 5(1b) </w:t>
            </w:r>
            <w:r>
              <w:rPr>
                <w:rFonts w:ascii="Consolas" w:cs="Consolas" w:eastAsia="Consolas" w:hAnsi="Consolas"/>
                <w:sz w:val="19"/>
                <w:szCs w:val="19"/>
              </w:rPr>
              <w:t xml:space="preserve">M1</w:t>
            </w:r>
          </w:p>
        </w:tc>
      </w:tr>
      <w:tr>
        <w:tc>
          <w:tcPr>
            <w:tcW w:type="dxa" w:w="4680"/>
            <w:tcMar>
              <w:top w:type="dxa" w:w="60"/>
              <w:left w:type="dxa" w:w="100"/>
              <w:bottom w:type="dxa" w:w="60"/>
              <w:right w:type="dxa" w:w="100"/>
            </w:tcMar>
          </w:tcPr>
          <w:p>
            <w:pPr>
              <w:spacing w:after="20" w:before="20"/>
            </w:pPr>
            <w:r>
              <w:rPr>
                <w:sz w:val="19"/>
                <w:szCs w:val="19"/>
              </w:rPr>
              <w:t xml:space="preserve">Commencement: 2 Feb 2025; items 9-10 from 2 Dec 2026</w:t>
            </w:r>
          </w:p>
        </w:tc>
        <w:tc>
          <w:tcPr>
            <w:tcW w:type="dxa" w:w="4680"/>
            <w:tcMar>
              <w:top w:type="dxa" w:w="60"/>
              <w:left w:type="dxa" w:w="100"/>
              <w:bottom w:type="dxa" w:w="60"/>
              <w:right w:type="dxa" w:w="100"/>
            </w:tcMar>
          </w:tcPr>
          <w:p>
            <w:pPr>
              <w:spacing w:after="20" w:before="20"/>
            </w:pPr>
            <w:r>
              <w:rPr>
                <w:sz w:val="19"/>
                <w:szCs w:val="19"/>
              </w:rPr>
              <w:t xml:space="preserve">Art 113(a) </w:t>
            </w:r>
            <w:r>
              <w:rPr>
                <w:rFonts w:ascii="Consolas" w:cs="Consolas" w:eastAsia="Consolas" w:hAnsi="Consolas"/>
                <w:sz w:val="19"/>
                <w:szCs w:val="19"/>
              </w:rPr>
              <w:t xml:space="preserve">M1</w:t>
            </w:r>
          </w:p>
        </w:tc>
      </w:tr>
    </w:tbl>
    <w:p>
      <w:pPr>
        <w:spacing w:after="80"/>
      </w:pPr>
    </w:p>
    <w:p>
      <w:pPr>
        <w:spacing w:after="100" w:before="240"/>
      </w:pPr>
      <w:r>
        <w:rPr>
          <w:b/>
          <w:bCs/>
          <w:color w:val="2E74B5"/>
          <w:sz w:val="24"/>
          <w:szCs w:val="24"/>
        </w:rPr>
        <w:t xml:space="preserve">Gate 2 - product route (walkthrough section 4)</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Statement</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4680"/>
            <w:tcMar>
              <w:top w:type="dxa" w:w="60"/>
              <w:left w:type="dxa" w:w="100"/>
              <w:bottom w:type="dxa" w:w="60"/>
              <w:right w:type="dxa" w:w="100"/>
            </w:tcMar>
          </w:tcPr>
          <w:p>
            <w:pPr>
              <w:spacing w:after="20" w:before="20"/>
            </w:pPr>
            <w:r>
              <w:rPr>
                <w:sz w:val="19"/>
                <w:szCs w:val="19"/>
              </w:rPr>
              <w:t xml:space="preserve">Two cumulative conditions: Annex I safety component or product, plus third-party conformity assessment</w:t>
            </w:r>
          </w:p>
        </w:tc>
        <w:tc>
          <w:tcPr>
            <w:tcW w:type="dxa" w:w="4680"/>
            <w:tcMar>
              <w:top w:type="dxa" w:w="60"/>
              <w:left w:type="dxa" w:w="100"/>
              <w:bottom w:type="dxa" w:w="60"/>
              <w:right w:type="dxa" w:w="100"/>
            </w:tcMar>
          </w:tcPr>
          <w:p>
            <w:pPr>
              <w:spacing w:after="20" w:before="20"/>
            </w:pPr>
            <w:r>
              <w:rPr>
                <w:sz w:val="19"/>
                <w:szCs w:val="19"/>
              </w:rPr>
              <w:t xml:space="preserve">Art 6(1)(a)-(b)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Non-safety functions (user assistance, performance optimisation, service efficiency, automation or convenience, quality control) are not safety components</w:t>
            </w:r>
          </w:p>
        </w:tc>
        <w:tc>
          <w:tcPr>
            <w:tcW w:type="dxa" w:w="4680"/>
            <w:shd w:fill="F2F7FB" w:val="clear"/>
            <w:tcMar>
              <w:top w:type="dxa" w:w="60"/>
              <w:left w:type="dxa" w:w="100"/>
              <w:bottom w:type="dxa" w:w="60"/>
              <w:right w:type="dxa" w:w="100"/>
            </w:tcMar>
          </w:tcPr>
          <w:p>
            <w:pPr>
              <w:spacing w:after="20" w:before="20"/>
            </w:pPr>
            <w:r>
              <w:rPr>
                <w:sz w:val="19"/>
                <w:szCs w:val="19"/>
              </w:rPr>
              <w:t xml:space="preserve">Art 6(1a) </w:t>
            </w:r>
            <w:r>
              <w:rPr>
                <w:rFonts w:ascii="Consolas" w:cs="Consolas" w:eastAsia="Consolas" w:hAnsi="Consolas"/>
                <w:sz w:val="19"/>
                <w:szCs w:val="19"/>
              </w:rPr>
              <w:t xml:space="preserve">M1</w:t>
            </w:r>
          </w:p>
        </w:tc>
      </w:tr>
      <w:tr>
        <w:tc>
          <w:tcPr>
            <w:tcW w:type="dxa" w:w="4680"/>
            <w:tcMar>
              <w:top w:type="dxa" w:w="60"/>
              <w:left w:type="dxa" w:w="100"/>
              <w:bottom w:type="dxa" w:w="60"/>
              <w:right w:type="dxa" w:w="100"/>
            </w:tcMar>
          </w:tcPr>
          <w:p>
            <w:pPr>
              <w:spacing w:after="20" w:before="20"/>
            </w:pPr>
            <w:r>
              <w:rPr>
                <w:sz w:val="19"/>
                <w:szCs w:val="19"/>
              </w:rPr>
              <w:t xml:space="preserve">Failure or malfunction endangering health and safety qualifies regardless</w:t>
            </w:r>
          </w:p>
        </w:tc>
        <w:tc>
          <w:tcPr>
            <w:tcW w:type="dxa" w:w="4680"/>
            <w:tcMar>
              <w:top w:type="dxa" w:w="60"/>
              <w:left w:type="dxa" w:w="100"/>
              <w:bottom w:type="dxa" w:w="60"/>
              <w:right w:type="dxa" w:w="100"/>
            </w:tcMar>
          </w:tcPr>
          <w:p>
            <w:pPr>
              <w:spacing w:after="20" w:before="20"/>
            </w:pPr>
            <w:r>
              <w:rPr>
                <w:sz w:val="19"/>
                <w:szCs w:val="19"/>
              </w:rPr>
              <w:t xml:space="preserve">Art 6(1b)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Third-party assessment solely for non-health-safety risks (e.g. radio spectrum, EMI) does not satisfy condition (b)</w:t>
            </w:r>
          </w:p>
        </w:tc>
        <w:tc>
          <w:tcPr>
            <w:tcW w:type="dxa" w:w="4680"/>
            <w:shd w:fill="F2F7FB" w:val="clear"/>
            <w:tcMar>
              <w:top w:type="dxa" w:w="60"/>
              <w:left w:type="dxa" w:w="100"/>
              <w:bottom w:type="dxa" w:w="60"/>
              <w:right w:type="dxa" w:w="100"/>
            </w:tcMar>
          </w:tcPr>
          <w:p>
            <w:pPr>
              <w:spacing w:after="20" w:before="20"/>
            </w:pPr>
            <w:r>
              <w:rPr>
                <w:sz w:val="19"/>
                <w:szCs w:val="19"/>
              </w:rPr>
              <w:t xml:space="preserve">Art 6(1c) </w:t>
            </w:r>
            <w:r>
              <w:rPr>
                <w:rFonts w:ascii="Consolas" w:cs="Consolas" w:eastAsia="Consolas" w:hAnsi="Consolas"/>
                <w:sz w:val="19"/>
                <w:szCs w:val="19"/>
              </w:rPr>
              <w:t xml:space="preserve">M1</w:t>
            </w:r>
          </w:p>
        </w:tc>
      </w:tr>
      <w:tr>
        <w:tc>
          <w:tcPr>
            <w:tcW w:type="dxa" w:w="4680"/>
            <w:tcMar>
              <w:top w:type="dxa" w:w="60"/>
              <w:left w:type="dxa" w:w="100"/>
              <w:bottom w:type="dxa" w:w="60"/>
              <w:right w:type="dxa" w:w="100"/>
            </w:tcMar>
          </w:tcPr>
          <w:p>
            <w:pPr>
              <w:spacing w:after="20" w:before="20"/>
            </w:pPr>
            <w:r>
              <w:rPr>
                <w:sz w:val="19"/>
                <w:szCs w:val="19"/>
              </w:rPr>
              <w:t xml:space="preserve">Safety component definition (amended)</w:t>
            </w:r>
          </w:p>
        </w:tc>
        <w:tc>
          <w:tcPr>
            <w:tcW w:type="dxa" w:w="4680"/>
            <w:tcMar>
              <w:top w:type="dxa" w:w="60"/>
              <w:left w:type="dxa" w:w="100"/>
              <w:bottom w:type="dxa" w:w="60"/>
              <w:right w:type="dxa" w:w="100"/>
            </w:tcMar>
          </w:tcPr>
          <w:p>
            <w:pPr>
              <w:spacing w:after="20" w:before="20"/>
            </w:pPr>
            <w:r>
              <w:rPr>
                <w:sz w:val="19"/>
                <w:szCs w:val="19"/>
              </w:rPr>
              <w:t xml:space="preserve">Art 3(14)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Annex I Section A: items 2-12 after the M1 deletion of item 1 (see Annex I note below); Section B: sectoral legislation incl. the Machinery Regulation</w:t>
            </w:r>
          </w:p>
        </w:tc>
        <w:tc>
          <w:tcPr>
            <w:tcW w:type="dxa" w:w="4680"/>
            <w:shd w:fill="F2F7FB" w:val="clear"/>
            <w:tcMar>
              <w:top w:type="dxa" w:w="60"/>
              <w:left w:type="dxa" w:w="100"/>
              <w:bottom w:type="dxa" w:w="60"/>
              <w:right w:type="dxa" w:w="100"/>
            </w:tcMar>
          </w:tcPr>
          <w:p>
            <w:pPr>
              <w:spacing w:after="20" w:before="20"/>
            </w:pPr>
            <w:r>
              <w:rPr>
                <w:sz w:val="19"/>
                <w:szCs w:val="19"/>
              </w:rPr>
              <w:t xml:space="preserve">Annex I </w:t>
            </w:r>
            <w:r>
              <w:rPr>
                <w:rFonts w:ascii="Consolas" w:cs="Consolas" w:eastAsia="Consolas" w:hAnsi="Consolas"/>
                <w:sz w:val="19"/>
                <w:szCs w:val="19"/>
              </w:rPr>
              <w:t xml:space="preserve">B</w:t>
            </w:r>
            <w:r>
              <w:rPr>
                <w:sz w:val="19"/>
                <w:szCs w:val="19"/>
              </w:rPr>
              <w:t xml:space="preserve">+</w:t>
            </w:r>
            <w:r>
              <w:rPr>
                <w:rFonts w:ascii="Consolas" w:cs="Consolas" w:eastAsia="Consolas" w:hAnsi="Consolas"/>
                <w:sz w:val="19"/>
                <w:szCs w:val="19"/>
              </w:rPr>
              <w:t xml:space="preserve">M1</w:t>
            </w:r>
          </w:p>
        </w:tc>
      </w:tr>
      <w:tr>
        <w:tc>
          <w:tcPr>
            <w:tcW w:type="dxa" w:w="4680"/>
            <w:tcMar>
              <w:top w:type="dxa" w:w="60"/>
              <w:left w:type="dxa" w:w="100"/>
              <w:bottom w:type="dxa" w:w="60"/>
              <w:right w:type="dxa" w:w="100"/>
            </w:tcMar>
          </w:tcPr>
          <w:p>
            <w:pPr>
              <w:spacing w:after="20" w:before="20"/>
            </w:pPr>
            <w:r>
              <w:rPr>
                <w:sz w:val="19"/>
                <w:szCs w:val="19"/>
              </w:rPr>
              <w:t xml:space="preserve">Section B products: only Art 6(1), Art 60a and Arts 102-112 apply directly</w:t>
            </w:r>
          </w:p>
        </w:tc>
        <w:tc>
          <w:tcPr>
            <w:tcW w:type="dxa" w:w="4680"/>
            <w:tcMar>
              <w:top w:type="dxa" w:w="60"/>
              <w:left w:type="dxa" w:w="100"/>
              <w:bottom w:type="dxa" w:w="60"/>
              <w:right w:type="dxa" w:w="100"/>
            </w:tcMar>
          </w:tcPr>
          <w:p>
            <w:pPr>
              <w:spacing w:after="20" w:before="20"/>
            </w:pPr>
            <w:r>
              <w:rPr>
                <w:sz w:val="19"/>
                <w:szCs w:val="19"/>
              </w:rPr>
              <w:t xml:space="preserve">Art 2(2)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Possible limitation of Arts 9-15, 17-25 where Section A legislation gives equivalent protection; delegated acts by 2 Aug 2027</w:t>
            </w:r>
          </w:p>
        </w:tc>
        <w:tc>
          <w:tcPr>
            <w:tcW w:type="dxa" w:w="4680"/>
            <w:shd w:fill="F2F7FB" w:val="clear"/>
            <w:tcMar>
              <w:top w:type="dxa" w:w="60"/>
              <w:left w:type="dxa" w:w="100"/>
              <w:bottom w:type="dxa" w:w="60"/>
              <w:right w:type="dxa" w:w="100"/>
            </w:tcMar>
          </w:tcPr>
          <w:p>
            <w:pPr>
              <w:spacing w:after="20" w:before="20"/>
            </w:pPr>
            <w:r>
              <w:rPr>
                <w:sz w:val="19"/>
                <w:szCs w:val="19"/>
              </w:rPr>
              <w:t xml:space="preserve">Art 2(13) </w:t>
            </w:r>
            <w:r>
              <w:rPr>
                <w:rFonts w:ascii="Consolas" w:cs="Consolas" w:eastAsia="Consolas" w:hAnsi="Consolas"/>
                <w:sz w:val="19"/>
                <w:szCs w:val="19"/>
              </w:rPr>
              <w:t xml:space="preserve">M1</w:t>
            </w:r>
          </w:p>
        </w:tc>
      </w:tr>
      <w:tr>
        <w:tc>
          <w:tcPr>
            <w:tcW w:type="dxa" w:w="4680"/>
            <w:tcMar>
              <w:top w:type="dxa" w:w="60"/>
              <w:left w:type="dxa" w:w="100"/>
              <w:bottom w:type="dxa" w:w="60"/>
              <w:right w:type="dxa" w:w="100"/>
            </w:tcMar>
          </w:tcPr>
          <w:p>
            <w:pPr>
              <w:spacing w:after="20" w:before="20"/>
            </w:pPr>
            <w:r>
              <w:rPr>
                <w:sz w:val="19"/>
                <w:szCs w:val="19"/>
              </w:rPr>
              <w:t xml:space="preserve">Commencement: 2 Aug 2028</w:t>
            </w:r>
          </w:p>
        </w:tc>
        <w:tc>
          <w:tcPr>
            <w:tcW w:type="dxa" w:w="4680"/>
            <w:tcMar>
              <w:top w:type="dxa" w:w="60"/>
              <w:left w:type="dxa" w:w="100"/>
              <w:bottom w:type="dxa" w:w="60"/>
              <w:right w:type="dxa" w:w="100"/>
            </w:tcMar>
          </w:tcPr>
          <w:p>
            <w:pPr>
              <w:spacing w:after="20" w:before="20"/>
            </w:pPr>
            <w:r>
              <w:rPr>
                <w:sz w:val="19"/>
                <w:szCs w:val="19"/>
              </w:rPr>
              <w:t xml:space="preserve">Art 113(c)(ii) </w:t>
            </w:r>
            <w:r>
              <w:rPr>
                <w:rFonts w:ascii="Consolas" w:cs="Consolas" w:eastAsia="Consolas" w:hAnsi="Consolas"/>
                <w:sz w:val="19"/>
                <w:szCs w:val="19"/>
              </w:rPr>
              <w:t xml:space="preserve">M1</w:t>
            </w:r>
          </w:p>
        </w:tc>
      </w:tr>
    </w:tbl>
    <w:p>
      <w:pPr>
        <w:spacing w:after="80"/>
      </w:pPr>
    </w:p>
    <w:p>
      <w:pPr>
        <w:spacing w:after="140"/>
        <w:jc w:val="both"/>
      </w:pPr>
      <w:r>
        <w:rPr>
          <w:b/>
          <w:bCs/>
        </w:rPr>
        <w:t xml:space="preserve">Annex I note.</w:t>
      </w:r>
      <w:r>
        <w:t xml:space="preserve"> The omnibus made two changes verified in the consolidated Annex: former item 1, Directive 2006/42/EC (Machinery Directive), is </w:t>
      </w:r>
      <w:r>
        <w:rPr>
          <w:b/>
          <w:bCs/>
        </w:rPr>
        <w:t xml:space="preserve">deleted</w:t>
      </w:r>
      <w:r>
        <w:t xml:space="preserve"> (the </w:t>
      </w:r>
      <w:r>
        <w:rPr>
          <w:rFonts w:ascii="Consolas" w:cs="Consolas" w:eastAsia="Consolas" w:hAnsi="Consolas"/>
          <w:sz w:val="19"/>
          <w:szCs w:val="19"/>
        </w:rPr>
        <w:t xml:space="preserve">M1</w:t>
      </w:r>
      <w:r>
        <w:t xml:space="preserve"> deletion marker stands where item 1 was; Section A now runs items 2-12), and item 21, </w:t>
      </w:r>
      <w:r>
        <w:rPr>
          <w:b/>
          <w:bCs/>
        </w:rPr>
        <w:t xml:space="preserve">Regulation (EU) 2023/1230</w:t>
      </w:r>
      <w:r>
        <w:t xml:space="preserve"> (Machinery Regulation), is </w:t>
      </w:r>
      <w:r>
        <w:rPr>
          <w:b/>
          <w:bCs/>
        </w:rPr>
        <w:t xml:space="preserve">added to Section B</w:t>
      </w:r>
      <w:r>
        <w:t xml:space="preserve">. The omnibus also amends Regulation (EU) 2023/1230 itself (per its own title), integrating AI requirements into the machinery regime - which is why the walkthrough describes the machinery route as handled through that Regulation's own procedures.</w:t>
      </w:r>
    </w:p>
    <w:p>
      <w:pPr>
        <w:spacing w:after="100" w:before="240"/>
      </w:pPr>
      <w:r>
        <w:rPr>
          <w:b/>
          <w:bCs/>
          <w:color w:val="2E74B5"/>
          <w:sz w:val="24"/>
          <w:szCs w:val="24"/>
        </w:rPr>
        <w:t xml:space="preserve">Gate 3 - Annex III route (walkthrough section 5)</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Statement</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4680"/>
            <w:tcMar>
              <w:top w:type="dxa" w:w="60"/>
              <w:left w:type="dxa" w:w="100"/>
              <w:bottom w:type="dxa" w:w="60"/>
              <w:right w:type="dxa" w:w="100"/>
            </w:tcMar>
          </w:tcPr>
          <w:p>
            <w:pPr>
              <w:spacing w:after="20" w:before="20"/>
            </w:pPr>
            <w:r>
              <w:rPr>
                <w:sz w:val="19"/>
                <w:szCs w:val="19"/>
              </w:rPr>
              <w:t xml:space="preserve">Annex III systems are high-risk</w:t>
            </w:r>
          </w:p>
        </w:tc>
        <w:tc>
          <w:tcPr>
            <w:tcW w:type="dxa" w:w="4680"/>
            <w:tcMar>
              <w:top w:type="dxa" w:w="60"/>
              <w:left w:type="dxa" w:w="100"/>
              <w:bottom w:type="dxa" w:w="60"/>
              <w:right w:type="dxa" w:w="100"/>
            </w:tcMar>
          </w:tcPr>
          <w:p>
            <w:pPr>
              <w:spacing w:after="20" w:before="20"/>
            </w:pPr>
            <w:r>
              <w:rPr>
                <w:sz w:val="19"/>
                <w:szCs w:val="19"/>
              </w:rPr>
              <w:t xml:space="preserve">Art 6(2)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The eight areas and every item under them, as restated in walkthrough section 5</w:t>
            </w:r>
          </w:p>
        </w:tc>
        <w:tc>
          <w:tcPr>
            <w:tcW w:type="dxa" w:w="4680"/>
            <w:shd w:fill="F2F7FB" w:val="clear"/>
            <w:tcMar>
              <w:top w:type="dxa" w:w="60"/>
              <w:left w:type="dxa" w:w="100"/>
              <w:bottom w:type="dxa" w:w="60"/>
              <w:right w:type="dxa" w:w="100"/>
            </w:tcMar>
          </w:tcPr>
          <w:p>
            <w:pPr>
              <w:spacing w:after="20" w:before="20"/>
            </w:pPr>
            <w:r>
              <w:rPr>
                <w:sz w:val="19"/>
                <w:szCs w:val="19"/>
              </w:rPr>
              <w:t xml:space="preserve">Annex III points 1-8 </w:t>
            </w:r>
            <w:r>
              <w:rPr>
                <w:rFonts w:ascii="Consolas" w:cs="Consolas" w:eastAsia="Consolas" w:hAnsi="Consolas"/>
                <w:sz w:val="19"/>
                <w:szCs w:val="19"/>
              </w:rPr>
              <w:t xml:space="preserve">B</w:t>
            </w:r>
            <w:r>
              <w:rPr>
                <w:sz w:val="19"/>
                <w:szCs w:val="19"/>
              </w:rPr>
              <w:t xml:space="preserve">, read item by item on 1 Sep 2026: 1(a)-(c), 2, 3(a)-(d), 4(a)-(b), 5(a)-(d), 6(a)-(e), 7(a)-(d), 8(a)-(b)</w:t>
            </w:r>
          </w:p>
        </w:tc>
      </w:tr>
      <w:tr>
        <w:tc>
          <w:tcPr>
            <w:tcW w:type="dxa" w:w="4680"/>
            <w:tcMar>
              <w:top w:type="dxa" w:w="60"/>
              <w:left w:type="dxa" w:w="100"/>
              <w:bottom w:type="dxa" w:w="60"/>
              <w:right w:type="dxa" w:w="100"/>
            </w:tcMar>
          </w:tcPr>
          <w:p>
            <w:pPr>
              <w:spacing w:after="20" w:before="20"/>
            </w:pPr>
            <w:r>
              <w:rPr>
                <w:b/>
                <w:bCs/>
                <w:sz w:val="19"/>
                <w:szCs w:val="19"/>
              </w:rPr>
              <w:t xml:space="preserve">The omnibus did not amend Annex III</w:t>
            </w:r>
            <w:r>
              <w:rPr>
                <w:sz w:val="19"/>
                <w:szCs w:val="19"/>
              </w:rPr>
              <w:t xml:space="preserve"> - the whole Annex carries the </w:t>
            </w:r>
            <w:r>
              <w:rPr>
                <w:rFonts w:ascii="Consolas" w:cs="Consolas" w:eastAsia="Consolas" w:hAnsi="Consolas"/>
                <w:sz w:val="19"/>
                <w:szCs w:val="19"/>
              </w:rPr>
              <w:t xml:space="preserve">B</w:t>
            </w:r>
            <w:r>
              <w:rPr>
                <w:sz w:val="19"/>
                <w:szCs w:val="19"/>
              </w:rPr>
              <w:t xml:space="preserve"> marker</w:t>
            </w:r>
          </w:p>
        </w:tc>
        <w:tc>
          <w:tcPr>
            <w:tcW w:type="dxa" w:w="4680"/>
            <w:tcMar>
              <w:top w:type="dxa" w:w="60"/>
              <w:left w:type="dxa" w:w="100"/>
              <w:bottom w:type="dxa" w:w="60"/>
              <w:right w:type="dxa" w:w="100"/>
            </w:tcMar>
          </w:tcPr>
          <w:p>
            <w:pPr>
              <w:spacing w:after="20" w:before="20"/>
            </w:pPr>
            <w:r>
              <w:rPr>
                <w:sz w:val="19"/>
                <w:szCs w:val="19"/>
              </w:rPr>
              <w:t xml:space="preserve">Annex III </w:t>
            </w:r>
            <w:r>
              <w:rPr>
                <w:rFonts w:ascii="Consolas" w:cs="Consolas" w:eastAsia="Consolas" w:hAnsi="Consolas"/>
                <w:sz w:val="19"/>
                <w:szCs w:val="19"/>
              </w:rPr>
              <w:t xml:space="preserve">B</w:t>
            </w:r>
            <w:r>
              <w:rPr>
                <w:sz w:val="19"/>
                <w:szCs w:val="19"/>
              </w:rPr>
              <w:t xml:space="preserve">; confirmed against Reg 2026/1744, which contains no Annex III amendment</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Biometric verification exclusion (identity confirmation only)</w:t>
            </w:r>
          </w:p>
        </w:tc>
        <w:tc>
          <w:tcPr>
            <w:tcW w:type="dxa" w:w="4680"/>
            <w:shd w:fill="F2F7FB" w:val="clear"/>
            <w:tcMar>
              <w:top w:type="dxa" w:w="60"/>
              <w:left w:type="dxa" w:w="100"/>
              <w:bottom w:type="dxa" w:w="60"/>
              <w:right w:type="dxa" w:w="100"/>
            </w:tcMar>
          </w:tcPr>
          <w:p>
            <w:pPr>
              <w:spacing w:after="20" w:before="20"/>
            </w:pPr>
            <w:r>
              <w:rPr>
                <w:sz w:val="19"/>
                <w:szCs w:val="19"/>
              </w:rPr>
              <w:t xml:space="preserve">Annex III 1(a), second paragraph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Credit fraud-detection exception</w:t>
            </w:r>
          </w:p>
        </w:tc>
        <w:tc>
          <w:tcPr>
            <w:tcW w:type="dxa" w:w="4680"/>
            <w:tcMar>
              <w:top w:type="dxa" w:w="60"/>
              <w:left w:type="dxa" w:w="100"/>
              <w:bottom w:type="dxa" w:w="60"/>
              <w:right w:type="dxa" w:w="100"/>
            </w:tcMar>
          </w:tcPr>
          <w:p>
            <w:pPr>
              <w:spacing w:after="20" w:before="20"/>
            </w:pPr>
            <w:r>
              <w:rPr>
                <w:sz w:val="19"/>
                <w:szCs w:val="19"/>
              </w:rPr>
              <w:t xml:space="preserve">Annex III 5(b)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Election campaign logistics exclusion</w:t>
            </w:r>
          </w:p>
        </w:tc>
        <w:tc>
          <w:tcPr>
            <w:tcW w:type="dxa" w:w="4680"/>
            <w:shd w:fill="F2F7FB" w:val="clear"/>
            <w:tcMar>
              <w:top w:type="dxa" w:w="60"/>
              <w:left w:type="dxa" w:w="100"/>
              <w:bottom w:type="dxa" w:w="60"/>
              <w:right w:type="dxa" w:w="100"/>
            </w:tcMar>
          </w:tcPr>
          <w:p>
            <w:pPr>
              <w:spacing w:after="20" w:before="20"/>
            </w:pPr>
            <w:r>
              <w:rPr>
                <w:sz w:val="19"/>
                <w:szCs w:val="19"/>
              </w:rPr>
              <w:t xml:space="preserve">Annex III 8(b), second sentence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Derogation: no significant risk incl. not materially influencing decision outcomes; the four conditions</w:t>
            </w:r>
          </w:p>
        </w:tc>
        <w:tc>
          <w:tcPr>
            <w:tcW w:type="dxa" w:w="4680"/>
            <w:tcMar>
              <w:top w:type="dxa" w:w="60"/>
              <w:left w:type="dxa" w:w="100"/>
              <w:bottom w:type="dxa" w:w="60"/>
              <w:right w:type="dxa" w:w="100"/>
            </w:tcMar>
          </w:tcPr>
          <w:p>
            <w:pPr>
              <w:spacing w:after="20" w:before="20"/>
            </w:pPr>
            <w:r>
              <w:rPr>
                <w:sz w:val="19"/>
                <w:szCs w:val="19"/>
              </w:rPr>
              <w:t xml:space="preserve">Art 6(3), first and second subparagraphs, (a)-(d)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Profiling override - always high-risk where the system profiles natural persons</w:t>
            </w:r>
          </w:p>
        </w:tc>
        <w:tc>
          <w:tcPr>
            <w:tcW w:type="dxa" w:w="4680"/>
            <w:shd w:fill="F2F7FB" w:val="clear"/>
            <w:tcMar>
              <w:top w:type="dxa" w:w="60"/>
              <w:left w:type="dxa" w:w="100"/>
              <w:bottom w:type="dxa" w:w="60"/>
              <w:right w:type="dxa" w:w="100"/>
            </w:tcMar>
          </w:tcPr>
          <w:p>
            <w:pPr>
              <w:spacing w:after="20" w:before="20"/>
            </w:pPr>
            <w:r>
              <w:rPr>
                <w:sz w:val="19"/>
                <w:szCs w:val="19"/>
              </w:rPr>
              <w:t xml:space="preserve">Art 6(3), third subparagraph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Documentation before placing on market or putting into service; production to authorities on request</w:t>
            </w:r>
          </w:p>
        </w:tc>
        <w:tc>
          <w:tcPr>
            <w:tcW w:type="dxa" w:w="4680"/>
            <w:tcMar>
              <w:top w:type="dxa" w:w="60"/>
              <w:left w:type="dxa" w:w="100"/>
              <w:bottom w:type="dxa" w:w="60"/>
              <w:right w:type="dxa" w:w="100"/>
            </w:tcMar>
          </w:tcPr>
          <w:p>
            <w:pPr>
              <w:spacing w:after="20" w:before="20"/>
            </w:pPr>
            <w:r>
              <w:rPr>
                <w:sz w:val="19"/>
                <w:szCs w:val="19"/>
              </w:rPr>
              <w:t xml:space="preserve">Art 6(4)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Registration of derogation claims in the EU database</w:t>
            </w:r>
          </w:p>
        </w:tc>
        <w:tc>
          <w:tcPr>
            <w:tcW w:type="dxa" w:w="4680"/>
            <w:shd w:fill="F2F7FB" w:val="clear"/>
            <w:tcMar>
              <w:top w:type="dxa" w:w="60"/>
              <w:left w:type="dxa" w:w="100"/>
              <w:bottom w:type="dxa" w:w="60"/>
              <w:right w:type="dxa" w:w="100"/>
            </w:tcMar>
          </w:tcPr>
          <w:p>
            <w:pPr>
              <w:spacing w:after="20" w:before="20"/>
            </w:pPr>
            <w:r>
              <w:rPr>
                <w:sz w:val="19"/>
                <w:szCs w:val="19"/>
              </w:rPr>
              <w:t xml:space="preserve">Art 6(4) </w:t>
            </w:r>
            <w:r>
              <w:rPr>
                <w:rFonts w:ascii="Consolas" w:cs="Consolas" w:eastAsia="Consolas" w:hAnsi="Consolas"/>
                <w:sz w:val="19"/>
                <w:szCs w:val="19"/>
              </w:rPr>
              <w:t xml:space="preserve">B</w:t>
            </w:r>
            <w:r>
              <w:rPr>
                <w:sz w:val="19"/>
                <w:szCs w:val="19"/>
              </w:rPr>
              <w:t xml:space="preserve">, referring to Art 49(2)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Commission guidelines with practical examples due by 2 February 2026</w:t>
            </w:r>
          </w:p>
        </w:tc>
        <w:tc>
          <w:tcPr>
            <w:tcW w:type="dxa" w:w="4680"/>
            <w:tcMar>
              <w:top w:type="dxa" w:w="60"/>
              <w:left w:type="dxa" w:w="100"/>
              <w:bottom w:type="dxa" w:w="60"/>
              <w:right w:type="dxa" w:w="100"/>
            </w:tcMar>
          </w:tcPr>
          <w:p>
            <w:pPr>
              <w:spacing w:after="20" w:before="20"/>
            </w:pPr>
            <w:r>
              <w:rPr>
                <w:sz w:val="19"/>
                <w:szCs w:val="19"/>
              </w:rPr>
              <w:t xml:space="preserve">Art 6(5) </w:t>
            </w:r>
            <w:r>
              <w:rPr>
                <w:rFonts w:ascii="Consolas" w:cs="Consolas" w:eastAsia="Consolas" w:hAnsi="Consolas"/>
                <w:sz w:val="19"/>
                <w:szCs w:val="19"/>
              </w:rPr>
              <w:t xml:space="preserve">B</w:t>
            </w:r>
            <w:r>
              <w:rPr>
                <w:sz w:val="19"/>
                <w:szCs w:val="19"/>
              </w:rPr>
              <w:t xml:space="preserve"> - </w:t>
            </w:r>
            <w:r>
              <w:rPr>
                <w:b/>
                <w:bCs/>
                <w:sz w:val="19"/>
                <w:szCs w:val="19"/>
              </w:rPr>
              <w:t xml:space="preserve">the guidelines themselves are not held; see Limitations</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Commencement: 2 Dec 2027</w:t>
            </w:r>
          </w:p>
        </w:tc>
        <w:tc>
          <w:tcPr>
            <w:tcW w:type="dxa" w:w="4680"/>
            <w:shd w:fill="F2F7FB" w:val="clear"/>
            <w:tcMar>
              <w:top w:type="dxa" w:w="60"/>
              <w:left w:type="dxa" w:w="100"/>
              <w:bottom w:type="dxa" w:w="60"/>
              <w:right w:type="dxa" w:w="100"/>
            </w:tcMar>
          </w:tcPr>
          <w:p>
            <w:pPr>
              <w:spacing w:after="20" w:before="20"/>
            </w:pPr>
            <w:r>
              <w:rPr>
                <w:sz w:val="19"/>
                <w:szCs w:val="19"/>
              </w:rPr>
              <w:t xml:space="preserve">Art 113(c)(i) </w:t>
            </w:r>
            <w:r>
              <w:rPr>
                <w:rFonts w:ascii="Consolas" w:cs="Consolas" w:eastAsia="Consolas" w:hAnsi="Consolas"/>
                <w:sz w:val="19"/>
                <w:szCs w:val="19"/>
              </w:rPr>
              <w:t xml:space="preserve">M1</w:t>
            </w:r>
          </w:p>
        </w:tc>
      </w:tr>
    </w:tbl>
    <w:p>
      <w:pPr>
        <w:spacing w:after="80"/>
      </w:pPr>
    </w:p>
    <w:p>
      <w:pPr>
        <w:spacing w:after="100" w:before="240"/>
      </w:pPr>
      <w:r>
        <w:rPr>
          <w:b/>
          <w:bCs/>
          <w:color w:val="2E74B5"/>
          <w:sz w:val="24"/>
          <w:szCs w:val="24"/>
        </w:rPr>
        <w:t xml:space="preserve">Gate 4 - transparency (walkthrough section 6)</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Statement</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4680"/>
            <w:tcMar>
              <w:top w:type="dxa" w:w="60"/>
              <w:left w:type="dxa" w:w="100"/>
              <w:bottom w:type="dxa" w:w="60"/>
              <w:right w:type="dxa" w:w="100"/>
            </w:tcMar>
          </w:tcPr>
          <w:p>
            <w:pPr>
              <w:spacing w:after="20" w:before="20"/>
            </w:pPr>
            <w:r>
              <w:rPr>
                <w:sz w:val="19"/>
                <w:szCs w:val="19"/>
              </w:rPr>
              <w:t xml:space="preserve">Interaction disclosure (provider duty); obviousness standard; law-enforcement exception</w:t>
            </w:r>
          </w:p>
        </w:tc>
        <w:tc>
          <w:tcPr>
            <w:tcW w:type="dxa" w:w="4680"/>
            <w:tcMar>
              <w:top w:type="dxa" w:w="60"/>
              <w:left w:type="dxa" w:w="100"/>
              <w:bottom w:type="dxa" w:w="60"/>
              <w:right w:type="dxa" w:w="100"/>
            </w:tcMar>
          </w:tcPr>
          <w:p>
            <w:pPr>
              <w:spacing w:after="20" w:before="20"/>
            </w:pPr>
            <w:r>
              <w:rPr>
                <w:sz w:val="19"/>
                <w:szCs w:val="19"/>
              </w:rPr>
              <w:t xml:space="preserve">Art 50(1)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Machine-readable marking of synthetic audio, image, video, text (provider duty); assistive-editing carve-out</w:t>
            </w:r>
          </w:p>
        </w:tc>
        <w:tc>
          <w:tcPr>
            <w:tcW w:type="dxa" w:w="4680"/>
            <w:shd w:fill="F2F7FB" w:val="clear"/>
            <w:tcMar>
              <w:top w:type="dxa" w:w="60"/>
              <w:left w:type="dxa" w:w="100"/>
              <w:bottom w:type="dxa" w:w="60"/>
              <w:right w:type="dxa" w:w="100"/>
            </w:tcMar>
          </w:tcPr>
          <w:p>
            <w:pPr>
              <w:spacing w:after="20" w:before="20"/>
            </w:pPr>
            <w:r>
              <w:rPr>
                <w:sz w:val="19"/>
                <w:szCs w:val="19"/>
              </w:rPr>
              <w:t xml:space="preserve">Art 50(2)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Emotion recognition / biometric categorisation disclosure (deployer duty) and data protection compliance</w:t>
            </w:r>
          </w:p>
        </w:tc>
        <w:tc>
          <w:tcPr>
            <w:tcW w:type="dxa" w:w="4680"/>
            <w:tcMar>
              <w:top w:type="dxa" w:w="60"/>
              <w:left w:type="dxa" w:w="100"/>
              <w:bottom w:type="dxa" w:w="60"/>
              <w:right w:type="dxa" w:w="100"/>
            </w:tcMar>
          </w:tcPr>
          <w:p>
            <w:pPr>
              <w:spacing w:after="20" w:before="20"/>
            </w:pPr>
            <w:r>
              <w:rPr>
                <w:sz w:val="19"/>
                <w:szCs w:val="19"/>
              </w:rPr>
              <w:t xml:space="preserve">Art 50(3)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Deep fake disclosure; artistic-work limitation; public-interest text duty and editorial-control exception</w:t>
            </w:r>
          </w:p>
        </w:tc>
        <w:tc>
          <w:tcPr>
            <w:tcW w:type="dxa" w:w="4680"/>
            <w:shd w:fill="F2F7FB" w:val="clear"/>
            <w:tcMar>
              <w:top w:type="dxa" w:w="60"/>
              <w:left w:type="dxa" w:w="100"/>
              <w:bottom w:type="dxa" w:w="60"/>
              <w:right w:type="dxa" w:w="100"/>
            </w:tcMar>
          </w:tcPr>
          <w:p>
            <w:pPr>
              <w:spacing w:after="20" w:before="20"/>
            </w:pPr>
            <w:r>
              <w:rPr>
                <w:sz w:val="19"/>
                <w:szCs w:val="19"/>
              </w:rPr>
              <w:t xml:space="preserve">Art 50(4)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Clear provision at first interaction or exposure</w:t>
            </w:r>
          </w:p>
        </w:tc>
        <w:tc>
          <w:tcPr>
            <w:tcW w:type="dxa" w:w="4680"/>
            <w:tcMar>
              <w:top w:type="dxa" w:w="60"/>
              <w:left w:type="dxa" w:w="100"/>
              <w:bottom w:type="dxa" w:w="60"/>
              <w:right w:type="dxa" w:w="100"/>
            </w:tcMar>
          </w:tcPr>
          <w:p>
            <w:pPr>
              <w:spacing w:after="20" w:before="20"/>
            </w:pPr>
            <w:r>
              <w:rPr>
                <w:sz w:val="19"/>
                <w:szCs w:val="19"/>
              </w:rPr>
              <w:t xml:space="preserve">Art 50(5)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Duties do not affect Chapter III - the basis for "overlay, not a tier"</w:t>
            </w:r>
          </w:p>
        </w:tc>
        <w:tc>
          <w:tcPr>
            <w:tcW w:type="dxa" w:w="4680"/>
            <w:shd w:fill="F2F7FB" w:val="clear"/>
            <w:tcMar>
              <w:top w:type="dxa" w:w="60"/>
              <w:left w:type="dxa" w:w="100"/>
              <w:bottom w:type="dxa" w:w="60"/>
              <w:right w:type="dxa" w:w="100"/>
            </w:tcMar>
          </w:tcPr>
          <w:p>
            <w:pPr>
              <w:spacing w:after="20" w:before="20"/>
            </w:pPr>
            <w:r>
              <w:rPr>
                <w:sz w:val="19"/>
                <w:szCs w:val="19"/>
              </w:rPr>
              <w:t xml:space="preserve">Art 50(6)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Codes of practice on detection, marking, labelling; Commission implementing act fallback</w:t>
            </w:r>
          </w:p>
        </w:tc>
        <w:tc>
          <w:tcPr>
            <w:tcW w:type="dxa" w:w="4680"/>
            <w:tcMar>
              <w:top w:type="dxa" w:w="60"/>
              <w:left w:type="dxa" w:w="100"/>
              <w:bottom w:type="dxa" w:w="60"/>
              <w:right w:type="dxa" w:w="100"/>
            </w:tcMar>
          </w:tcPr>
          <w:p>
            <w:pPr>
              <w:spacing w:after="20" w:before="20"/>
            </w:pPr>
            <w:r>
              <w:rPr>
                <w:sz w:val="19"/>
                <w:szCs w:val="19"/>
              </w:rPr>
              <w:t xml:space="preserve">Art 50(7)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Commencement: 2 Aug 2026 (Chapter IV is not carved out of the general date)</w:t>
            </w:r>
          </w:p>
        </w:tc>
        <w:tc>
          <w:tcPr>
            <w:tcW w:type="dxa" w:w="4680"/>
            <w:shd w:fill="F2F7FB" w:val="clear"/>
            <w:tcMar>
              <w:top w:type="dxa" w:w="60"/>
              <w:left w:type="dxa" w:w="100"/>
              <w:bottom w:type="dxa" w:w="60"/>
              <w:right w:type="dxa" w:w="100"/>
            </w:tcMar>
          </w:tcPr>
          <w:p>
            <w:pPr>
              <w:spacing w:after="20" w:before="20"/>
            </w:pPr>
            <w:r>
              <w:rPr>
                <w:sz w:val="19"/>
                <w:szCs w:val="19"/>
              </w:rPr>
              <w:t xml:space="preserve">Art 113, second paragraph </w:t>
            </w:r>
            <w:r>
              <w:rPr>
                <w:rFonts w:ascii="Consolas" w:cs="Consolas" w:eastAsia="Consolas" w:hAnsi="Consolas"/>
                <w:sz w:val="19"/>
                <w:szCs w:val="19"/>
              </w:rPr>
              <w:t xml:space="preserve">B</w:t>
            </w:r>
          </w:p>
        </w:tc>
      </w:tr>
    </w:tbl>
    <w:p>
      <w:pPr>
        <w:spacing w:after="80"/>
      </w:pPr>
    </w:p>
    <w:p>
      <w:pPr>
        <w:spacing w:after="100" w:before="240"/>
      </w:pPr>
      <w:r>
        <w:rPr>
          <w:b/>
          <w:bCs/>
          <w:color w:val="2E74B5"/>
          <w:sz w:val="24"/>
          <w:szCs w:val="24"/>
        </w:rPr>
        <w:t xml:space="preserve">Gate 5 - residual duties (walkthrough section 7)</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Statement</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4680"/>
            <w:tcMar>
              <w:top w:type="dxa" w:w="60"/>
              <w:left w:type="dxa" w:w="100"/>
              <w:bottom w:type="dxa" w:w="60"/>
              <w:right w:type="dxa" w:w="100"/>
            </w:tcMar>
          </w:tcPr>
          <w:p>
            <w:pPr>
              <w:spacing w:after="20" w:before="20"/>
            </w:pPr>
            <w:r>
              <w:rPr>
                <w:sz w:val="19"/>
                <w:szCs w:val="19"/>
              </w:rPr>
              <w:t xml:space="preserve">AI literacy duty on providers and deployers; no guaranteed individual level</w:t>
            </w:r>
          </w:p>
        </w:tc>
        <w:tc>
          <w:tcPr>
            <w:tcW w:type="dxa" w:w="4680"/>
            <w:tcMar>
              <w:top w:type="dxa" w:w="60"/>
              <w:left w:type="dxa" w:w="100"/>
              <w:bottom w:type="dxa" w:w="60"/>
              <w:right w:type="dxa" w:w="100"/>
            </w:tcMar>
          </w:tcPr>
          <w:p>
            <w:pPr>
              <w:spacing w:after="20" w:before="20"/>
            </w:pPr>
            <w:r>
              <w:rPr>
                <w:sz w:val="19"/>
                <w:szCs w:val="19"/>
              </w:rPr>
              <w:t xml:space="preserve">Art 4(1) </w:t>
            </w:r>
            <w:r>
              <w:rPr>
                <w:rFonts w:ascii="Consolas" w:cs="Consolas" w:eastAsia="Consolas" w:hAnsi="Consolas"/>
                <w:sz w:val="19"/>
                <w:szCs w:val="19"/>
              </w:rPr>
              <w:t xml:space="preserve">M1</w:t>
            </w:r>
            <w:r>
              <w:rPr>
                <w:sz w:val="19"/>
                <w:szCs w:val="19"/>
              </w:rPr>
              <w:t xml:space="preserve"> (Article 4 as amended; the omnibus added support duties in Art 4(2)-(3) </w:t>
            </w:r>
            <w:r>
              <w:rPr>
                <w:rFonts w:ascii="Consolas" w:cs="Consolas" w:eastAsia="Consolas" w:hAnsi="Consolas"/>
                <w:sz w:val="19"/>
                <w:szCs w:val="19"/>
              </w:rPr>
              <w:t xml:space="preserve">M1</w:t>
            </w:r>
            <w:r>
              <w:rPr>
                <w:sz w:val="19"/>
                <w:szCs w:val="19"/>
              </w:rPr>
              <w:t xml:space="preserve">)</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GPAI model duties fall on the model provider; systemic-risk tier</w:t>
            </w:r>
          </w:p>
        </w:tc>
        <w:tc>
          <w:tcPr>
            <w:tcW w:type="dxa" w:w="4680"/>
            <w:shd w:fill="F2F7FB" w:val="clear"/>
            <w:tcMar>
              <w:top w:type="dxa" w:w="60"/>
              <w:left w:type="dxa" w:w="100"/>
              <w:bottom w:type="dxa" w:w="60"/>
              <w:right w:type="dxa" w:w="100"/>
            </w:tcMar>
          </w:tcPr>
          <w:p>
            <w:pPr>
              <w:spacing w:after="20" w:before="20"/>
            </w:pPr>
            <w:r>
              <w:rPr>
                <w:sz w:val="19"/>
                <w:szCs w:val="19"/>
              </w:rPr>
              <w:t xml:space="preserve">Arts 51-56 (Chapter V) </w:t>
            </w:r>
            <w:r>
              <w:rPr>
                <w:rFonts w:ascii="Consolas" w:cs="Consolas" w:eastAsia="Consolas" w:hAnsi="Consolas"/>
                <w:sz w:val="19"/>
                <w:szCs w:val="19"/>
              </w:rPr>
              <w:t xml:space="preserve">B</w:t>
            </w:r>
            <w:r>
              <w:rPr>
                <w:sz w:val="19"/>
                <w:szCs w:val="19"/>
              </w:rPr>
              <w:t xml:space="preserve">/</w:t>
            </w:r>
            <w:r>
              <w:rPr>
                <w:rFonts w:ascii="Consolas" w:cs="Consolas" w:eastAsia="Consolas" w:hAnsi="Consolas"/>
                <w:sz w:val="19"/>
                <w:szCs w:val="19"/>
              </w:rPr>
              <w:t xml:space="preserve">M1</w:t>
            </w:r>
            <w:r>
              <w:rPr>
                <w:sz w:val="19"/>
                <w:szCs w:val="19"/>
              </w:rPr>
              <w:t xml:space="preserve">; classification rule Art 51(1)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Commencement: literacy 2 Feb 2025 (Chapter I); GPAI 2 Aug 2025</w:t>
            </w:r>
          </w:p>
        </w:tc>
        <w:tc>
          <w:tcPr>
            <w:tcW w:type="dxa" w:w="4680"/>
            <w:tcMar>
              <w:top w:type="dxa" w:w="60"/>
              <w:left w:type="dxa" w:w="100"/>
              <w:bottom w:type="dxa" w:w="60"/>
              <w:right w:type="dxa" w:w="100"/>
            </w:tcMar>
          </w:tcPr>
          <w:p>
            <w:pPr>
              <w:spacing w:after="20" w:before="20"/>
            </w:pPr>
            <w:r>
              <w:rPr>
                <w:sz w:val="19"/>
                <w:szCs w:val="19"/>
              </w:rPr>
              <w:t xml:space="preserve">Art 113(a) </w:t>
            </w:r>
            <w:r>
              <w:rPr>
                <w:rFonts w:ascii="Consolas" w:cs="Consolas" w:eastAsia="Consolas" w:hAnsi="Consolas"/>
                <w:sz w:val="19"/>
                <w:szCs w:val="19"/>
              </w:rPr>
              <w:t xml:space="preserve">M1</w:t>
            </w:r>
            <w:r>
              <w:rPr>
                <w:sz w:val="19"/>
                <w:szCs w:val="19"/>
              </w:rPr>
              <w:t xml:space="preserve">, 113(b) </w:t>
            </w:r>
            <w:r>
              <w:rPr>
                <w:rFonts w:ascii="Consolas" w:cs="Consolas" w:eastAsia="Consolas" w:hAnsi="Consolas"/>
                <w:sz w:val="19"/>
                <w:szCs w:val="19"/>
              </w:rPr>
              <w:t xml:space="preserve">B</w:t>
            </w:r>
          </w:p>
        </w:tc>
      </w:tr>
    </w:tbl>
    <w:p>
      <w:pPr>
        <w:spacing w:after="80"/>
      </w:pPr>
    </w:p>
    <w:p>
      <w:pPr>
        <w:spacing w:after="100" w:before="240"/>
      </w:pPr>
      <w:r>
        <w:rPr>
          <w:b/>
          <w:bCs/>
          <w:color w:val="2E74B5"/>
          <w:sz w:val="24"/>
          <w:szCs w:val="24"/>
        </w:rPr>
        <w:t xml:space="preserve">Commencement table (walkthrough section 8)</w:t>
      </w:r>
    </w:p>
    <w:p>
      <w:pPr>
        <w:spacing w:after="140"/>
        <w:jc w:val="both"/>
      </w:pPr>
      <w:r>
        <w:t xml:space="preserve">Verified against Article 113 as amended, in full:</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Provision</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Applies from</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Source</w:t>
            </w:r>
          </w:p>
        </w:tc>
      </w:tr>
      <w:tr>
        <w:tc>
          <w:tcPr>
            <w:tcW w:type="dxa" w:w="3120"/>
            <w:tcMar>
              <w:top w:type="dxa" w:w="60"/>
              <w:left w:type="dxa" w:w="100"/>
              <w:bottom w:type="dxa" w:w="60"/>
              <w:right w:type="dxa" w:w="100"/>
            </w:tcMar>
          </w:tcPr>
          <w:p>
            <w:pPr>
              <w:spacing w:after="20" w:before="20"/>
            </w:pPr>
            <w:r>
              <w:rPr>
                <w:sz w:val="19"/>
                <w:szCs w:val="19"/>
              </w:rPr>
              <w:t xml:space="preserve">The Regulation generally (incl. Chapter IV, Art 50)</w:t>
            </w:r>
          </w:p>
        </w:tc>
        <w:tc>
          <w:tcPr>
            <w:tcW w:type="dxa" w:w="3120"/>
            <w:tcMar>
              <w:top w:type="dxa" w:w="60"/>
              <w:left w:type="dxa" w:w="100"/>
              <w:bottom w:type="dxa" w:w="60"/>
              <w:right w:type="dxa" w:w="100"/>
            </w:tcMar>
          </w:tcPr>
          <w:p>
            <w:pPr>
              <w:spacing w:after="20" w:before="20"/>
            </w:pPr>
            <w:r>
              <w:rPr>
                <w:sz w:val="19"/>
                <w:szCs w:val="19"/>
              </w:rPr>
              <w:t xml:space="preserve">2 August 2026</w:t>
            </w:r>
          </w:p>
        </w:tc>
        <w:tc>
          <w:tcPr>
            <w:tcW w:type="dxa" w:w="3120"/>
            <w:tcMar>
              <w:top w:type="dxa" w:w="60"/>
              <w:left w:type="dxa" w:w="100"/>
              <w:bottom w:type="dxa" w:w="60"/>
              <w:right w:type="dxa" w:w="100"/>
            </w:tcMar>
          </w:tcPr>
          <w:p>
            <w:pPr>
              <w:spacing w:after="20" w:before="20"/>
            </w:pPr>
            <w:r>
              <w:rPr>
                <w:sz w:val="19"/>
                <w:szCs w:val="19"/>
              </w:rPr>
              <w:t xml:space="preserve">Art 113, second paragraph </w:t>
            </w:r>
            <w:r>
              <w:rPr>
                <w:rFonts w:ascii="Consolas" w:cs="Consolas" w:eastAsia="Consolas" w:hAnsi="Consolas"/>
                <w:sz w:val="19"/>
                <w:szCs w:val="19"/>
              </w:rPr>
              <w:t xml:space="preserve">B</w:t>
            </w:r>
          </w:p>
        </w:tc>
      </w:tr>
      <w:tr>
        <w:tc>
          <w:tcPr>
            <w:tcW w:type="dxa" w:w="3120"/>
            <w:shd w:fill="F2F7FB" w:val="clear"/>
            <w:tcMar>
              <w:top w:type="dxa" w:w="60"/>
              <w:left w:type="dxa" w:w="100"/>
              <w:bottom w:type="dxa" w:w="60"/>
              <w:right w:type="dxa" w:w="100"/>
            </w:tcMar>
          </w:tcPr>
          <w:p>
            <w:pPr>
              <w:spacing w:after="20" w:before="20"/>
            </w:pPr>
            <w:r>
              <w:rPr>
                <w:sz w:val="19"/>
                <w:szCs w:val="19"/>
              </w:rPr>
              <w:t xml:space="preserve">Chapters I and II</w:t>
            </w:r>
          </w:p>
        </w:tc>
        <w:tc>
          <w:tcPr>
            <w:tcW w:type="dxa" w:w="3120"/>
            <w:shd w:fill="F2F7FB" w:val="clear"/>
            <w:tcMar>
              <w:top w:type="dxa" w:w="60"/>
              <w:left w:type="dxa" w:w="100"/>
              <w:bottom w:type="dxa" w:w="60"/>
              <w:right w:type="dxa" w:w="100"/>
            </w:tcMar>
          </w:tcPr>
          <w:p>
            <w:pPr>
              <w:spacing w:after="20" w:before="20"/>
            </w:pPr>
            <w:r>
              <w:rPr>
                <w:sz w:val="19"/>
                <w:szCs w:val="19"/>
              </w:rPr>
              <w:t xml:space="preserve">2 February 2025</w:t>
            </w:r>
          </w:p>
        </w:tc>
        <w:tc>
          <w:tcPr>
            <w:tcW w:type="dxa" w:w="3120"/>
            <w:shd w:fill="F2F7FB" w:val="clear"/>
            <w:tcMar>
              <w:top w:type="dxa" w:w="60"/>
              <w:left w:type="dxa" w:w="100"/>
              <w:bottom w:type="dxa" w:w="60"/>
              <w:right w:type="dxa" w:w="100"/>
            </w:tcMar>
          </w:tcPr>
          <w:p>
            <w:pPr>
              <w:spacing w:after="20" w:before="20"/>
            </w:pPr>
            <w:r>
              <w:rPr>
                <w:sz w:val="19"/>
                <w:szCs w:val="19"/>
              </w:rPr>
              <w:t xml:space="preserve">Art 113(a) </w:t>
            </w:r>
            <w:r>
              <w:rPr>
                <w:rFonts w:ascii="Consolas" w:cs="Consolas" w:eastAsia="Consolas" w:hAnsi="Consolas"/>
                <w:sz w:val="19"/>
                <w:szCs w:val="19"/>
              </w:rPr>
              <w:t xml:space="preserve">M1</w:t>
            </w:r>
          </w:p>
        </w:tc>
      </w:tr>
      <w:tr>
        <w:tc>
          <w:tcPr>
            <w:tcW w:type="dxa" w:w="3120"/>
            <w:tcMar>
              <w:top w:type="dxa" w:w="60"/>
              <w:left w:type="dxa" w:w="100"/>
              <w:bottom w:type="dxa" w:w="60"/>
              <w:right w:type="dxa" w:w="100"/>
            </w:tcMar>
          </w:tcPr>
          <w:p>
            <w:pPr>
              <w:spacing w:after="20" w:before="20"/>
            </w:pPr>
            <w:r>
              <w:rPr>
                <w:sz w:val="19"/>
                <w:szCs w:val="19"/>
              </w:rPr>
              <w:t xml:space="preserve">- except Art 5(1) points (ba), (bb) and Art 5(1a), (1b)</w:t>
            </w:r>
          </w:p>
        </w:tc>
        <w:tc>
          <w:tcPr>
            <w:tcW w:type="dxa" w:w="3120"/>
            <w:tcMar>
              <w:top w:type="dxa" w:w="60"/>
              <w:left w:type="dxa" w:w="100"/>
              <w:bottom w:type="dxa" w:w="60"/>
              <w:right w:type="dxa" w:w="100"/>
            </w:tcMar>
          </w:tcPr>
          <w:p>
            <w:pPr>
              <w:spacing w:after="20" w:before="20"/>
            </w:pPr>
            <w:r>
              <w:rPr>
                <w:sz w:val="19"/>
                <w:szCs w:val="19"/>
              </w:rPr>
              <w:t xml:space="preserve">2 December 2026</w:t>
            </w:r>
          </w:p>
        </w:tc>
        <w:tc>
          <w:tcPr>
            <w:tcW w:type="dxa" w:w="3120"/>
            <w:tcMar>
              <w:top w:type="dxa" w:w="60"/>
              <w:left w:type="dxa" w:w="100"/>
              <w:bottom w:type="dxa" w:w="60"/>
              <w:right w:type="dxa" w:w="100"/>
            </w:tcMar>
          </w:tcPr>
          <w:p>
            <w:pPr>
              <w:spacing w:after="20" w:before="20"/>
            </w:pPr>
            <w:r>
              <w:rPr>
                <w:sz w:val="19"/>
                <w:szCs w:val="19"/>
              </w:rPr>
              <w:t xml:space="preserve">Art 113(a) </w:t>
            </w:r>
            <w:r>
              <w:rPr>
                <w:rFonts w:ascii="Consolas" w:cs="Consolas" w:eastAsia="Consolas" w:hAnsi="Consolas"/>
                <w:sz w:val="19"/>
                <w:szCs w:val="19"/>
              </w:rPr>
              <w:t xml:space="preserve">M1</w:t>
            </w:r>
          </w:p>
        </w:tc>
      </w:tr>
      <w:tr>
        <w:tc>
          <w:tcPr>
            <w:tcW w:type="dxa" w:w="3120"/>
            <w:shd w:fill="F2F7FB" w:val="clear"/>
            <w:tcMar>
              <w:top w:type="dxa" w:w="60"/>
              <w:left w:type="dxa" w:w="100"/>
              <w:bottom w:type="dxa" w:w="60"/>
              <w:right w:type="dxa" w:w="100"/>
            </w:tcMar>
          </w:tcPr>
          <w:p>
            <w:pPr>
              <w:spacing w:after="20" w:before="20"/>
            </w:pPr>
            <w:r>
              <w:rPr>
                <w:sz w:val="19"/>
                <w:szCs w:val="19"/>
              </w:rPr>
              <w:t xml:space="preserve">Ch III S4, Ch V, Ch VII, Ch XII, Art 78 (except Art 101)</w:t>
            </w:r>
          </w:p>
        </w:tc>
        <w:tc>
          <w:tcPr>
            <w:tcW w:type="dxa" w:w="3120"/>
            <w:shd w:fill="F2F7FB" w:val="clear"/>
            <w:tcMar>
              <w:top w:type="dxa" w:w="60"/>
              <w:left w:type="dxa" w:w="100"/>
              <w:bottom w:type="dxa" w:w="60"/>
              <w:right w:type="dxa" w:w="100"/>
            </w:tcMar>
          </w:tcPr>
          <w:p>
            <w:pPr>
              <w:spacing w:after="20" w:before="20"/>
            </w:pPr>
            <w:r>
              <w:rPr>
                <w:sz w:val="19"/>
                <w:szCs w:val="19"/>
              </w:rPr>
              <w:t xml:space="preserve">2 August 2025</w:t>
            </w:r>
          </w:p>
        </w:tc>
        <w:tc>
          <w:tcPr>
            <w:tcW w:type="dxa" w:w="3120"/>
            <w:shd w:fill="F2F7FB" w:val="clear"/>
            <w:tcMar>
              <w:top w:type="dxa" w:w="60"/>
              <w:left w:type="dxa" w:w="100"/>
              <w:bottom w:type="dxa" w:w="60"/>
              <w:right w:type="dxa" w:w="100"/>
            </w:tcMar>
          </w:tcPr>
          <w:p>
            <w:pPr>
              <w:spacing w:after="20" w:before="20"/>
            </w:pPr>
            <w:r>
              <w:rPr>
                <w:sz w:val="19"/>
                <w:szCs w:val="19"/>
              </w:rPr>
              <w:t xml:space="preserve">Art 113(b) </w:t>
            </w:r>
            <w:r>
              <w:rPr>
                <w:rFonts w:ascii="Consolas" w:cs="Consolas" w:eastAsia="Consolas" w:hAnsi="Consolas"/>
                <w:sz w:val="19"/>
                <w:szCs w:val="19"/>
              </w:rPr>
              <w:t xml:space="preserve">B</w:t>
            </w:r>
          </w:p>
        </w:tc>
      </w:tr>
      <w:tr>
        <w:tc>
          <w:tcPr>
            <w:tcW w:type="dxa" w:w="3120"/>
            <w:tcMar>
              <w:top w:type="dxa" w:w="60"/>
              <w:left w:type="dxa" w:w="100"/>
              <w:bottom w:type="dxa" w:w="60"/>
              <w:right w:type="dxa" w:w="100"/>
            </w:tcMar>
          </w:tcPr>
          <w:p>
            <w:pPr>
              <w:spacing w:after="20" w:before="20"/>
            </w:pPr>
            <w:r>
              <w:rPr>
                <w:sz w:val="19"/>
                <w:szCs w:val="19"/>
              </w:rPr>
              <w:t xml:space="preserve">Ch III Ss 1-3 (except Art 6(5)) - Annex III high-risk</w:t>
            </w:r>
          </w:p>
        </w:tc>
        <w:tc>
          <w:tcPr>
            <w:tcW w:type="dxa" w:w="3120"/>
            <w:tcMar>
              <w:top w:type="dxa" w:w="60"/>
              <w:left w:type="dxa" w:w="100"/>
              <w:bottom w:type="dxa" w:w="60"/>
              <w:right w:type="dxa" w:w="100"/>
            </w:tcMar>
          </w:tcPr>
          <w:p>
            <w:pPr>
              <w:spacing w:after="20" w:before="20"/>
            </w:pPr>
            <w:r>
              <w:rPr>
                <w:sz w:val="19"/>
                <w:szCs w:val="19"/>
              </w:rPr>
              <w:t xml:space="preserve">2 December 2027</w:t>
            </w:r>
          </w:p>
        </w:tc>
        <w:tc>
          <w:tcPr>
            <w:tcW w:type="dxa" w:w="3120"/>
            <w:tcMar>
              <w:top w:type="dxa" w:w="60"/>
              <w:left w:type="dxa" w:w="100"/>
              <w:bottom w:type="dxa" w:w="60"/>
              <w:right w:type="dxa" w:w="100"/>
            </w:tcMar>
          </w:tcPr>
          <w:p>
            <w:pPr>
              <w:spacing w:after="20" w:before="20"/>
            </w:pPr>
            <w:r>
              <w:rPr>
                <w:sz w:val="19"/>
                <w:szCs w:val="19"/>
              </w:rPr>
              <w:t xml:space="preserve">Art 113(c)(i) </w:t>
            </w:r>
            <w:r>
              <w:rPr>
                <w:rFonts w:ascii="Consolas" w:cs="Consolas" w:eastAsia="Consolas" w:hAnsi="Consolas"/>
                <w:sz w:val="19"/>
                <w:szCs w:val="19"/>
              </w:rPr>
              <w:t xml:space="preserve">M1</w:t>
            </w:r>
          </w:p>
        </w:tc>
      </w:tr>
      <w:tr>
        <w:tc>
          <w:tcPr>
            <w:tcW w:type="dxa" w:w="3120"/>
            <w:shd w:fill="F2F7FB" w:val="clear"/>
            <w:tcMar>
              <w:top w:type="dxa" w:w="60"/>
              <w:left w:type="dxa" w:w="100"/>
              <w:bottom w:type="dxa" w:w="60"/>
              <w:right w:type="dxa" w:w="100"/>
            </w:tcMar>
          </w:tcPr>
          <w:p>
            <w:pPr>
              <w:spacing w:after="20" w:before="20"/>
            </w:pPr>
            <w:r>
              <w:rPr>
                <w:sz w:val="19"/>
                <w:szCs w:val="19"/>
              </w:rPr>
              <w:t xml:space="preserve">Ch III Ss 1-3 (except Art 6(5)) - Annex I high-risk</w:t>
            </w:r>
          </w:p>
        </w:tc>
        <w:tc>
          <w:tcPr>
            <w:tcW w:type="dxa" w:w="3120"/>
            <w:shd w:fill="F2F7FB" w:val="clear"/>
            <w:tcMar>
              <w:top w:type="dxa" w:w="60"/>
              <w:left w:type="dxa" w:w="100"/>
              <w:bottom w:type="dxa" w:w="60"/>
              <w:right w:type="dxa" w:w="100"/>
            </w:tcMar>
          </w:tcPr>
          <w:p>
            <w:pPr>
              <w:spacing w:after="20" w:before="20"/>
            </w:pPr>
            <w:r>
              <w:rPr>
                <w:sz w:val="19"/>
                <w:szCs w:val="19"/>
              </w:rPr>
              <w:t xml:space="preserve">2 August 2028</w:t>
            </w:r>
          </w:p>
        </w:tc>
        <w:tc>
          <w:tcPr>
            <w:tcW w:type="dxa" w:w="3120"/>
            <w:shd w:fill="F2F7FB" w:val="clear"/>
            <w:tcMar>
              <w:top w:type="dxa" w:w="60"/>
              <w:left w:type="dxa" w:w="100"/>
              <w:bottom w:type="dxa" w:w="60"/>
              <w:right w:type="dxa" w:w="100"/>
            </w:tcMar>
          </w:tcPr>
          <w:p>
            <w:pPr>
              <w:spacing w:after="20" w:before="20"/>
            </w:pPr>
            <w:r>
              <w:rPr>
                <w:sz w:val="19"/>
                <w:szCs w:val="19"/>
              </w:rPr>
              <w:t xml:space="preserve">Art 113(c)(ii) </w:t>
            </w:r>
            <w:r>
              <w:rPr>
                <w:rFonts w:ascii="Consolas" w:cs="Consolas" w:eastAsia="Consolas" w:hAnsi="Consolas"/>
                <w:sz w:val="19"/>
                <w:szCs w:val="19"/>
              </w:rPr>
              <w:t xml:space="preserve">M1</w:t>
            </w:r>
          </w:p>
        </w:tc>
      </w:tr>
      <w:tr>
        <w:tc>
          <w:tcPr>
            <w:tcW w:type="dxa" w:w="3120"/>
            <w:tcMar>
              <w:top w:type="dxa" w:w="60"/>
              <w:left w:type="dxa" w:w="100"/>
              <w:bottom w:type="dxa" w:w="60"/>
              <w:right w:type="dxa" w:w="100"/>
            </w:tcMar>
          </w:tcPr>
          <w:p>
            <w:pPr>
              <w:spacing w:after="20" w:before="20"/>
            </w:pPr>
            <w:r>
              <w:rPr>
                <w:sz w:val="19"/>
                <w:szCs w:val="19"/>
              </w:rPr>
              <w:t xml:space="preserve">Articles 102 to 110</w:t>
            </w:r>
          </w:p>
        </w:tc>
        <w:tc>
          <w:tcPr>
            <w:tcW w:type="dxa" w:w="3120"/>
            <w:tcMar>
              <w:top w:type="dxa" w:w="60"/>
              <w:left w:type="dxa" w:w="100"/>
              <w:bottom w:type="dxa" w:w="60"/>
              <w:right w:type="dxa" w:w="100"/>
            </w:tcMar>
          </w:tcPr>
          <w:p>
            <w:pPr>
              <w:spacing w:after="20" w:before="20"/>
            </w:pPr>
            <w:r>
              <w:rPr>
                <w:sz w:val="19"/>
                <w:szCs w:val="19"/>
              </w:rPr>
              <w:t xml:space="preserve">27 July 2026</w:t>
            </w:r>
          </w:p>
        </w:tc>
        <w:tc>
          <w:tcPr>
            <w:tcW w:type="dxa" w:w="3120"/>
            <w:tcMar>
              <w:top w:type="dxa" w:w="60"/>
              <w:left w:type="dxa" w:w="100"/>
              <w:bottom w:type="dxa" w:w="60"/>
              <w:right w:type="dxa" w:w="100"/>
            </w:tcMar>
          </w:tcPr>
          <w:p>
            <w:pPr>
              <w:spacing w:after="20" w:before="20"/>
            </w:pPr>
            <w:r>
              <w:rPr>
                <w:sz w:val="19"/>
                <w:szCs w:val="19"/>
              </w:rPr>
              <w:t xml:space="preserve">Art 113(d) </w:t>
            </w:r>
            <w:r>
              <w:rPr>
                <w:rFonts w:ascii="Consolas" w:cs="Consolas" w:eastAsia="Consolas" w:hAnsi="Consolas"/>
                <w:sz w:val="19"/>
                <w:szCs w:val="19"/>
              </w:rPr>
              <w:t xml:space="preserve">M1</w:t>
            </w:r>
          </w:p>
        </w:tc>
      </w:tr>
    </w:tbl>
    <w:p>
      <w:pPr>
        <w:spacing w:after="80"/>
      </w:pPr>
    </w:p>
    <w:p>
      <w:pPr>
        <w:spacing w:after="100" w:before="240"/>
      </w:pPr>
      <w:r>
        <w:rPr>
          <w:b/>
          <w:bCs/>
          <w:color w:val="2E74B5"/>
          <w:sz w:val="24"/>
          <w:szCs w:val="24"/>
        </w:rPr>
        <w:t xml:space="preserve">Worked example and quick-fire rows (walkthrough sections 9-10)</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Call made</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Basis</w:t>
            </w:r>
          </w:p>
        </w:tc>
      </w:tr>
      <w:tr>
        <w:tc>
          <w:tcPr>
            <w:tcW w:type="dxa" w:w="4680"/>
            <w:tcMar>
              <w:top w:type="dxa" w:w="60"/>
              <w:left w:type="dxa" w:w="100"/>
              <w:bottom w:type="dxa" w:w="60"/>
              <w:right w:type="dxa" w:w="100"/>
            </w:tcMar>
          </w:tcPr>
          <w:p>
            <w:pPr>
              <w:spacing w:after="20" w:before="20"/>
            </w:pPr>
            <w:r>
              <w:rPr>
                <w:sz w:val="19"/>
                <w:szCs w:val="19"/>
              </w:rPr>
              <w:t xml:space="preserve">CV screening: high-risk, listed item, derogation blocked by profiling</w:t>
            </w:r>
          </w:p>
        </w:tc>
        <w:tc>
          <w:tcPr>
            <w:tcW w:type="dxa" w:w="4680"/>
            <w:tcMar>
              <w:top w:type="dxa" w:w="60"/>
              <w:left w:type="dxa" w:w="100"/>
              <w:bottom w:type="dxa" w:w="60"/>
              <w:right w:type="dxa" w:w="100"/>
            </w:tcMar>
          </w:tcPr>
          <w:p>
            <w:pPr>
              <w:spacing w:after="20" w:before="20"/>
            </w:pPr>
            <w:r>
              <w:rPr>
                <w:sz w:val="19"/>
                <w:szCs w:val="19"/>
              </w:rPr>
              <w:t xml:space="preserve">Annex III 4(a) </w:t>
            </w:r>
            <w:r>
              <w:rPr>
                <w:rFonts w:ascii="Consolas" w:cs="Consolas" w:eastAsia="Consolas" w:hAnsi="Consolas"/>
                <w:sz w:val="19"/>
                <w:szCs w:val="19"/>
              </w:rPr>
              <w:t xml:space="preserve">B</w:t>
            </w:r>
            <w:r>
              <w:rPr>
                <w:sz w:val="19"/>
                <w:szCs w:val="19"/>
              </w:rPr>
              <w:t xml:space="preserve">; Art 6(3) third subparagraph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Video "engagement" add-on prohibited</w:t>
            </w:r>
          </w:p>
        </w:tc>
        <w:tc>
          <w:tcPr>
            <w:tcW w:type="dxa" w:w="4680"/>
            <w:shd w:fill="F2F7FB" w:val="clear"/>
            <w:tcMar>
              <w:top w:type="dxa" w:w="60"/>
              <w:left w:type="dxa" w:w="100"/>
              <w:bottom w:type="dxa" w:w="60"/>
              <w:right w:type="dxa" w:w="100"/>
            </w:tcMar>
          </w:tcPr>
          <w:p>
            <w:pPr>
              <w:spacing w:after="20" w:before="20"/>
            </w:pPr>
            <w:r>
              <w:rPr>
                <w:sz w:val="19"/>
                <w:szCs w:val="19"/>
              </w:rPr>
              <w:t xml:space="preserve">Art 5(1)(f) </w:t>
            </w:r>
            <w:r>
              <w:rPr>
                <w:rFonts w:ascii="Consolas" w:cs="Consolas" w:eastAsia="Consolas" w:hAnsi="Consolas"/>
                <w:sz w:val="19"/>
                <w:szCs w:val="19"/>
              </w:rPr>
              <w:t xml:space="preserve">B</w:t>
            </w:r>
            <w:r>
              <w:rPr>
                <w:sz w:val="19"/>
                <w:szCs w:val="19"/>
              </w:rPr>
              <w:t xml:space="preserve"> - recruitment interviews are within "the areas of workplace and education institutions"; the walkthrough treats candidate assessment as within the workplace area, consistent with the provision's purpose. A narrower reading is conceivable; the artifact states the safer position</w:t>
            </w:r>
          </w:p>
        </w:tc>
      </w:tr>
      <w:tr>
        <w:tc>
          <w:tcPr>
            <w:tcW w:type="dxa" w:w="4680"/>
            <w:tcMar>
              <w:top w:type="dxa" w:w="60"/>
              <w:left w:type="dxa" w:w="100"/>
              <w:bottom w:type="dxa" w:w="60"/>
              <w:right w:type="dxa" w:w="100"/>
            </w:tcMar>
          </w:tcPr>
          <w:p>
            <w:pPr>
              <w:spacing w:after="20" w:before="20"/>
            </w:pPr>
            <w:r>
              <w:rPr>
                <w:sz w:val="19"/>
                <w:szCs w:val="19"/>
              </w:rPr>
              <w:t xml:space="preserve">Row 2 (staff-meeting engagement scoring) prohibited</w:t>
            </w:r>
          </w:p>
        </w:tc>
        <w:tc>
          <w:tcPr>
            <w:tcW w:type="dxa" w:w="4680"/>
            <w:tcMar>
              <w:top w:type="dxa" w:w="60"/>
              <w:left w:type="dxa" w:w="100"/>
              <w:bottom w:type="dxa" w:w="60"/>
              <w:right w:type="dxa" w:w="100"/>
            </w:tcMar>
          </w:tcPr>
          <w:p>
            <w:pPr>
              <w:spacing w:after="20" w:before="20"/>
            </w:pPr>
            <w:r>
              <w:rPr>
                <w:sz w:val="19"/>
                <w:szCs w:val="19"/>
              </w:rPr>
              <w:t xml:space="preserve">Art 5(1)(f) </w:t>
            </w:r>
            <w:r>
              <w:rPr>
                <w:rFonts w:ascii="Consolas" w:cs="Consolas" w:eastAsia="Consolas" w:hAnsi="Consolas"/>
                <w:sz w:val="19"/>
                <w:szCs w:val="19"/>
              </w:rPr>
              <w:t xml:space="preserve">B</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Rows 3-4 (credit scoring; fraud detection exception)</w:t>
            </w:r>
          </w:p>
        </w:tc>
        <w:tc>
          <w:tcPr>
            <w:tcW w:type="dxa" w:w="4680"/>
            <w:shd w:fill="F2F7FB" w:val="clear"/>
            <w:tcMar>
              <w:top w:type="dxa" w:w="60"/>
              <w:left w:type="dxa" w:w="100"/>
              <w:bottom w:type="dxa" w:w="60"/>
              <w:right w:type="dxa" w:w="100"/>
            </w:tcMar>
          </w:tcPr>
          <w:p>
            <w:pPr>
              <w:spacing w:after="20" w:before="20"/>
            </w:pPr>
            <w:r>
              <w:rPr>
                <w:sz w:val="19"/>
                <w:szCs w:val="19"/>
              </w:rPr>
              <w:t xml:space="preserve">Annex III 5(b)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Row 5 (cosmetic quality control not a safety component)</w:t>
            </w:r>
          </w:p>
        </w:tc>
        <w:tc>
          <w:tcPr>
            <w:tcW w:type="dxa" w:w="4680"/>
            <w:tcMar>
              <w:top w:type="dxa" w:w="60"/>
              <w:left w:type="dxa" w:w="100"/>
              <w:bottom w:type="dxa" w:w="60"/>
              <w:right w:type="dxa" w:w="100"/>
            </w:tcMar>
          </w:tcPr>
          <w:p>
            <w:pPr>
              <w:spacing w:after="20" w:before="20"/>
            </w:pPr>
            <w:r>
              <w:rPr>
                <w:sz w:val="19"/>
                <w:szCs w:val="19"/>
              </w:rPr>
              <w:t xml:space="preserve">Art 6(1a) </w:t>
            </w:r>
            <w:r>
              <w:rPr>
                <w:rFonts w:ascii="Consolas" w:cs="Consolas" w:eastAsia="Consolas" w:hAnsi="Consolas"/>
                <w:sz w:val="19"/>
                <w:szCs w:val="19"/>
              </w:rPr>
              <w:t xml:space="preserve">M1</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Row 6 (guard-zone system; machinery)</w:t>
            </w:r>
          </w:p>
        </w:tc>
        <w:tc>
          <w:tcPr>
            <w:tcW w:type="dxa" w:w="4680"/>
            <w:shd w:fill="F2F7FB" w:val="clear"/>
            <w:tcMar>
              <w:top w:type="dxa" w:w="60"/>
              <w:left w:type="dxa" w:w="100"/>
              <w:bottom w:type="dxa" w:w="60"/>
              <w:right w:type="dxa" w:w="100"/>
            </w:tcMar>
          </w:tcPr>
          <w:p>
            <w:pPr>
              <w:spacing w:after="20" w:before="20"/>
            </w:pPr>
            <w:r>
              <w:rPr>
                <w:sz w:val="19"/>
                <w:szCs w:val="19"/>
              </w:rPr>
              <w:t xml:space="preserve">Art 6(1b) </w:t>
            </w:r>
            <w:r>
              <w:rPr>
                <w:rFonts w:ascii="Consolas" w:cs="Consolas" w:eastAsia="Consolas" w:hAnsi="Consolas"/>
                <w:sz w:val="19"/>
                <w:szCs w:val="19"/>
              </w:rPr>
              <w:t xml:space="preserve">M1</w:t>
            </w:r>
            <w:r>
              <w:rPr>
                <w:sz w:val="19"/>
                <w:szCs w:val="19"/>
              </w:rPr>
              <w:t xml:space="preserve">; Annex I item 21 </w:t>
            </w:r>
            <w:r>
              <w:rPr>
                <w:rFonts w:ascii="Consolas" w:cs="Consolas" w:eastAsia="Consolas" w:hAnsi="Consolas"/>
                <w:sz w:val="19"/>
                <w:szCs w:val="19"/>
              </w:rPr>
              <w:t xml:space="preserve">M1</w:t>
            </w:r>
            <w:r>
              <w:rPr>
                <w:sz w:val="19"/>
                <w:szCs w:val="19"/>
              </w:rPr>
              <w:t xml:space="preserve">; Art 2(2) </w:t>
            </w:r>
            <w:r>
              <w:rPr>
                <w:rFonts w:ascii="Consolas" w:cs="Consolas" w:eastAsia="Consolas" w:hAnsi="Consolas"/>
                <w:sz w:val="19"/>
                <w:szCs w:val="19"/>
              </w:rPr>
              <w:t xml:space="preserve">M1</w:t>
            </w:r>
          </w:p>
        </w:tc>
      </w:tr>
      <w:tr>
        <w:tc>
          <w:tcPr>
            <w:tcW w:type="dxa" w:w="4680"/>
            <w:tcMar>
              <w:top w:type="dxa" w:w="60"/>
              <w:left w:type="dxa" w:w="100"/>
              <w:bottom w:type="dxa" w:w="60"/>
              <w:right w:type="dxa" w:w="100"/>
            </w:tcMar>
          </w:tcPr>
          <w:p>
            <w:pPr>
              <w:spacing w:after="20" w:before="20"/>
            </w:pPr>
            <w:r>
              <w:rPr>
                <w:sz w:val="19"/>
                <w:szCs w:val="19"/>
              </w:rPr>
              <w:t xml:space="preserve">Row 7 (medical device module)</w:t>
            </w:r>
          </w:p>
        </w:tc>
        <w:tc>
          <w:tcPr>
            <w:tcW w:type="dxa" w:w="4680"/>
            <w:tcMar>
              <w:top w:type="dxa" w:w="60"/>
              <w:left w:type="dxa" w:w="100"/>
              <w:bottom w:type="dxa" w:w="60"/>
              <w:right w:type="dxa" w:w="100"/>
            </w:tcMar>
          </w:tcPr>
          <w:p>
            <w:pPr>
              <w:spacing w:after="20" w:before="20"/>
            </w:pPr>
            <w:r>
              <w:rPr>
                <w:sz w:val="19"/>
                <w:szCs w:val="19"/>
              </w:rPr>
              <w:t xml:space="preserve">Art 6(1)(a)-(b) </w:t>
            </w:r>
            <w:r>
              <w:rPr>
                <w:rFonts w:ascii="Consolas" w:cs="Consolas" w:eastAsia="Consolas" w:hAnsi="Consolas"/>
                <w:sz w:val="19"/>
                <w:szCs w:val="19"/>
              </w:rPr>
              <w:t xml:space="preserve">B</w:t>
            </w:r>
            <w:r>
              <w:rPr>
                <w:sz w:val="19"/>
                <w:szCs w:val="19"/>
              </w:rPr>
              <w:t xml:space="preserve">; Annex I Section A item 11 </w:t>
            </w:r>
            <w:r>
              <w:rPr>
                <w:rFonts w:ascii="Consolas" w:cs="Consolas" w:eastAsia="Consolas" w:hAnsi="Consolas"/>
                <w:sz w:val="19"/>
                <w:szCs w:val="19"/>
              </w:rPr>
              <w:t xml:space="preserve">B</w:t>
            </w:r>
            <w:r>
              <w:rPr>
                <w:sz w:val="19"/>
                <w:szCs w:val="19"/>
              </w:rPr>
              <w:t xml:space="preserve"> (Regulation (EU) 2017/745)</w:t>
            </w:r>
          </w:p>
        </w:tc>
      </w:tr>
      <w:tr>
        <w:tc>
          <w:tcPr>
            <w:tcW w:type="dxa" w:w="4680"/>
            <w:shd w:fill="F2F7FB" w:val="clear"/>
            <w:tcMar>
              <w:top w:type="dxa" w:w="60"/>
              <w:left w:type="dxa" w:w="100"/>
              <w:bottom w:type="dxa" w:w="60"/>
              <w:right w:type="dxa" w:w="100"/>
            </w:tcMar>
          </w:tcPr>
          <w:p>
            <w:pPr>
              <w:spacing w:after="20" w:before="20"/>
            </w:pPr>
            <w:r>
              <w:rPr>
                <w:sz w:val="19"/>
                <w:szCs w:val="19"/>
              </w:rPr>
              <w:t xml:space="preserve">Row 8 (image generator marking; deep fakes)</w:t>
            </w:r>
          </w:p>
        </w:tc>
        <w:tc>
          <w:tcPr>
            <w:tcW w:type="dxa" w:w="4680"/>
            <w:shd w:fill="F2F7FB" w:val="clear"/>
            <w:tcMar>
              <w:top w:type="dxa" w:w="60"/>
              <w:left w:type="dxa" w:w="100"/>
              <w:bottom w:type="dxa" w:w="60"/>
              <w:right w:type="dxa" w:w="100"/>
            </w:tcMar>
          </w:tcPr>
          <w:p>
            <w:pPr>
              <w:spacing w:after="20" w:before="20"/>
            </w:pPr>
            <w:r>
              <w:rPr>
                <w:sz w:val="19"/>
                <w:szCs w:val="19"/>
              </w:rPr>
              <w:t xml:space="preserve">Art 50(2), 50(4) </w:t>
            </w:r>
            <w:r>
              <w:rPr>
                <w:rFonts w:ascii="Consolas" w:cs="Consolas" w:eastAsia="Consolas" w:hAnsi="Consolas"/>
                <w:sz w:val="19"/>
                <w:szCs w:val="19"/>
              </w:rPr>
              <w:t xml:space="preserve">B</w:t>
            </w:r>
          </w:p>
        </w:tc>
      </w:tr>
      <w:tr>
        <w:tc>
          <w:tcPr>
            <w:tcW w:type="dxa" w:w="4680"/>
            <w:tcMar>
              <w:top w:type="dxa" w:w="60"/>
              <w:left w:type="dxa" w:w="100"/>
              <w:bottom w:type="dxa" w:w="60"/>
              <w:right w:type="dxa" w:w="100"/>
            </w:tcMar>
          </w:tcPr>
          <w:p>
            <w:pPr>
              <w:spacing w:after="20" w:before="20"/>
            </w:pPr>
            <w:r>
              <w:rPr>
                <w:sz w:val="19"/>
                <w:szCs w:val="19"/>
              </w:rPr>
              <w:t xml:space="preserve">Row 9 (post-decision formatting assistant; derogation arguable, must be documented and registered)</w:t>
            </w:r>
          </w:p>
        </w:tc>
        <w:tc>
          <w:tcPr>
            <w:tcW w:type="dxa" w:w="4680"/>
            <w:tcMar>
              <w:top w:type="dxa" w:w="60"/>
              <w:left w:type="dxa" w:w="100"/>
              <w:bottom w:type="dxa" w:w="60"/>
              <w:right w:type="dxa" w:w="100"/>
            </w:tcMar>
          </w:tcPr>
          <w:p>
            <w:pPr>
              <w:spacing w:after="20" w:before="20"/>
            </w:pPr>
            <w:r>
              <w:rPr>
                <w:sz w:val="19"/>
                <w:szCs w:val="19"/>
              </w:rPr>
              <w:t xml:space="preserve">Art 6(3)(a), (d) </w:t>
            </w:r>
            <w:r>
              <w:rPr>
                <w:rFonts w:ascii="Consolas" w:cs="Consolas" w:eastAsia="Consolas" w:hAnsi="Consolas"/>
                <w:sz w:val="19"/>
                <w:szCs w:val="19"/>
              </w:rPr>
              <w:t xml:space="preserve">B</w:t>
            </w:r>
            <w:r>
              <w:rPr>
                <w:sz w:val="19"/>
                <w:szCs w:val="19"/>
              </w:rPr>
              <w:t xml:space="preserve">; Art 6(4) </w:t>
            </w:r>
            <w:r>
              <w:rPr>
                <w:rFonts w:ascii="Consolas" w:cs="Consolas" w:eastAsia="Consolas" w:hAnsi="Consolas"/>
                <w:sz w:val="19"/>
                <w:szCs w:val="19"/>
              </w:rPr>
              <w:t xml:space="preserve">B</w:t>
            </w:r>
            <w:r>
              <w:rPr>
                <w:sz w:val="19"/>
                <w:szCs w:val="19"/>
              </w:rPr>
              <w:t xml:space="preserve">; Art 49(2) </w:t>
            </w:r>
            <w:r>
              <w:rPr>
                <w:rFonts w:ascii="Consolas" w:cs="Consolas" w:eastAsia="Consolas" w:hAnsi="Consolas"/>
                <w:sz w:val="19"/>
                <w:szCs w:val="19"/>
              </w:rPr>
              <w:t xml:space="preserve">B</w:t>
            </w:r>
          </w:p>
        </w:tc>
      </w:tr>
    </w:tbl>
    <w:p>
      <w:pPr>
        <w:spacing w:after="80"/>
      </w:pPr>
    </w:p>
    <w:p>
      <w:pPr>
        <w:spacing w:after="140" w:before="320"/>
      </w:pPr>
      <w:r>
        <w:rPr>
          <w:b/>
          <w:bCs/>
          <w:color w:val="1F4E79"/>
          <w:sz w:val="30"/>
          <w:szCs w:val="30"/>
        </w:rPr>
        <w:t xml:space="preserve">Corrections and findings recorded openly</w:t>
      </w:r>
    </w:p>
    <w:p>
      <w:pPr>
        <w:pStyle w:val="ListParagraph"/>
        <w:numPr>
          <w:ilvl w:val="0"/>
          <w:numId w:val="2"/>
        </w:numPr>
        <w:spacing w:after="80"/>
      </w:pPr>
      <w:r>
        <w:rPr>
          <w:b/>
          <w:bCs/>
        </w:rPr>
        <w:t xml:space="preserve">A supplied source contained no law.</w:t>
      </w:r>
      <w:r>
        <w:t xml:space="preserve"> The corpus for this artifact was supplied with a EUR-Lex print intended to be the consolidated GDPR (</w:t>
      </w:r>
      <w:r>
        <w:rPr>
          <w:rFonts w:ascii="Consolas" w:cs="Consolas" w:eastAsia="Consolas" w:hAnsi="Consolas"/>
          <w:sz w:val="19"/>
          <w:szCs w:val="19"/>
        </w:rPr>
        <w:t xml:space="preserve">CELEX:02016R0679-20160504</w:t>
      </w:r>
      <w:r>
        <w:t xml:space="preserve">). The file is a one-page EUR-Lex error page reading "The requested document does not exist." - a malformed request URL (the CELEX number doubled in the query). Nothing in this artifact needed the GDPR, so nothing is affected; it is recorded because a source register that lists a file nobody opened is how unverified law gets cited. The register lists it as supplied-but-empty.</w:t>
      </w:r>
    </w:p>
    <w:p>
      <w:pPr>
        <w:pStyle w:val="ListParagraph"/>
        <w:numPr>
          <w:ilvl w:val="0"/>
          <w:numId w:val="2"/>
        </w:numPr>
        <w:spacing w:after="80"/>
      </w:pPr>
      <w:r>
        <w:rPr>
          <w:b/>
          <w:bCs/>
        </w:rPr>
        <w:t xml:space="preserve">File identity vs text identity.</w:t>
      </w:r>
      <w:r>
        <w:t xml:space="preserve"> The consolidated AI Act file held for this artifact hashes differently from the copy held for the Part 1 EU policy set (different download of the same consolidation). Identity was therefore verified from the text itself: the consolidation stamp </w:t>
      </w:r>
      <w:r>
        <w:rPr>
          <w:rFonts w:ascii="Consolas" w:cs="Consolas" w:eastAsia="Consolas" w:hAnsi="Consolas"/>
          <w:sz w:val="19"/>
          <w:szCs w:val="19"/>
        </w:rPr>
        <w:t xml:space="preserve">02024R1689 - EN - 27.07.2026 - 001.001</w:t>
      </w:r>
      <w:r>
        <w:t xml:space="preserve"> on every page and the M1 reference to Regulation (EU) 2026/1744 in the amendment table. The hashes in the source register authenticate the files actually read, not the CELEX version in the abstract.</w:t>
      </w:r>
    </w:p>
    <w:p>
      <w:pPr>
        <w:pStyle w:val="ListParagraph"/>
        <w:numPr>
          <w:ilvl w:val="0"/>
          <w:numId w:val="2"/>
        </w:numPr>
        <w:spacing w:after="80"/>
      </w:pPr>
      <w:r>
        <w:rPr>
          <w:b/>
          <w:bCs/>
        </w:rPr>
        <w:t xml:space="preserve">Article 4 is now titled "AI literacy".</w:t>
      </w:r>
      <w:r>
        <w:t xml:space="preserve"> Part 1's research note described the duty as "staff knowledge and skills" from the as-adopted text; in the consolidation the whole Article carries the M1 marker and the omnibus added Commission, Member State and Board support duties. The substance of the duty on organisations is unchanged; the walkthrough uses the consolidated framing.</w:t>
      </w:r>
    </w:p>
    <w:p>
      <w:pPr>
        <w:spacing w:after="140" w:before="320"/>
      </w:pPr>
      <w:r>
        <w:rPr>
          <w:b/>
          <w:bCs/>
          <w:color w:val="1F4E79"/>
          <w:sz w:val="30"/>
          <w:szCs w:val="30"/>
        </w:rPr>
        <w:t xml:space="preserve">Limitations - stated rather than left to be found</w:t>
      </w:r>
    </w:p>
    <w:p>
      <w:pPr>
        <w:pStyle w:val="ListParagraph"/>
        <w:numPr>
          <w:ilvl w:val="0"/>
          <w:numId w:val="2"/>
        </w:numPr>
        <w:spacing w:after="80"/>
      </w:pPr>
      <w:r>
        <w:rPr>
          <w:b/>
          <w:bCs/>
        </w:rPr>
        <w:t xml:space="preserve">The Article 6(5) Commission guidelines are not held.</w:t>
      </w:r>
      <w:r>
        <w:t xml:space="preserve"> They were due by 2 February 2026 and concern the practical implementation of Article 6 with worked examples. Nothing in this artifact rests on them, and no contested derogation call should be made without obtaining the current version.</w:t>
      </w:r>
    </w:p>
    <w:p>
      <w:pPr>
        <w:pStyle w:val="ListParagraph"/>
        <w:numPr>
          <w:ilvl w:val="0"/>
          <w:numId w:val="2"/>
        </w:numPr>
        <w:spacing w:after="80"/>
      </w:pPr>
      <w:r>
        <w:rPr>
          <w:b/>
          <w:bCs/>
        </w:rPr>
        <w:t xml:space="preserve">Annex I is verified as a list, not as a body of product law.</w:t>
      </w:r>
      <w:r>
        <w:t xml:space="preserve"> The underlying product legislation (machinery, medical devices, and the rest) was not read for this artifact. Gate 2 outcomes in a real case depend on that legislation's conformity assessment rules; rows 6 and 7 of the quick-fire table state the AI Act side of the analysis only.</w:t>
      </w:r>
    </w:p>
    <w:p>
      <w:pPr>
        <w:pStyle w:val="ListParagraph"/>
        <w:numPr>
          <w:ilvl w:val="0"/>
          <w:numId w:val="2"/>
        </w:numPr>
        <w:spacing w:after="80"/>
      </w:pPr>
      <w:r>
        <w:rPr>
          <w:b/>
          <w:bCs/>
        </w:rPr>
        <w:t xml:space="preserve">Directive 2011/93/EU is not held.</w:t>
      </w:r>
      <w:r>
        <w:t xml:space="preserve"> The CSAM prohibition defines its subject matter by reference to that Directive; the walkthrough states the prohibition without restating the Directive's definitions.</w:t>
      </w:r>
    </w:p>
    <w:p>
      <w:pPr>
        <w:pStyle w:val="ListParagraph"/>
        <w:numPr>
          <w:ilvl w:val="0"/>
          <w:numId w:val="2"/>
        </w:numPr>
        <w:spacing w:after="80"/>
      </w:pPr>
      <w:r>
        <w:rPr>
          <w:b/>
          <w:bCs/>
        </w:rPr>
        <w:t xml:space="preserve">The GDPR interplay is out of scope by design.</w:t>
      </w:r>
      <w:r>
        <w:t xml:space="preserve"> Automated decision-making rights, lawful basis and DPIA triggers interact with every classification outcome and are covered in the Part 1 policy sets; this artifact classifies under the AI Act only.</w:t>
      </w:r>
    </w:p>
    <w:p>
      <w:pPr>
        <w:pStyle w:val="ListParagraph"/>
        <w:numPr>
          <w:ilvl w:val="0"/>
          <w:numId w:val="2"/>
        </w:numPr>
        <w:spacing w:after="80"/>
      </w:pPr>
      <w:r>
        <w:rPr>
          <w:b/>
          <w:bCs/>
        </w:rPr>
        <w:t xml:space="preserve">The emotion-inference boundary in recruitment.</w:t>
      </w:r>
      <w:r>
        <w:t xml:space="preserve"> The prohibition covers "the areas of workplace and education institutions". This artifact takes candidate assessment to be within it. The consolidated text does not define the boundary and the Article 6(5)-adjacent guidance on prohibited practices is not held; the position taken is the protective one and is flagged where it is applied.</w:t>
      </w:r>
    </w:p>
    <w:p>
      <w:pPr>
        <w:pStyle w:val="ListParagraph"/>
        <w:numPr>
          <w:ilvl w:val="0"/>
          <w:numId w:val="2"/>
        </w:numPr>
        <w:spacing w:after="80"/>
      </w:pPr>
      <w:r>
        <w:rPr>
          <w:b/>
          <w:bCs/>
        </w:rPr>
        <w:t xml:space="preserve">No provision cited here has been reviewed by qualified counsel.</w:t>
      </w:r>
    </w:p>
    <w:p>
      <w:pPr>
        <w:spacing w:after="140" w:before="320"/>
      </w:pPr>
      <w:r>
        <w:rPr>
          <w:b/>
          <w:bCs/>
          <w:color w:val="1F4E79"/>
          <w:sz w:val="30"/>
          <w:szCs w:val="30"/>
        </w:rPr>
        <w:t xml:space="preserve">Watch items</w:t>
      </w:r>
    </w:p>
    <w:p>
      <w:pPr>
        <w:pStyle w:val="ListParagraph"/>
        <w:numPr>
          <w:ilvl w:val="0"/>
          <w:numId w:val="3"/>
        </w:numPr>
        <w:spacing w:after="80"/>
      </w:pPr>
      <w:r>
        <w:rPr>
          <w:b/>
          <w:bCs/>
        </w:rPr>
        <w:t xml:space="preserve">Article 6(5) guidelines</w:t>
      </w:r>
      <w:r>
        <w:t xml:space="preserve"> - obtain; check whether issued on time and in what form.</w:t>
      </w:r>
    </w:p>
    <w:p>
      <w:pPr>
        <w:pStyle w:val="ListParagraph"/>
        <w:numPr>
          <w:ilvl w:val="0"/>
          <w:numId w:val="3"/>
        </w:numPr>
        <w:spacing w:after="80"/>
      </w:pPr>
      <w:r>
        <w:rPr>
          <w:b/>
          <w:bCs/>
        </w:rPr>
        <w:t xml:space="preserve">Article 50(7) codes of practice</w:t>
      </w:r>
      <w:r>
        <w:t xml:space="preserve"> on marking and labelling, and any Commission implementing act if codes are found inadequate.</w:t>
      </w:r>
    </w:p>
    <w:p>
      <w:pPr>
        <w:pStyle w:val="ListParagraph"/>
        <w:numPr>
          <w:ilvl w:val="0"/>
          <w:numId w:val="3"/>
        </w:numPr>
        <w:spacing w:after="80"/>
      </w:pPr>
      <w:r>
        <w:rPr>
          <w:b/>
          <w:bCs/>
        </w:rPr>
        <w:t xml:space="preserve">Delegated acts under Article 6(6)-(7)</w:t>
      </w:r>
      <w:r>
        <w:t xml:space="preserve"> amending the derogation conditions, and under Article 7 amending Annex III itself - the list is amendable and the item-by-item verification in this note is dated 1 September 2026.</w:t>
      </w:r>
    </w:p>
    <w:p>
      <w:pPr>
        <w:pStyle w:val="ListParagraph"/>
        <w:numPr>
          <w:ilvl w:val="0"/>
          <w:numId w:val="3"/>
        </w:numPr>
        <w:spacing w:after="80"/>
      </w:pPr>
      <w:r>
        <w:rPr>
          <w:b/>
          <w:bCs/>
        </w:rPr>
        <w:t xml:space="preserve">Article 2(13) delegated acts</w:t>
      </w:r>
      <w:r>
        <w:t xml:space="preserve"> (due by 2 August 2027) limiting which high-risk requirements apply to Section A Annex I products - they will change the practical weight of a Gate 2 outcome.</w:t>
      </w:r>
    </w:p>
    <w:p>
      <w:pPr>
        <w:pStyle w:val="ListParagraph"/>
        <w:numPr>
          <w:ilvl w:val="0"/>
          <w:numId w:val="3"/>
        </w:numPr>
        <w:spacing w:after="80"/>
      </w:pPr>
      <w:r>
        <w:rPr>
          <w:b/>
          <w:bCs/>
        </w:rPr>
        <w:t xml:space="preserve">Any further amendment to Article 113.</w:t>
      </w:r>
      <w:r>
        <w:t xml:space="preserve"> The dates are the spine of walkthrough section 8; they have been amended once already.</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EU AI Act Classification Walkthrough</dc:title>
  <dc:creator>Narendra Karki</dc:creator>
  <dc:description>AI Governance Series - Part 2. Educational material, not legal advice.</dc:description>
  <cp:lastModifiedBy>Narendra Karki</cp:lastModifiedBy>
  <cp:revision>1</cp:revision>
  <dcterms:created xsi:type="dcterms:W3CDTF">2026-09-05T14:39:38.576Z</dcterms:created>
  <dcterms:modified xsi:type="dcterms:W3CDTF">2026-09-05T14:39:38.585Z</dcterms:modified>
</cp:coreProperties>
</file>

<file path=docProps/custom.xml><?xml version="1.0" encoding="utf-8"?>
<Properties xmlns="http://schemas.openxmlformats.org/officeDocument/2006/custom-properties" xmlns:vt="http://schemas.openxmlformats.org/officeDocument/2006/docPropsVTypes"/>
</file>