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4B5" w:sz="12" w:space="6"/>
        </w:pBdr>
        <w:spacing w:after="200" w:before="0"/>
      </w:pPr>
      <w:r>
        <w:rPr>
          <w:b/>
          <w:bCs/>
          <w:color w:val="1F4E79"/>
          <w:sz w:val="40"/>
          <w:szCs w:val="40"/>
        </w:rPr>
        <w:t xml:space="preserve">Source register - EU AI Act Classification Walkthrough</w:t>
      </w:r>
    </w:p>
    <w:p>
      <w:pPr>
        <w:spacing w:after="140"/>
        <w:jc w:val="both"/>
      </w:pPr>
      <w:r>
        <w:t xml:space="preserve">Every document supplied for, used in, or deliberately not used in producing the Classification Walkthrough v1.0 and its research note.</w:t>
      </w:r>
    </w:p>
    <w:p>
      <w:pPr>
        <w:spacing w:after="140"/>
        <w:jc w:val="both"/>
      </w:pPr>
      <w:r>
        <w:t xml:space="preserve">State as at </w:t>
      </w:r>
      <w:r>
        <w:rPr>
          <w:b/>
          <w:bCs/>
        </w:rPr>
        <w:t xml:space="preserve">1 September 2026</w:t>
      </w:r>
      <w:r>
        <w:t xml:space="preserve">. Hashes are SHA-256 of the file as supplied, truncated to 16 characters.</w:t>
      </w:r>
    </w:p>
    <w:p>
      <w:pPr>
        <w:pBdr>
          <w:bottom w:val="single" w:color="BFDBF0" w:sz="6"/>
        </w:pBdr>
        <w:spacing w:after="120" w:before="120"/>
      </w:pPr>
    </w:p>
    <w:p>
      <w:pPr>
        <w:spacing w:after="140" w:before="320"/>
      </w:pPr>
      <w:r>
        <w:rPr>
          <w:b/>
          <w:bCs/>
          <w:color w:val="1F4E79"/>
          <w:sz w:val="30"/>
          <w:szCs w:val="30"/>
        </w:rPr>
        <w:t xml:space="preserve">1. Primary law - HELD AND CITED</w:t>
      </w:r>
    </w:p>
    <w:tbl>
      <w:tblPr>
        <w:tblW w:type="dxa" w:w="9360"/>
        <w:tblBorders>
          <w:top w:val="single" w:color="2E74B5" w:sz="4"/>
          <w:left w:val="single" w:color="BFDBF0" w:sz="4"/>
          <w:bottom w:val="single" w:color="2E74B5" w:sz="4"/>
          <w:right w:val="single" w:color="BFDBF0" w:sz="4"/>
          <w:insideH w:val="single" w:color="BFDBF0" w:sz="2"/>
          <w:insideV w:val="single" w:color="BFDBF0" w:sz="2"/>
        </w:tblBorders>
      </w:tblPr>
      <w:tblGrid>
        <w:gridCol w:w="500"/>
        <w:gridCol w:w="2215"/>
        <w:gridCol w:w="2215"/>
        <w:gridCol w:w="2215"/>
        <w:gridCol w:w="2215"/>
      </w:tblGrid>
      <w:tr>
        <w:trPr>
          <w:tblHeader/>
        </w:trPr>
        <w:tc>
          <w:tcPr>
            <w:tcW w:type="dxa" w:w="500"/>
            <w:shd w:fill="1F4E79" w:val="clear"/>
            <w:tcMar>
              <w:top w:type="dxa" w:w="60"/>
              <w:left w:type="dxa" w:w="100"/>
              <w:bottom w:type="dxa" w:w="60"/>
              <w:right w:type="dxa" w:w="100"/>
            </w:tcMar>
          </w:tcPr>
          <w:p>
            <w:pPr>
              <w:spacing w:after="20" w:before="20"/>
            </w:pPr>
            <w:r>
              <w:rPr>
                <w:b/>
                <w:bCs/>
                <w:color w:val="FFFFFF"/>
                <w:sz w:val="19"/>
                <w:szCs w:val="19"/>
              </w:rPr>
              <w:t xml:space="preserve">#</w:t>
            </w:r>
          </w:p>
        </w:tc>
        <w:tc>
          <w:tcPr>
            <w:tcW w:type="dxa" w:w="2215"/>
            <w:shd w:fill="1F4E79" w:val="clear"/>
            <w:tcMar>
              <w:top w:type="dxa" w:w="60"/>
              <w:left w:type="dxa" w:w="100"/>
              <w:bottom w:type="dxa" w:w="60"/>
              <w:right w:type="dxa" w:w="100"/>
            </w:tcMar>
          </w:tcPr>
          <w:p>
            <w:pPr>
              <w:spacing w:after="20" w:before="20"/>
            </w:pPr>
            <w:r>
              <w:rPr>
                <w:b/>
                <w:bCs/>
                <w:color w:val="FFFFFF"/>
                <w:sz w:val="19"/>
                <w:szCs w:val="19"/>
              </w:rPr>
              <w:t xml:space="preserve">Instrument</w:t>
            </w:r>
          </w:p>
        </w:tc>
        <w:tc>
          <w:tcPr>
            <w:tcW w:type="dxa" w:w="2215"/>
            <w:shd w:fill="1F4E79" w:val="clear"/>
            <w:tcMar>
              <w:top w:type="dxa" w:w="60"/>
              <w:left w:type="dxa" w:w="100"/>
              <w:bottom w:type="dxa" w:w="60"/>
              <w:right w:type="dxa" w:w="100"/>
            </w:tcMar>
          </w:tcPr>
          <w:p>
            <w:pPr>
              <w:spacing w:after="20" w:before="20"/>
            </w:pPr>
            <w:r>
              <w:rPr>
                <w:b/>
                <w:bCs/>
                <w:color w:val="FFFFFF"/>
                <w:sz w:val="19"/>
                <w:szCs w:val="19"/>
              </w:rPr>
              <w:t xml:space="preserve">Version</w:t>
            </w:r>
          </w:p>
        </w:tc>
        <w:tc>
          <w:tcPr>
            <w:tcW w:type="dxa" w:w="2215"/>
            <w:shd w:fill="1F4E79" w:val="clear"/>
            <w:tcMar>
              <w:top w:type="dxa" w:w="60"/>
              <w:left w:type="dxa" w:w="100"/>
              <w:bottom w:type="dxa" w:w="60"/>
              <w:right w:type="dxa" w:w="100"/>
            </w:tcMar>
          </w:tcPr>
          <w:p>
            <w:pPr>
              <w:spacing w:after="20" w:before="20"/>
            </w:pPr>
            <w:r>
              <w:rPr>
                <w:b/>
                <w:bCs/>
                <w:color w:val="FFFFFF"/>
                <w:sz w:val="19"/>
                <w:szCs w:val="19"/>
              </w:rPr>
              <w:t xml:space="preserve">SHA-256</w:t>
            </w:r>
          </w:p>
        </w:tc>
        <w:tc>
          <w:tcPr>
            <w:tcW w:type="dxa" w:w="2215"/>
            <w:shd w:fill="1F4E79" w:val="clear"/>
            <w:tcMar>
              <w:top w:type="dxa" w:w="60"/>
              <w:left w:type="dxa" w:w="100"/>
              <w:bottom w:type="dxa" w:w="60"/>
              <w:right w:type="dxa" w:w="100"/>
            </w:tcMar>
          </w:tcPr>
          <w:p>
            <w:pPr>
              <w:spacing w:after="20" w:before="20"/>
            </w:pPr>
            <w:r>
              <w:rPr>
                <w:b/>
                <w:bCs/>
                <w:color w:val="FFFFFF"/>
                <w:sz w:val="19"/>
                <w:szCs w:val="19"/>
              </w:rPr>
              <w:t xml:space="preserve">Provisions cited</w:t>
            </w:r>
          </w:p>
        </w:tc>
      </w:tr>
      <w:tr>
        <w:tc>
          <w:tcPr>
            <w:tcW w:type="dxa" w:w="500"/>
            <w:tcMar>
              <w:top w:type="dxa" w:w="60"/>
              <w:left w:type="dxa" w:w="100"/>
              <w:bottom w:type="dxa" w:w="60"/>
              <w:right w:type="dxa" w:w="100"/>
            </w:tcMar>
          </w:tcPr>
          <w:p>
            <w:pPr>
              <w:spacing w:after="20" w:before="20"/>
            </w:pPr>
            <w:r>
              <w:rPr>
                <w:sz w:val="19"/>
                <w:szCs w:val="19"/>
              </w:rPr>
              <w:t xml:space="preserve">1</w:t>
            </w:r>
          </w:p>
        </w:tc>
        <w:tc>
          <w:tcPr>
            <w:tcW w:type="dxa" w:w="2215"/>
            <w:tcMar>
              <w:top w:type="dxa" w:w="60"/>
              <w:left w:type="dxa" w:w="100"/>
              <w:bottom w:type="dxa" w:w="60"/>
              <w:right w:type="dxa" w:w="100"/>
            </w:tcMar>
          </w:tcPr>
          <w:p>
            <w:pPr>
              <w:spacing w:after="20" w:before="20"/>
            </w:pPr>
            <w:r>
              <w:rPr>
                <w:b/>
                <w:bCs/>
                <w:sz w:val="19"/>
                <w:szCs w:val="19"/>
              </w:rPr>
              <w:t xml:space="preserve">Regulation (EU) 2024/1689 - consolidated</w:t>
            </w:r>
            <w:r>
              <w:rPr>
                <w:sz w:val="19"/>
                <w:szCs w:val="19"/>
              </w:rPr>
              <w:t xml:space="preserve"> (Artificial Intelligence Act)</w:t>
            </w:r>
          </w:p>
        </w:tc>
        <w:tc>
          <w:tcPr>
            <w:tcW w:type="dxa" w:w="2215"/>
            <w:tcMar>
              <w:top w:type="dxa" w:w="60"/>
              <w:left w:type="dxa" w:w="100"/>
              <w:bottom w:type="dxa" w:w="60"/>
              <w:right w:type="dxa" w:w="100"/>
            </w:tcMar>
          </w:tcPr>
          <w:p>
            <w:pPr>
              <w:spacing w:after="20" w:before="20"/>
            </w:pPr>
            <w:r>
              <w:rPr>
                <w:rFonts w:ascii="Consolas" w:cs="Consolas" w:eastAsia="Consolas" w:hAnsi="Consolas"/>
                <w:sz w:val="19"/>
                <w:szCs w:val="19"/>
              </w:rPr>
              <w:t xml:space="preserve">02024R1689-20260727</w:t>
            </w:r>
            <w:r>
              <w:rPr>
                <w:sz w:val="19"/>
                <w:szCs w:val="19"/>
              </w:rPr>
              <w:t xml:space="preserve">; consolidation stamp </w:t>
            </w:r>
            <w:r>
              <w:rPr>
                <w:rFonts w:ascii="Consolas" w:cs="Consolas" w:eastAsia="Consolas" w:hAnsi="Consolas"/>
                <w:sz w:val="19"/>
                <w:szCs w:val="19"/>
              </w:rPr>
              <w:t xml:space="preserve">02024R1689 - EN - 27.07.2026 - 001.001</w:t>
            </w:r>
            <w:r>
              <w:rPr>
                <w:sz w:val="19"/>
                <w:szCs w:val="19"/>
              </w:rPr>
              <w:t xml:space="preserve">; 151 pp as supplied</w:t>
            </w:r>
          </w:p>
        </w:tc>
        <w:tc>
          <w:tcPr>
            <w:tcW w:type="dxa" w:w="2215"/>
            <w:tcMar>
              <w:top w:type="dxa" w:w="60"/>
              <w:left w:type="dxa" w:w="100"/>
              <w:bottom w:type="dxa" w:w="60"/>
              <w:right w:type="dxa" w:w="100"/>
            </w:tcMar>
          </w:tcPr>
          <w:p>
            <w:pPr>
              <w:spacing w:after="20" w:before="20"/>
            </w:pPr>
            <w:r>
              <w:rPr>
                <w:rFonts w:ascii="Consolas" w:cs="Consolas" w:eastAsia="Consolas" w:hAnsi="Consolas"/>
                <w:sz w:val="19"/>
                <w:szCs w:val="19"/>
              </w:rPr>
              <w:t xml:space="preserve">1ccd38d1c78482cf</w:t>
            </w:r>
          </w:p>
        </w:tc>
        <w:tc>
          <w:tcPr>
            <w:tcW w:type="dxa" w:w="2215"/>
            <w:tcMar>
              <w:top w:type="dxa" w:w="60"/>
              <w:left w:type="dxa" w:w="100"/>
              <w:bottom w:type="dxa" w:w="60"/>
              <w:right w:type="dxa" w:w="100"/>
            </w:tcMar>
          </w:tcPr>
          <w:p>
            <w:pPr>
              <w:spacing w:after="20" w:before="20"/>
            </w:pPr>
            <w:r>
              <w:rPr>
                <w:sz w:val="19"/>
                <w:szCs w:val="19"/>
              </w:rPr>
              <w:t xml:space="preserve">Arts 2, 3(1), 3(3)-(4), 3(14), 3(23), 4, 5 (incl. (ba)-(bb), (1a)-(1b)), 6(1)-(5) (incl. (1a)-(1c)), 7, 25(1), 49(1)-(2), 50(1)-(7), 51(1), 113; Annex I; Annex III in full</w:t>
            </w:r>
          </w:p>
        </w:tc>
      </w:tr>
      <w:tr>
        <w:tc>
          <w:tcPr>
            <w:tcW w:type="dxa" w:w="500"/>
            <w:shd w:fill="F2F7FB" w:val="clear"/>
            <w:tcMar>
              <w:top w:type="dxa" w:w="60"/>
              <w:left w:type="dxa" w:w="100"/>
              <w:bottom w:type="dxa" w:w="60"/>
              <w:right w:type="dxa" w:w="100"/>
            </w:tcMar>
          </w:tcPr>
          <w:p>
            <w:pPr>
              <w:spacing w:after="20" w:before="20"/>
            </w:pPr>
            <w:r>
              <w:rPr>
                <w:sz w:val="19"/>
                <w:szCs w:val="19"/>
              </w:rPr>
              <w:t xml:space="preserve">2</w:t>
            </w:r>
          </w:p>
        </w:tc>
        <w:tc>
          <w:tcPr>
            <w:tcW w:type="dxa" w:w="2215"/>
            <w:shd w:fill="F2F7FB" w:val="clear"/>
            <w:tcMar>
              <w:top w:type="dxa" w:w="60"/>
              <w:left w:type="dxa" w:w="100"/>
              <w:bottom w:type="dxa" w:w="60"/>
              <w:right w:type="dxa" w:w="100"/>
            </w:tcMar>
          </w:tcPr>
          <w:p>
            <w:pPr>
              <w:spacing w:after="20" w:before="20"/>
            </w:pPr>
            <w:r>
              <w:rPr>
                <w:b/>
                <w:bCs/>
                <w:sz w:val="19"/>
                <w:szCs w:val="19"/>
              </w:rPr>
              <w:t xml:space="preserve">Regulation (EU) 2026/1744</w:t>
            </w:r>
            <w:r>
              <w:rPr>
                <w:sz w:val="19"/>
                <w:szCs w:val="19"/>
              </w:rPr>
              <w:t xml:space="preserve"> (Digital Omnibus on AI)</w:t>
            </w:r>
          </w:p>
        </w:tc>
        <w:tc>
          <w:tcPr>
            <w:tcW w:type="dxa" w:w="2215"/>
            <w:shd w:fill="F2F7FB" w:val="clear"/>
            <w:tcMar>
              <w:top w:type="dxa" w:w="60"/>
              <w:left w:type="dxa" w:w="100"/>
              <w:bottom w:type="dxa" w:w="60"/>
              <w:right w:type="dxa" w:w="100"/>
            </w:tcMar>
          </w:tcPr>
          <w:p>
            <w:pPr>
              <w:spacing w:after="20" w:before="20"/>
            </w:pPr>
            <w:r>
              <w:rPr>
                <w:sz w:val="19"/>
                <w:szCs w:val="19"/>
              </w:rPr>
              <w:t xml:space="preserve">OJ L, 2026/1744, 24.7.2026; adopted 8 July 2026; PE/30/2026/REV/1; 53 pp as supplied</w:t>
            </w:r>
          </w:p>
        </w:tc>
        <w:tc>
          <w:tcPr>
            <w:tcW w:type="dxa" w:w="2215"/>
            <w:shd w:fill="F2F7FB" w:val="clear"/>
            <w:tcMar>
              <w:top w:type="dxa" w:w="60"/>
              <w:left w:type="dxa" w:w="100"/>
              <w:bottom w:type="dxa" w:w="60"/>
              <w:right w:type="dxa" w:w="100"/>
            </w:tcMar>
          </w:tcPr>
          <w:p>
            <w:pPr>
              <w:spacing w:after="20" w:before="20"/>
            </w:pPr>
            <w:r>
              <w:rPr>
                <w:rFonts w:ascii="Consolas" w:cs="Consolas" w:eastAsia="Consolas" w:hAnsi="Consolas"/>
                <w:sz w:val="19"/>
                <w:szCs w:val="19"/>
              </w:rPr>
              <w:t xml:space="preserve">21919e56c5d0d4e3</w:t>
            </w:r>
          </w:p>
        </w:tc>
        <w:tc>
          <w:tcPr>
            <w:tcW w:type="dxa" w:w="2215"/>
            <w:shd w:fill="F2F7FB" w:val="clear"/>
            <w:tcMar>
              <w:top w:type="dxa" w:w="60"/>
              <w:left w:type="dxa" w:w="100"/>
              <w:bottom w:type="dxa" w:w="60"/>
              <w:right w:type="dxa" w:w="100"/>
            </w:tcMar>
          </w:tcPr>
          <w:p>
            <w:pPr>
              <w:spacing w:after="20" w:before="20"/>
            </w:pPr>
            <w:r>
              <w:rPr>
                <w:sz w:val="19"/>
                <w:szCs w:val="19"/>
              </w:rPr>
              <w:t xml:space="preserve">The M1 amendment. Read to confirm what it amends (Regulations (EU) 2024/1689, 2018/1139, 2023/1230) and to confirm what it does </w:t>
            </w:r>
            <w:r>
              <w:rPr>
                <w:b/>
                <w:bCs/>
                <w:sz w:val="19"/>
                <w:szCs w:val="19"/>
              </w:rPr>
              <w:t xml:space="preserve">not</w:t>
            </w:r>
            <w:r>
              <w:rPr>
                <w:sz w:val="19"/>
                <w:szCs w:val="19"/>
              </w:rPr>
              <w:t xml:space="preserve"> amend (Annex III)</w:t>
            </w:r>
          </w:p>
        </w:tc>
      </w:tr>
    </w:tbl>
    <w:p>
      <w:pPr>
        <w:spacing w:after="80"/>
      </w:pPr>
    </w:p>
    <w:p>
      <w:pPr>
        <w:spacing w:after="140"/>
        <w:jc w:val="both"/>
      </w:pPr>
      <w:r>
        <w:rPr>
          <w:b/>
          <w:bCs/>
        </w:rPr>
        <w:t xml:space="preserve">File identity note.</w:t>
      </w:r>
      <w:r>
        <w:t xml:space="preserve"> The consolidated AI Act held here is a different file from the copy hashed in the Part 1 EU source register (</w:t>
      </w:r>
      <w:r>
        <w:rPr>
          <w:rFonts w:ascii="Consolas" w:cs="Consolas" w:eastAsia="Consolas" w:hAnsi="Consolas"/>
          <w:sz w:val="19"/>
          <w:szCs w:val="19"/>
        </w:rPr>
        <w:t xml:space="preserve">9a27b5a3e8363773</w:t>
      </w:r>
      <w:r>
        <w:t xml:space="preserve">) - same consolidation, separate download. The operative identity check is the consolidation stamp on every page and the M1 amendment table, both verified. Each register hashes the file its own artifact was actually read from.</w:t>
      </w:r>
    </w:p>
    <w:p>
      <w:pPr>
        <w:spacing w:after="140" w:before="320"/>
      </w:pPr>
      <w:r>
        <w:rPr>
          <w:b/>
          <w:bCs/>
          <w:color w:val="1F4E79"/>
          <w:sz w:val="30"/>
          <w:szCs w:val="30"/>
        </w:rPr>
        <w:t xml:space="preserve">2. SUPPLIED BUT EMPTY - recorded so it cannot be mistaken for a source</w:t>
      </w:r>
    </w:p>
    <w:tbl>
      <w:tblPr>
        <w:tblW w:type="dxa" w:w="9360"/>
        <w:tblBorders>
          <w:top w:val="single" w:color="2E74B5" w:sz="4"/>
          <w:left w:val="single" w:color="BFDBF0" w:sz="4"/>
          <w:bottom w:val="single" w:color="2E74B5" w:sz="4"/>
          <w:right w:val="single" w:color="BFDBF0" w:sz="4"/>
          <w:insideH w:val="single" w:color="BFDBF0" w:sz="2"/>
          <w:insideV w:val="single" w:color="BFDBF0" w:sz="2"/>
        </w:tblBorders>
      </w:tblPr>
      <w:tblGrid>
        <w:gridCol w:w="3120"/>
        <w:gridCol w:w="3120"/>
        <w:gridCol w:w="3120"/>
      </w:tblGrid>
      <w:tr>
        <w:trPr>
          <w:tblHeader/>
        </w:trPr>
        <w:tc>
          <w:tcPr>
            <w:tcW w:type="dxa" w:w="3120"/>
            <w:shd w:fill="1F4E79" w:val="clear"/>
            <w:tcMar>
              <w:top w:type="dxa" w:w="60"/>
              <w:left w:type="dxa" w:w="100"/>
              <w:bottom w:type="dxa" w:w="60"/>
              <w:right w:type="dxa" w:w="100"/>
            </w:tcMar>
          </w:tcPr>
          <w:p>
            <w:pPr>
              <w:spacing w:after="20" w:before="20"/>
            </w:pPr>
            <w:r>
              <w:rPr>
                <w:b/>
                <w:bCs/>
                <w:color w:val="FFFFFF"/>
                <w:sz w:val="19"/>
                <w:szCs w:val="19"/>
              </w:rPr>
              <w:t xml:space="preserve">Document</w:t>
            </w:r>
          </w:p>
        </w:tc>
        <w:tc>
          <w:tcPr>
            <w:tcW w:type="dxa" w:w="3120"/>
            <w:shd w:fill="1F4E79" w:val="clear"/>
            <w:tcMar>
              <w:top w:type="dxa" w:w="60"/>
              <w:left w:type="dxa" w:w="100"/>
              <w:bottom w:type="dxa" w:w="60"/>
              <w:right w:type="dxa" w:w="100"/>
            </w:tcMar>
          </w:tcPr>
          <w:p>
            <w:pPr>
              <w:spacing w:after="20" w:before="20"/>
            </w:pPr>
            <w:r>
              <w:rPr>
                <w:b/>
                <w:bCs/>
                <w:color w:val="FFFFFF"/>
                <w:sz w:val="19"/>
                <w:szCs w:val="19"/>
              </w:rPr>
              <w:t xml:space="preserve">Finding</w:t>
            </w:r>
          </w:p>
        </w:tc>
        <w:tc>
          <w:tcPr>
            <w:tcW w:type="dxa" w:w="3120"/>
            <w:shd w:fill="1F4E79" w:val="clear"/>
            <w:tcMar>
              <w:top w:type="dxa" w:w="60"/>
              <w:left w:type="dxa" w:w="100"/>
              <w:bottom w:type="dxa" w:w="60"/>
              <w:right w:type="dxa" w:w="100"/>
            </w:tcMar>
          </w:tcPr>
          <w:p>
            <w:pPr>
              <w:spacing w:after="20" w:before="20"/>
            </w:pPr>
            <w:r>
              <w:rPr>
                <w:b/>
                <w:bCs/>
                <w:color w:val="FFFFFF"/>
                <w:sz w:val="19"/>
                <w:szCs w:val="19"/>
              </w:rPr>
              <w:t xml:space="preserve">SHA-256</w:t>
            </w:r>
          </w:p>
        </w:tc>
      </w:tr>
      <w:tr>
        <w:tc>
          <w:tcPr>
            <w:tcW w:type="dxa" w:w="3120"/>
            <w:tcMar>
              <w:top w:type="dxa" w:w="60"/>
              <w:left w:type="dxa" w:w="100"/>
              <w:bottom w:type="dxa" w:w="60"/>
              <w:right w:type="dxa" w:w="100"/>
            </w:tcMar>
          </w:tcPr>
          <w:p>
            <w:pPr>
              <w:spacing w:after="20" w:before="20"/>
            </w:pPr>
            <w:r>
              <w:rPr>
                <w:sz w:val="19"/>
                <w:szCs w:val="19"/>
              </w:rPr>
              <w:t xml:space="preserve">EUR-Lex print intended as the consolidated GDPR (</w:t>
            </w:r>
            <w:r>
              <w:rPr>
                <w:rFonts w:ascii="Consolas" w:cs="Consolas" w:eastAsia="Consolas" w:hAnsi="Consolas"/>
                <w:sz w:val="19"/>
                <w:szCs w:val="19"/>
              </w:rPr>
              <w:t xml:space="preserve">CELEX:02016R0679-20160504</w:t>
            </w:r>
            <w:r>
              <w:rPr>
                <w:sz w:val="19"/>
                <w:szCs w:val="19"/>
              </w:rPr>
              <w:t xml:space="preserve">)</w:t>
            </w:r>
          </w:p>
        </w:tc>
        <w:tc>
          <w:tcPr>
            <w:tcW w:type="dxa" w:w="3120"/>
            <w:tcMar>
              <w:top w:type="dxa" w:w="60"/>
              <w:left w:type="dxa" w:w="100"/>
              <w:bottom w:type="dxa" w:w="60"/>
              <w:right w:type="dxa" w:w="100"/>
            </w:tcMar>
          </w:tcPr>
          <w:p>
            <w:pPr>
              <w:spacing w:after="20" w:before="20"/>
            </w:pPr>
            <w:r>
              <w:rPr>
                <w:b/>
                <w:bCs/>
                <w:sz w:val="19"/>
                <w:szCs w:val="19"/>
              </w:rPr>
              <w:t xml:space="preserve">One page; contains no legal text.</w:t>
            </w:r>
            <w:r>
              <w:rPr>
                <w:sz w:val="19"/>
                <w:szCs w:val="19"/>
              </w:rPr>
              <w:t xml:space="preserve"> The page reads "The requested document does not exist." - the print URL doubled the CELEX number and EUR-Lex returned an error page. </w:t>
            </w:r>
            <w:r>
              <w:rPr>
                <w:b/>
                <w:bCs/>
                <w:sz w:val="19"/>
                <w:szCs w:val="19"/>
              </w:rPr>
              <w:t xml:space="preserve">Nothing in this artifact cites the GDPR, so nothing rests on it.</w:t>
            </w:r>
            <w:r>
              <w:rPr>
                <w:sz w:val="19"/>
                <w:szCs w:val="19"/>
              </w:rPr>
              <w:t xml:space="preserve"> Re-obtain before any artifact that needs the GDPR text</w:t>
            </w:r>
          </w:p>
        </w:tc>
        <w:tc>
          <w:tcPr>
            <w:tcW w:type="dxa" w:w="3120"/>
            <w:tcMar>
              <w:top w:type="dxa" w:w="60"/>
              <w:left w:type="dxa" w:w="100"/>
              <w:bottom w:type="dxa" w:w="60"/>
              <w:right w:type="dxa" w:w="100"/>
            </w:tcMar>
          </w:tcPr>
          <w:p>
            <w:pPr>
              <w:spacing w:after="20" w:before="20"/>
            </w:pPr>
            <w:r>
              <w:rPr>
                <w:rFonts w:ascii="Consolas" w:cs="Consolas" w:eastAsia="Consolas" w:hAnsi="Consolas"/>
                <w:sz w:val="19"/>
                <w:szCs w:val="19"/>
              </w:rPr>
              <w:t xml:space="preserve">24fc1a74341cd6d3</w:t>
            </w:r>
          </w:p>
        </w:tc>
      </w:tr>
    </w:tbl>
    <w:p>
      <w:pPr>
        <w:spacing w:after="80"/>
      </w:pPr>
    </w:p>
    <w:p>
      <w:pPr>
        <w:spacing w:after="140"/>
        <w:jc w:val="both"/>
      </w:pPr>
      <w:r>
        <w:t xml:space="preserve">This row is the register doing its job. A file was supplied that looks, by name, like primary law; opened, it holds none. Listing it as held would have been false; omitting it would hide the gap.</w:t>
      </w:r>
    </w:p>
    <w:p>
      <w:pPr>
        <w:spacing w:after="140" w:before="320"/>
      </w:pPr>
      <w:r>
        <w:rPr>
          <w:b/>
          <w:bCs/>
          <w:color w:val="1F4E79"/>
          <w:sz w:val="30"/>
          <w:szCs w:val="30"/>
        </w:rPr>
        <w:t xml:space="preserve">3. HELD BUT NOT USED - outside this artifact's scope</w:t>
      </w:r>
    </w:p>
    <w:tbl>
      <w:tblPr>
        <w:tblW w:type="dxa" w:w="9360"/>
        <w:tblBorders>
          <w:top w:val="single" w:color="2E74B5" w:sz="4"/>
          <w:left w:val="single" w:color="BFDBF0" w:sz="4"/>
          <w:bottom w:val="single" w:color="2E74B5" w:sz="4"/>
          <w:right w:val="single" w:color="BFDBF0" w:sz="4"/>
          <w:insideH w:val="single" w:color="BFDBF0" w:sz="2"/>
          <w:insideV w:val="single" w:color="BFDBF0" w:sz="2"/>
        </w:tblBorders>
      </w:tblPr>
      <w:tblGrid>
        <w:gridCol w:w="3120"/>
        <w:gridCol w:w="3120"/>
        <w:gridCol w:w="3120"/>
      </w:tblGrid>
      <w:tr>
        <w:trPr>
          <w:tblHeader/>
        </w:trPr>
        <w:tc>
          <w:tcPr>
            <w:tcW w:type="dxa" w:w="3120"/>
            <w:shd w:fill="1F4E79" w:val="clear"/>
            <w:tcMar>
              <w:top w:type="dxa" w:w="60"/>
              <w:left w:type="dxa" w:w="100"/>
              <w:bottom w:type="dxa" w:w="60"/>
              <w:right w:type="dxa" w:w="100"/>
            </w:tcMar>
          </w:tcPr>
          <w:p>
            <w:pPr>
              <w:spacing w:after="20" w:before="20"/>
            </w:pPr>
            <w:r>
              <w:rPr>
                <w:b/>
                <w:bCs/>
                <w:color w:val="FFFFFF"/>
                <w:sz w:val="19"/>
                <w:szCs w:val="19"/>
              </w:rPr>
              <w:t xml:space="preserve">Document</w:t>
            </w:r>
          </w:p>
        </w:tc>
        <w:tc>
          <w:tcPr>
            <w:tcW w:type="dxa" w:w="3120"/>
            <w:shd w:fill="1F4E79" w:val="clear"/>
            <w:tcMar>
              <w:top w:type="dxa" w:w="60"/>
              <w:left w:type="dxa" w:w="100"/>
              <w:bottom w:type="dxa" w:w="60"/>
              <w:right w:type="dxa" w:w="100"/>
            </w:tcMar>
          </w:tcPr>
          <w:p>
            <w:pPr>
              <w:spacing w:after="20" w:before="20"/>
            </w:pPr>
            <w:r>
              <w:rPr>
                <w:b/>
                <w:bCs/>
                <w:color w:val="FFFFFF"/>
                <w:sz w:val="19"/>
                <w:szCs w:val="19"/>
              </w:rPr>
              <w:t xml:space="preserve">Why held, why not used</w:t>
            </w:r>
          </w:p>
        </w:tc>
        <w:tc>
          <w:tcPr>
            <w:tcW w:type="dxa" w:w="3120"/>
            <w:shd w:fill="1F4E79" w:val="clear"/>
            <w:tcMar>
              <w:top w:type="dxa" w:w="60"/>
              <w:left w:type="dxa" w:w="100"/>
              <w:bottom w:type="dxa" w:w="60"/>
              <w:right w:type="dxa" w:w="100"/>
            </w:tcMar>
          </w:tcPr>
          <w:p>
            <w:pPr>
              <w:spacing w:after="20" w:before="20"/>
            </w:pPr>
            <w:r>
              <w:rPr>
                <w:b/>
                <w:bCs/>
                <w:color w:val="FFFFFF"/>
                <w:sz w:val="19"/>
                <w:szCs w:val="19"/>
              </w:rPr>
              <w:t xml:space="preserve">SHA-256</w:t>
            </w:r>
          </w:p>
        </w:tc>
      </w:tr>
      <w:tr>
        <w:tc>
          <w:tcPr>
            <w:tcW w:type="dxa" w:w="3120"/>
            <w:tcMar>
              <w:top w:type="dxa" w:w="60"/>
              <w:left w:type="dxa" w:w="100"/>
              <w:bottom w:type="dxa" w:w="60"/>
              <w:right w:type="dxa" w:w="100"/>
            </w:tcMar>
          </w:tcPr>
          <w:p>
            <w:pPr>
              <w:spacing w:after="20" w:before="20"/>
            </w:pPr>
            <w:r>
              <w:rPr>
                <w:b/>
                <w:bCs/>
                <w:sz w:val="19"/>
                <w:szCs w:val="19"/>
              </w:rPr>
              <w:t xml:space="preserve">Official Gazette of the Kingdom of Bahrain, issue 3593</w:t>
            </w:r>
            <w:r>
              <w:rPr>
                <w:sz w:val="19"/>
                <w:szCs w:val="19"/>
              </w:rPr>
              <w:t xml:space="preserve"> (Arabic; 160 pp)</w:t>
            </w:r>
          </w:p>
        </w:tc>
        <w:tc>
          <w:tcPr>
            <w:tcW w:type="dxa" w:w="3120"/>
            <w:tcMar>
              <w:top w:type="dxa" w:w="60"/>
              <w:left w:type="dxa" w:w="100"/>
              <w:bottom w:type="dxa" w:w="60"/>
              <w:right w:type="dxa" w:w="100"/>
            </w:tcMar>
          </w:tcPr>
          <w:p>
            <w:pPr>
              <w:spacing w:after="20" w:before="20"/>
            </w:pPr>
            <w:r>
              <w:rPr>
                <w:sz w:val="19"/>
                <w:szCs w:val="19"/>
              </w:rPr>
              <w:t xml:space="preserve">Supplied in the same batch. It belongs to the Bahrain workstream (re-verification of translation-grounded citations against the enacted Arabic) and contains nothing bearing on EU classification. </w:t>
            </w:r>
            <w:r>
              <w:rPr>
                <w:b/>
                <w:bCs/>
                <w:sz w:val="19"/>
                <w:szCs w:val="19"/>
              </w:rPr>
              <w:t xml:space="preserve">Not cited anywhere in this artifact</w:t>
            </w:r>
          </w:p>
        </w:tc>
        <w:tc>
          <w:tcPr>
            <w:tcW w:type="dxa" w:w="3120"/>
            <w:tcMar>
              <w:top w:type="dxa" w:w="60"/>
              <w:left w:type="dxa" w:w="100"/>
              <w:bottom w:type="dxa" w:w="60"/>
              <w:right w:type="dxa" w:w="100"/>
            </w:tcMar>
          </w:tcPr>
          <w:p>
            <w:pPr>
              <w:spacing w:after="20" w:before="20"/>
            </w:pPr>
            <w:r>
              <w:rPr>
                <w:rFonts w:ascii="Consolas" w:cs="Consolas" w:eastAsia="Consolas" w:hAnsi="Consolas"/>
                <w:sz w:val="19"/>
                <w:szCs w:val="19"/>
              </w:rPr>
              <w:t xml:space="preserve">3c34e9e67d5cec12</w:t>
            </w:r>
          </w:p>
        </w:tc>
      </w:tr>
    </w:tbl>
    <w:p>
      <w:pPr>
        <w:spacing w:after="80"/>
      </w:pPr>
    </w:p>
    <w:p>
      <w:pPr>
        <w:spacing w:after="140" w:before="320"/>
      </w:pPr>
      <w:r>
        <w:rPr>
          <w:b/>
          <w:bCs/>
          <w:color w:val="1F4E79"/>
          <w:sz w:val="30"/>
          <w:szCs w:val="30"/>
        </w:rPr>
        <w:t xml:space="preserve">4. NOT HELD - the gaps that shape what this artifact can say</w:t>
      </w:r>
    </w:p>
    <w:tbl>
      <w:tblPr>
        <w:tblW w:type="dxa" w:w="9360"/>
        <w:tblBorders>
          <w:top w:val="single" w:color="2E74B5" w:sz="4"/>
          <w:left w:val="single" w:color="BFDBF0" w:sz="4"/>
          <w:bottom w:val="single" w:color="2E74B5" w:sz="4"/>
          <w:right w:val="single" w:color="BFDBF0" w:sz="4"/>
          <w:insideH w:val="single" w:color="BFDBF0" w:sz="2"/>
          <w:insideV w:val="single" w:color="BFDBF0" w:sz="2"/>
        </w:tblBorders>
      </w:tblPr>
      <w:tblGrid>
        <w:gridCol w:w="4680"/>
        <w:gridCol w:w="4680"/>
      </w:tblGrid>
      <w:tr>
        <w:trPr>
          <w:tblHeader/>
        </w:trPr>
        <w:tc>
          <w:tcPr>
            <w:tcW w:type="dxa" w:w="4680"/>
            <w:shd w:fill="1F4E79" w:val="clear"/>
            <w:tcMar>
              <w:top w:type="dxa" w:w="60"/>
              <w:left w:type="dxa" w:w="100"/>
              <w:bottom w:type="dxa" w:w="60"/>
              <w:right w:type="dxa" w:w="100"/>
            </w:tcMar>
          </w:tcPr>
          <w:p>
            <w:pPr>
              <w:spacing w:after="20" w:before="20"/>
            </w:pPr>
            <w:r>
              <w:rPr>
                <w:b/>
                <w:bCs/>
                <w:color w:val="FFFFFF"/>
                <w:sz w:val="19"/>
                <w:szCs w:val="19"/>
              </w:rPr>
              <w:t xml:space="preserve">What is missing</w:t>
            </w:r>
          </w:p>
        </w:tc>
        <w:tc>
          <w:tcPr>
            <w:tcW w:type="dxa" w:w="4680"/>
            <w:shd w:fill="1F4E79" w:val="clear"/>
            <w:tcMar>
              <w:top w:type="dxa" w:w="60"/>
              <w:left w:type="dxa" w:w="100"/>
              <w:bottom w:type="dxa" w:w="60"/>
              <w:right w:type="dxa" w:w="100"/>
            </w:tcMar>
          </w:tcPr>
          <w:p>
            <w:pPr>
              <w:spacing w:after="20" w:before="20"/>
            </w:pPr>
            <w:r>
              <w:rPr>
                <w:b/>
                <w:bCs/>
                <w:color w:val="FFFFFF"/>
                <w:sz w:val="19"/>
                <w:szCs w:val="19"/>
              </w:rPr>
              <w:t xml:space="preserve">Consequence</w:t>
            </w:r>
          </w:p>
        </w:tc>
      </w:tr>
      <w:tr>
        <w:tc>
          <w:tcPr>
            <w:tcW w:type="dxa" w:w="4680"/>
            <w:tcMar>
              <w:top w:type="dxa" w:w="60"/>
              <w:left w:type="dxa" w:w="100"/>
              <w:bottom w:type="dxa" w:w="60"/>
              <w:right w:type="dxa" w:w="100"/>
            </w:tcMar>
          </w:tcPr>
          <w:p>
            <w:pPr>
              <w:spacing w:after="20" w:before="20"/>
            </w:pPr>
            <w:r>
              <w:rPr>
                <w:b/>
                <w:bCs/>
                <w:sz w:val="19"/>
                <w:szCs w:val="19"/>
              </w:rPr>
              <w:t xml:space="preserve">Commission guidelines under Article 6(5)</w:t>
            </w:r>
            <w:r>
              <w:rPr>
                <w:sz w:val="19"/>
                <w:szCs w:val="19"/>
              </w:rPr>
              <w:t xml:space="preserve"> (due 2 February 2026)</w:t>
            </w:r>
          </w:p>
        </w:tc>
        <w:tc>
          <w:tcPr>
            <w:tcW w:type="dxa" w:w="4680"/>
            <w:tcMar>
              <w:top w:type="dxa" w:w="60"/>
              <w:left w:type="dxa" w:w="100"/>
              <w:bottom w:type="dxa" w:w="60"/>
              <w:right w:type="dxa" w:w="100"/>
            </w:tcMar>
          </w:tcPr>
          <w:p>
            <w:pPr>
              <w:spacing w:after="20" w:before="20"/>
            </w:pPr>
            <w:r>
              <w:rPr>
                <w:sz w:val="19"/>
                <w:szCs w:val="19"/>
              </w:rPr>
              <w:t xml:space="preserve">The walkthrough states the derogation from the statutory text alone. Contested classification calls should not be made without the current guidelines</w:t>
            </w:r>
          </w:p>
        </w:tc>
      </w:tr>
      <w:tr>
        <w:tc>
          <w:tcPr>
            <w:tcW w:type="dxa" w:w="4680"/>
            <w:shd w:fill="F2F7FB" w:val="clear"/>
            <w:tcMar>
              <w:top w:type="dxa" w:w="60"/>
              <w:left w:type="dxa" w:w="100"/>
              <w:bottom w:type="dxa" w:w="60"/>
              <w:right w:type="dxa" w:w="100"/>
            </w:tcMar>
          </w:tcPr>
          <w:p>
            <w:pPr>
              <w:spacing w:after="20" w:before="20"/>
            </w:pPr>
            <w:r>
              <w:rPr>
                <w:b/>
                <w:bCs/>
                <w:sz w:val="19"/>
                <w:szCs w:val="19"/>
              </w:rPr>
              <w:t xml:space="preserve">The Annex I product legislation</w:t>
            </w:r>
            <w:r>
              <w:rPr>
                <w:sz w:val="19"/>
                <w:szCs w:val="19"/>
              </w:rPr>
              <w:t xml:space="preserve"> (Machinery Regulation, Medical Device Regulation, and the rest)</w:t>
            </w:r>
          </w:p>
        </w:tc>
        <w:tc>
          <w:tcPr>
            <w:tcW w:type="dxa" w:w="4680"/>
            <w:shd w:fill="F2F7FB" w:val="clear"/>
            <w:tcMar>
              <w:top w:type="dxa" w:w="60"/>
              <w:left w:type="dxa" w:w="100"/>
              <w:bottom w:type="dxa" w:w="60"/>
              <w:right w:type="dxa" w:w="100"/>
            </w:tcMar>
          </w:tcPr>
          <w:p>
            <w:pPr>
              <w:spacing w:after="20" w:before="20"/>
            </w:pPr>
            <w:r>
              <w:rPr>
                <w:sz w:val="19"/>
                <w:szCs w:val="19"/>
              </w:rPr>
              <w:t xml:space="preserve">Gate 2 turns on those instruments' conformity assessment rules. The walkthrough states the AI Act side only; rows 6-7 of the quick-fire table say so</w:t>
            </w:r>
          </w:p>
        </w:tc>
      </w:tr>
      <w:tr>
        <w:tc>
          <w:tcPr>
            <w:tcW w:type="dxa" w:w="4680"/>
            <w:tcMar>
              <w:top w:type="dxa" w:w="60"/>
              <w:left w:type="dxa" w:w="100"/>
              <w:bottom w:type="dxa" w:w="60"/>
              <w:right w:type="dxa" w:w="100"/>
            </w:tcMar>
          </w:tcPr>
          <w:p>
            <w:pPr>
              <w:spacing w:after="20" w:before="20"/>
            </w:pPr>
            <w:r>
              <w:rPr>
                <w:b/>
                <w:bCs/>
                <w:sz w:val="19"/>
                <w:szCs w:val="19"/>
              </w:rPr>
              <w:t xml:space="preserve">Directive 2011/93/EU</w:t>
            </w:r>
          </w:p>
        </w:tc>
        <w:tc>
          <w:tcPr>
            <w:tcW w:type="dxa" w:w="4680"/>
            <w:tcMar>
              <w:top w:type="dxa" w:w="60"/>
              <w:left w:type="dxa" w:w="100"/>
              <w:bottom w:type="dxa" w:w="60"/>
              <w:right w:type="dxa" w:w="100"/>
            </w:tcMar>
          </w:tcPr>
          <w:p>
            <w:pPr>
              <w:spacing w:after="20" w:before="20"/>
            </w:pPr>
            <w:r>
              <w:rPr>
                <w:sz w:val="19"/>
                <w:szCs w:val="19"/>
              </w:rPr>
              <w:t xml:space="preserve">Defines the material covered by the CSAM prohibition. The prohibition is stated without restating those definitions</w:t>
            </w:r>
          </w:p>
        </w:tc>
      </w:tr>
      <w:tr>
        <w:tc>
          <w:tcPr>
            <w:tcW w:type="dxa" w:w="4680"/>
            <w:shd w:fill="F2F7FB" w:val="clear"/>
            <w:tcMar>
              <w:top w:type="dxa" w:w="60"/>
              <w:left w:type="dxa" w:w="100"/>
              <w:bottom w:type="dxa" w:w="60"/>
              <w:right w:type="dxa" w:w="100"/>
            </w:tcMar>
          </w:tcPr>
          <w:p>
            <w:pPr>
              <w:spacing w:after="20" w:before="20"/>
            </w:pPr>
            <w:r>
              <w:rPr>
                <w:b/>
                <w:bCs/>
                <w:sz w:val="19"/>
                <w:szCs w:val="19"/>
              </w:rPr>
              <w:t xml:space="preserve">A current GDPR consolidation</w:t>
            </w:r>
          </w:p>
        </w:tc>
        <w:tc>
          <w:tcPr>
            <w:tcW w:type="dxa" w:w="4680"/>
            <w:shd w:fill="F2F7FB" w:val="clear"/>
            <w:tcMar>
              <w:top w:type="dxa" w:w="60"/>
              <w:left w:type="dxa" w:w="100"/>
              <w:bottom w:type="dxa" w:w="60"/>
              <w:right w:type="dxa" w:w="100"/>
            </w:tcMar>
          </w:tcPr>
          <w:p>
            <w:pPr>
              <w:spacing w:after="20" w:before="20"/>
            </w:pPr>
            <w:r>
              <w:rPr>
                <w:sz w:val="19"/>
                <w:szCs w:val="19"/>
              </w:rPr>
              <w:t xml:space="preserve">See section 2 - the supplied file was an error page. Deliberately without consequence here: the GDPR interplay is out of this artifact's scope and covered in the Part 1 EU set</w:t>
            </w:r>
          </w:p>
        </w:tc>
      </w:tr>
      <w:tr>
        <w:tc>
          <w:tcPr>
            <w:tcW w:type="dxa" w:w="4680"/>
            <w:tcMar>
              <w:top w:type="dxa" w:w="60"/>
              <w:left w:type="dxa" w:w="100"/>
              <w:bottom w:type="dxa" w:w="60"/>
              <w:right w:type="dxa" w:w="100"/>
            </w:tcMar>
          </w:tcPr>
          <w:p>
            <w:pPr>
              <w:spacing w:after="20" w:before="20"/>
            </w:pPr>
            <w:r>
              <w:rPr>
                <w:b/>
                <w:bCs/>
                <w:sz w:val="19"/>
                <w:szCs w:val="19"/>
              </w:rPr>
              <w:t xml:space="preserve">Harmonised standards / common specifications for high-risk requirements</w:t>
            </w:r>
          </w:p>
        </w:tc>
        <w:tc>
          <w:tcPr>
            <w:tcW w:type="dxa" w:w="4680"/>
            <w:tcMar>
              <w:top w:type="dxa" w:w="60"/>
              <w:left w:type="dxa" w:w="100"/>
              <w:bottom w:type="dxa" w:w="60"/>
              <w:right w:type="dxa" w:w="100"/>
            </w:tcMar>
          </w:tcPr>
          <w:p>
            <w:pPr>
              <w:spacing w:after="20" w:before="20"/>
            </w:pPr>
            <w:r>
              <w:rPr>
                <w:sz w:val="19"/>
                <w:szCs w:val="19"/>
              </w:rPr>
              <w:t xml:space="preserve">Do not affect classification; they affect what a high-risk outcome costs. Out of scope</w:t>
            </w:r>
          </w:p>
        </w:tc>
      </w:tr>
    </w:tbl>
    <w:p>
      <w:pPr>
        <w:spacing w:after="80"/>
      </w:pPr>
    </w:p>
    <w:p>
      <w:pPr>
        <w:spacing w:after="140" w:before="320"/>
      </w:pPr>
      <w:r>
        <w:rPr>
          <w:b/>
          <w:bCs/>
          <w:color w:val="1F4E79"/>
          <w:sz w:val="30"/>
          <w:szCs w:val="30"/>
        </w:rPr>
        <w:t xml:space="preserve">5. Documents PRODUCED</w:t>
      </w:r>
    </w:p>
    <w:tbl>
      <w:tblPr>
        <w:tblW w:type="dxa" w:w="9360"/>
        <w:tblBorders>
          <w:top w:val="single" w:color="2E74B5" w:sz="4"/>
          <w:left w:val="single" w:color="BFDBF0" w:sz="4"/>
          <w:bottom w:val="single" w:color="2E74B5" w:sz="4"/>
          <w:right w:val="single" w:color="BFDBF0" w:sz="4"/>
          <w:insideH w:val="single" w:color="BFDBF0" w:sz="2"/>
          <w:insideV w:val="single" w:color="BFDBF0" w:sz="2"/>
        </w:tblBorders>
      </w:tblPr>
      <w:tblGrid>
        <w:gridCol w:w="3120"/>
        <w:gridCol w:w="3120"/>
        <w:gridCol w:w="3120"/>
      </w:tblGrid>
      <w:tr>
        <w:trPr>
          <w:tblHeader/>
        </w:trPr>
        <w:tc>
          <w:tcPr>
            <w:tcW w:type="dxa" w:w="3120"/>
            <w:shd w:fill="1F4E79" w:val="clear"/>
            <w:tcMar>
              <w:top w:type="dxa" w:w="60"/>
              <w:left w:type="dxa" w:w="100"/>
              <w:bottom w:type="dxa" w:w="60"/>
              <w:right w:type="dxa" w:w="100"/>
            </w:tcMar>
          </w:tcPr>
          <w:p>
            <w:pPr>
              <w:spacing w:after="20" w:before="20"/>
            </w:pPr>
            <w:r>
              <w:rPr>
                <w:b/>
                <w:bCs/>
                <w:color w:val="FFFFFF"/>
                <w:sz w:val="19"/>
                <w:szCs w:val="19"/>
              </w:rPr>
              <w:t xml:space="preserve">Document</w:t>
            </w:r>
          </w:p>
        </w:tc>
        <w:tc>
          <w:tcPr>
            <w:tcW w:type="dxa" w:w="3120"/>
            <w:shd w:fill="1F4E79" w:val="clear"/>
            <w:tcMar>
              <w:top w:type="dxa" w:w="60"/>
              <w:left w:type="dxa" w:w="100"/>
              <w:bottom w:type="dxa" w:w="60"/>
              <w:right w:type="dxa" w:w="100"/>
            </w:tcMar>
          </w:tcPr>
          <w:p>
            <w:pPr>
              <w:spacing w:after="20" w:before="20"/>
            </w:pPr>
            <w:r>
              <w:rPr>
                <w:b/>
                <w:bCs/>
                <w:color w:val="FFFFFF"/>
                <w:sz w:val="19"/>
                <w:szCs w:val="19"/>
              </w:rPr>
              <w:t xml:space="preserve">Version</w:t>
            </w:r>
          </w:p>
        </w:tc>
        <w:tc>
          <w:tcPr>
            <w:tcW w:type="dxa" w:w="3120"/>
            <w:shd w:fill="1F4E79" w:val="clear"/>
            <w:tcMar>
              <w:top w:type="dxa" w:w="60"/>
              <w:left w:type="dxa" w:w="100"/>
              <w:bottom w:type="dxa" w:w="60"/>
              <w:right w:type="dxa" w:w="100"/>
            </w:tcMar>
          </w:tcPr>
          <w:p>
            <w:pPr>
              <w:spacing w:after="20" w:before="20"/>
            </w:pPr>
            <w:r>
              <w:rPr>
                <w:b/>
                <w:bCs/>
                <w:color w:val="FFFFFF"/>
                <w:sz w:val="19"/>
                <w:szCs w:val="19"/>
              </w:rPr>
              <w:t xml:space="preserve">Status</w:t>
            </w:r>
          </w:p>
        </w:tc>
      </w:tr>
      <w:tr>
        <w:tc>
          <w:tcPr>
            <w:tcW w:type="dxa" w:w="3120"/>
            <w:tcMar>
              <w:top w:type="dxa" w:w="60"/>
              <w:left w:type="dxa" w:w="100"/>
              <w:bottom w:type="dxa" w:w="60"/>
              <w:right w:type="dxa" w:w="100"/>
            </w:tcMar>
          </w:tcPr>
          <w:p>
            <w:pPr>
              <w:spacing w:after="20" w:before="20"/>
            </w:pPr>
            <w:r>
              <w:rPr>
                <w:rFonts w:ascii="Consolas" w:cs="Consolas" w:eastAsia="Consolas" w:hAnsi="Consolas"/>
                <w:sz w:val="19"/>
                <w:szCs w:val="19"/>
              </w:rPr>
              <w:t xml:space="preserve">EU_AI_Act_Classification_Walkthrough.md</w:t>
            </w:r>
          </w:p>
        </w:tc>
        <w:tc>
          <w:tcPr>
            <w:tcW w:type="dxa" w:w="3120"/>
            <w:tcMar>
              <w:top w:type="dxa" w:w="60"/>
              <w:left w:type="dxa" w:w="100"/>
              <w:bottom w:type="dxa" w:w="60"/>
              <w:right w:type="dxa" w:w="100"/>
            </w:tcMar>
          </w:tcPr>
          <w:p>
            <w:pPr>
              <w:spacing w:after="20" w:before="20"/>
            </w:pPr>
            <w:r>
              <w:rPr>
                <w:sz w:val="19"/>
                <w:szCs w:val="19"/>
              </w:rPr>
              <w:t xml:space="preserve">1.0</w:t>
            </w:r>
          </w:p>
        </w:tc>
        <w:tc>
          <w:tcPr>
            <w:tcW w:type="dxa" w:w="3120"/>
            <w:tcMar>
              <w:top w:type="dxa" w:w="60"/>
              <w:left w:type="dxa" w:w="100"/>
              <w:bottom w:type="dxa" w:w="60"/>
              <w:right w:type="dxa" w:w="100"/>
            </w:tcMar>
          </w:tcPr>
          <w:p>
            <w:pPr>
              <w:spacing w:after="20" w:before="20"/>
            </w:pPr>
            <w:r>
              <w:rPr>
                <w:sz w:val="19"/>
                <w:szCs w:val="19"/>
              </w:rPr>
              <w:t xml:space="preserve">Verified against the texts in section 1</w:t>
            </w:r>
          </w:p>
        </w:tc>
      </w:tr>
      <w:tr>
        <w:tc>
          <w:tcPr>
            <w:tcW w:type="dxa" w:w="3120"/>
            <w:shd w:fill="F2F7FB" w:val="clear"/>
            <w:tcMar>
              <w:top w:type="dxa" w:w="60"/>
              <w:left w:type="dxa" w:w="100"/>
              <w:bottom w:type="dxa" w:w="60"/>
              <w:right w:type="dxa" w:w="100"/>
            </w:tcMar>
          </w:tcPr>
          <w:p>
            <w:pPr>
              <w:spacing w:after="20" w:before="20"/>
            </w:pPr>
            <w:r>
              <w:rPr>
                <w:rFonts w:ascii="Consolas" w:cs="Consolas" w:eastAsia="Consolas" w:hAnsi="Consolas"/>
                <w:sz w:val="19"/>
                <w:szCs w:val="19"/>
              </w:rPr>
              <w:t xml:space="preserve">EU_AI_Act_Classification_Research_Note.md</w:t>
            </w:r>
          </w:p>
        </w:tc>
        <w:tc>
          <w:tcPr>
            <w:tcW w:type="dxa" w:w="3120"/>
            <w:shd w:fill="F2F7FB" w:val="clear"/>
            <w:tcMar>
              <w:top w:type="dxa" w:w="60"/>
              <w:left w:type="dxa" w:w="100"/>
              <w:bottom w:type="dxa" w:w="60"/>
              <w:right w:type="dxa" w:w="100"/>
            </w:tcMar>
          </w:tcPr>
          <w:p>
            <w:pPr>
              <w:spacing w:after="20" w:before="20"/>
            </w:pPr>
            <w:r>
              <w:rPr>
                <w:sz w:val="19"/>
                <w:szCs w:val="19"/>
              </w:rPr>
              <w:t xml:space="preserve">1.0</w:t>
            </w:r>
          </w:p>
        </w:tc>
        <w:tc>
          <w:tcPr>
            <w:tcW w:type="dxa" w:w="3120"/>
            <w:shd w:fill="F2F7FB" w:val="clear"/>
            <w:tcMar>
              <w:top w:type="dxa" w:w="60"/>
              <w:left w:type="dxa" w:w="100"/>
              <w:bottom w:type="dxa" w:w="60"/>
              <w:right w:type="dxa" w:w="100"/>
            </w:tcMar>
          </w:tcPr>
          <w:p>
            <w:pPr>
              <w:spacing w:after="20" w:before="20"/>
            </w:pPr>
            <w:r>
              <w:rPr>
                <w:sz w:val="19"/>
                <w:szCs w:val="19"/>
              </w:rPr>
              <w:t xml:space="preserve">Citations, M1 catalogue, limitations</w:t>
            </w:r>
          </w:p>
        </w:tc>
      </w:tr>
      <w:tr>
        <w:tc>
          <w:tcPr>
            <w:tcW w:type="dxa" w:w="3120"/>
            <w:tcMar>
              <w:top w:type="dxa" w:w="60"/>
              <w:left w:type="dxa" w:w="100"/>
              <w:bottom w:type="dxa" w:w="60"/>
              <w:right w:type="dxa" w:w="100"/>
            </w:tcMar>
          </w:tcPr>
          <w:p>
            <w:pPr>
              <w:spacing w:after="20" w:before="20"/>
            </w:pPr>
            <w:r>
              <w:rPr>
                <w:rFonts w:ascii="Consolas" w:cs="Consolas" w:eastAsia="Consolas" w:hAnsi="Consolas"/>
                <w:sz w:val="19"/>
                <w:szCs w:val="19"/>
              </w:rPr>
              <w:t xml:space="preserve">EU_AI_Act_Classification_Source_Register.md</w:t>
            </w:r>
          </w:p>
        </w:tc>
        <w:tc>
          <w:tcPr>
            <w:tcW w:type="dxa" w:w="3120"/>
            <w:tcMar>
              <w:top w:type="dxa" w:w="60"/>
              <w:left w:type="dxa" w:w="100"/>
              <w:bottom w:type="dxa" w:w="60"/>
              <w:right w:type="dxa" w:w="100"/>
            </w:tcMar>
          </w:tcPr>
          <w:p>
            <w:pPr>
              <w:spacing w:after="20" w:before="20"/>
            </w:pPr>
            <w:r>
              <w:rPr>
                <w:sz w:val="19"/>
                <w:szCs w:val="19"/>
              </w:rPr>
              <w:t xml:space="preserve">1.0</w:t>
            </w:r>
          </w:p>
        </w:tc>
        <w:tc>
          <w:tcPr>
            <w:tcW w:type="dxa" w:w="3120"/>
            <w:tcMar>
              <w:top w:type="dxa" w:w="60"/>
              <w:left w:type="dxa" w:w="100"/>
              <w:bottom w:type="dxa" w:w="60"/>
              <w:right w:type="dxa" w:w="100"/>
            </w:tcMar>
          </w:tcPr>
          <w:p>
            <w:pPr>
              <w:spacing w:after="20" w:before="20"/>
            </w:pPr>
            <w:r>
              <w:rPr>
                <w:sz w:val="19"/>
                <w:szCs w:val="19"/>
              </w:rPr>
              <w:t xml:space="preserve">This document</w:t>
            </w:r>
          </w:p>
        </w:tc>
      </w:tr>
      <w:tr>
        <w:tc>
          <w:tcPr>
            <w:tcW w:type="dxa" w:w="3120"/>
            <w:shd w:fill="F2F7FB" w:val="clear"/>
            <w:tcMar>
              <w:top w:type="dxa" w:w="60"/>
              <w:left w:type="dxa" w:w="100"/>
              <w:bottom w:type="dxa" w:w="60"/>
              <w:right w:type="dxa" w:w="100"/>
            </w:tcMar>
          </w:tcPr>
          <w:p>
            <w:pPr>
              <w:spacing w:after="20" w:before="20"/>
            </w:pPr>
            <w:r>
              <w:rPr>
                <w:rFonts w:ascii="Consolas" w:cs="Consolas" w:eastAsia="Consolas" w:hAnsi="Consolas"/>
                <w:sz w:val="19"/>
                <w:szCs w:val="19"/>
              </w:rPr>
              <w:t xml:space="preserve">downloads/EU_AI_Act_Classification_Walkthrough.docx</w:t>
            </w:r>
          </w:p>
        </w:tc>
        <w:tc>
          <w:tcPr>
            <w:tcW w:type="dxa" w:w="3120"/>
            <w:shd w:fill="F2F7FB" w:val="clear"/>
            <w:tcMar>
              <w:top w:type="dxa" w:w="60"/>
              <w:left w:type="dxa" w:w="100"/>
              <w:bottom w:type="dxa" w:w="60"/>
              <w:right w:type="dxa" w:w="100"/>
            </w:tcMar>
          </w:tcPr>
          <w:p>
            <w:pPr>
              <w:spacing w:after="20" w:before="20"/>
            </w:pPr>
            <w:r>
              <w:rPr>
                <w:sz w:val="19"/>
                <w:szCs w:val="19"/>
              </w:rPr>
              <w:t xml:space="preserve">1.0</w:t>
            </w:r>
          </w:p>
        </w:tc>
        <w:tc>
          <w:tcPr>
            <w:tcW w:type="dxa" w:w="3120"/>
            <w:shd w:fill="F2F7FB" w:val="clear"/>
            <w:tcMar>
              <w:top w:type="dxa" w:w="60"/>
              <w:left w:type="dxa" w:w="100"/>
              <w:bottom w:type="dxa" w:w="60"/>
              <w:right w:type="dxa" w:w="100"/>
            </w:tcMar>
          </w:tcPr>
          <w:p>
            <w:pPr>
              <w:spacing w:after="20" w:before="20"/>
            </w:pPr>
            <w:r>
              <w:rPr>
                <w:sz w:val="19"/>
                <w:szCs w:val="19"/>
              </w:rPr>
              <w:t xml:space="preserve">Word export of the walkthrough</w:t>
            </w:r>
          </w:p>
        </w:tc>
      </w:tr>
    </w:tbl>
    <w:p>
      <w:pPr>
        <w:spacing w:after="80"/>
      </w:pPr>
    </w:p>
    <w:p>
      <w:pPr>
        <w:spacing w:after="140" w:before="320"/>
      </w:pPr>
      <w:r>
        <w:rPr>
          <w:b/>
          <w:bCs/>
          <w:color w:val="1F4E79"/>
          <w:sz w:val="30"/>
          <w:szCs w:val="30"/>
        </w:rPr>
        <w:t xml:space="preserve">6. Sources NOT used, as a matter of method</w:t>
      </w:r>
    </w:p>
    <w:p>
      <w:pPr>
        <w:pStyle w:val="ListParagraph"/>
        <w:numPr>
          <w:ilvl w:val="0"/>
          <w:numId w:val="2"/>
        </w:numPr>
        <w:spacing w:after="80"/>
      </w:pPr>
      <w:r>
        <w:rPr>
          <w:b/>
          <w:bCs/>
        </w:rPr>
        <w:t xml:space="preserve">No web content entered any classification rule.</w:t>
      </w:r>
      <w:r>
        <w:t xml:space="preserve"> Both instruments were supplied as files and read directly; no web page was consulted for any provision, date, or annex item.</w:t>
      </w:r>
    </w:p>
    <w:p>
      <w:pPr>
        <w:pStyle w:val="ListParagraph"/>
        <w:numPr>
          <w:ilvl w:val="0"/>
          <w:numId w:val="2"/>
        </w:numPr>
        <w:spacing w:after="80"/>
      </w:pPr>
      <w:r>
        <w:rPr>
          <w:b/>
          <w:bCs/>
        </w:rPr>
        <w:t xml:space="preserve">No secondary commentary, law-firm briefing, or comparative summary.</w:t>
      </w:r>
      <w:r>
        <w:t xml:space="preserve"> The commencement dates - which secondary sources still frequently get wrong - were taken from Article 113 of the consolidated text, and the Annex III list from the Annex itself, item by item.</w:t>
      </w:r>
    </w:p>
    <w:p>
      <w:pPr>
        <w:pStyle w:val="ListParagraph"/>
        <w:numPr>
          <w:ilvl w:val="0"/>
          <w:numId w:val="2"/>
        </w:numPr>
        <w:spacing w:after="80"/>
      </w:pPr>
      <w:r>
        <w:rPr>
          <w:b/>
          <w:bCs/>
        </w:rPr>
        <w:t xml:space="preserve">No AI-generated legal content.</w:t>
      </w:r>
      <w:r>
        <w:t xml:space="preserve"> Every provision cited in the research note resolves to text in a file in section 1.</w:t>
      </w:r>
    </w:p>
    <w:p>
      <w:pPr>
        <w:spacing w:after="140" w:before="320"/>
      </w:pPr>
      <w:r>
        <w:rPr>
          <w:b/>
          <w:bCs/>
          <w:color w:val="1F4E79"/>
          <w:sz w:val="30"/>
          <w:szCs w:val="30"/>
        </w:rPr>
        <w:t xml:space="preserve">7. The verification that mattered most</w:t>
      </w:r>
    </w:p>
    <w:p>
      <w:pPr>
        <w:spacing w:after="140"/>
        <w:jc w:val="both"/>
      </w:pPr>
      <w:r>
        <w:rPr>
          <w:b/>
          <w:bCs/>
        </w:rPr>
        <w:t xml:space="preserve">That the Digital Omnibus left Annex III alone.</w:t>
      </w:r>
      <w:r>
        <w:t xml:space="preserve"> The classification changes in Regulation (EU) 2026/1744 sit in Article 6(1a)-(1c) and Annex I - the product route - and in the two new prohibitions. It would be easy to assume a "simplification" regulation trimmed the high-risk list; it did not. Every item in Annex III carries the base-text marker in the consolidation, and the omnibus contains no amendment to it. The whole eight-area list, verified item by item, stands as adopted in 2024 - while the dates on which it bites moved by more than a year. Both halves of that sentence come from the primary text, and neither could safely have come from anywhere else.</w:t>
      </w:r>
    </w:p>
    <w:p>
      <w:pPr>
        <w:spacing w:after="140" w:before="320"/>
      </w:pPr>
      <w:r>
        <w:rPr>
          <w:b/>
          <w:bCs/>
          <w:color w:val="1F4E79"/>
          <w:sz w:val="30"/>
          <w:szCs w:val="30"/>
        </w:rPr>
        <w:t xml:space="preserve">8. Standing caveat</w:t>
      </w:r>
    </w:p>
    <w:p>
      <w:pPr>
        <w:spacing w:after="140"/>
        <w:jc w:val="both"/>
      </w:pPr>
      <w:r>
        <w:t xml:space="preserve">No provision cited in this artifact set has been reviewed by qualified counsel. These documents are educational and do not constitute legal advice.</w:t>
      </w:r>
    </w:p>
    <w:sectPr>
      <w:pgSz w:w="11906" w:h="16838" w:orient="portrait"/>
      <w:pgMar w:top="1080" w:right="1240" w:bottom="108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color w:val="2E74B5"/>
      </w:r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register - EU AI Act Classification Walkthrough</dc:title>
  <dc:creator>Narendra Karki</dc:creator>
  <dc:description>AI Governance Series - Part 2. Educational material, not legal advice.</dc:description>
  <cp:lastModifiedBy>Narendra Karki</cp:lastModifiedBy>
  <cp:revision>1</cp:revision>
  <dcterms:created xsi:type="dcterms:W3CDTF">2026-09-05T14:39:38.770Z</dcterms:created>
  <dcterms:modified xsi:type="dcterms:W3CDTF">2026-09-05T14:39:38.770Z</dcterms:modified>
</cp:coreProperties>
</file>

<file path=docProps/custom.xml><?xml version="1.0" encoding="utf-8"?>
<Properties xmlns="http://schemas.openxmlformats.org/officeDocument/2006/custom-properties" xmlns:vt="http://schemas.openxmlformats.org/officeDocument/2006/docPropsVTypes"/>
</file>