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12" w:space="6"/>
        </w:pBdr>
        <w:spacing w:after="200" w:before="0"/>
      </w:pPr>
      <w:r>
        <w:rPr>
          <w:b/>
          <w:bCs/>
          <w:color w:val="1F4E79"/>
          <w:sz w:val="40"/>
          <w:szCs w:val="40"/>
        </w:rPr>
        <w:t xml:space="preserve">Classifying Your AI Systems - Worked Examples for a Bank and a Hospital</w:t>
      </w:r>
    </w:p>
    <w:p>
      <w:pPr>
        <w:spacing w:after="140"/>
        <w:jc w:val="both"/>
      </w:pPr>
      <w:r>
        <w:rPr>
          <w:b/>
          <w:bCs/>
        </w:rPr>
        <w:t xml:space="preserve">Series:</w:t>
      </w:r>
      <w:r>
        <w:t xml:space="preserve"> AI Governance Series - companion to Part 2 (Classifying AI systems by risk) </w:t>
      </w:r>
      <w:r>
        <w:rPr>
          <w:b/>
          <w:bCs/>
        </w:rPr>
        <w:t xml:space="preserve">Legal baseline:</w:t>
      </w:r>
      <w:r>
        <w:t xml:space="preserve"> the EU Artificial Intelligence Act as consolidated at 27 July 2026, after amendment by the Digital Omnibus </w:t>
      </w:r>
      <w:r>
        <w:rPr>
          <w:b/>
          <w:bCs/>
        </w:rPr>
        <w:t xml:space="preserve">Version:</w:t>
      </w:r>
      <w:r>
        <w:t xml:space="preserve"> 1.0 </w:t>
      </w:r>
      <w:r>
        <w:rPr>
          <w:b/>
          <w:bCs/>
        </w:rPr>
        <w:t xml:space="preserve">Status:</w:t>
      </w:r>
      <w:r>
        <w:t xml:space="preserve"> Verified against the consolidated primary text. Citations in the Part 2 research note; texts held in the Part 2 source register.</w:t>
      </w:r>
    </w:p>
    <w:p>
      <w:pPr>
        <w:spacing w:after="140"/>
        <w:jc w:val="both"/>
      </w:pPr>
      <w:r>
        <w:rPr>
          <w:i/>
          <w:iCs/>
          <w:color w:val="595959"/>
        </w:rPr>
        <w:t xml:space="preserve">Educational material, not legal advice. The classifications below are worked illustrations on invented systems, not opinions on any real product. Have your DPO or legal counsel review before relying on any position here.</w:t>
      </w:r>
    </w:p>
    <w:p>
      <w:pPr>
        <w:pBdr>
          <w:bottom w:val="single" w:color="BFDBF0" w:sz="6"/>
        </w:pBdr>
        <w:spacing w:after="120" w:before="120"/>
      </w:pPr>
    </w:p>
    <w:p>
      <w:pPr>
        <w:spacing w:after="140" w:before="320"/>
      </w:pPr>
      <w:r>
        <w:rPr>
          <w:b/>
          <w:bCs/>
          <w:color w:val="1F4E79"/>
          <w:sz w:val="30"/>
          <w:szCs w:val="30"/>
        </w:rPr>
        <w:t xml:space="preserve">The method, in one page</w:t>
      </w:r>
    </w:p>
    <w:p>
      <w:pPr>
        <w:spacing w:after="140"/>
        <w:jc w:val="both"/>
      </w:pPr>
      <w:r>
        <w:t xml:space="preserve">You do not classify your organisation. You classify </w:t>
      </w:r>
      <w:r>
        <w:rPr>
          <w:b/>
          <w:bCs/>
        </w:rPr>
        <w:t xml:space="preserve">one system at a time</w:t>
      </w:r>
      <w:r>
        <w:t xml:space="preserve">, and you write the answer down. For each AI system on your list, ask five questions in order and stop at the first one that bites:</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500"/>
        <w:gridCol w:w="4430"/>
        <w:gridCol w:w="4430"/>
      </w:tblGrid>
      <w:tr>
        <w:trPr>
          <w:tblHeader/>
        </w:trPr>
        <w:tc>
          <w:tcPr>
            <w:tcW w:type="dxa" w:w="500"/>
            <w:shd w:fill="1F4E79" w:val="clear"/>
            <w:tcMar>
              <w:top w:type="dxa" w:w="60"/>
              <w:left w:type="dxa" w:w="100"/>
              <w:bottom w:type="dxa" w:w="60"/>
              <w:right w:type="dxa" w:w="100"/>
            </w:tcMar>
          </w:tcPr>
          <w:p>
            <w:pPr>
              <w:spacing w:after="20" w:before="20"/>
            </w:pPr>
            <w:r>
              <w:rPr>
                <w:b/>
                <w:bCs/>
                <w:color w:val="FFFFFF"/>
                <w:sz w:val="19"/>
                <w:szCs w:val="19"/>
              </w:rPr>
              <w:t xml:space="preserve">#</w:t>
            </w:r>
          </w:p>
        </w:tc>
        <w:tc>
          <w:tcPr>
            <w:tcW w:type="dxa" w:w="4430"/>
            <w:shd w:fill="1F4E79" w:val="clear"/>
            <w:tcMar>
              <w:top w:type="dxa" w:w="60"/>
              <w:left w:type="dxa" w:w="100"/>
              <w:bottom w:type="dxa" w:w="60"/>
              <w:right w:type="dxa" w:w="100"/>
            </w:tcMar>
          </w:tcPr>
          <w:p>
            <w:pPr>
              <w:spacing w:after="20" w:before="20"/>
            </w:pPr>
            <w:r>
              <w:rPr>
                <w:b/>
                <w:bCs/>
                <w:color w:val="FFFFFF"/>
                <w:sz w:val="19"/>
                <w:szCs w:val="19"/>
              </w:rPr>
              <w:t xml:space="preserve">Question</w:t>
            </w:r>
          </w:p>
        </w:tc>
        <w:tc>
          <w:tcPr>
            <w:tcW w:type="dxa" w:w="4430"/>
            <w:shd w:fill="1F4E79" w:val="clear"/>
            <w:tcMar>
              <w:top w:type="dxa" w:w="60"/>
              <w:left w:type="dxa" w:w="100"/>
              <w:bottom w:type="dxa" w:w="60"/>
              <w:right w:type="dxa" w:w="100"/>
            </w:tcMar>
          </w:tcPr>
          <w:p>
            <w:pPr>
              <w:spacing w:after="20" w:before="20"/>
            </w:pPr>
            <w:r>
              <w:rPr>
                <w:b/>
                <w:bCs/>
                <w:color w:val="FFFFFF"/>
                <w:sz w:val="19"/>
                <w:szCs w:val="19"/>
              </w:rPr>
              <w:t xml:space="preserve">If yes</w:t>
            </w:r>
          </w:p>
        </w:tc>
      </w:tr>
      <w:tr>
        <w:tc>
          <w:tcPr>
            <w:tcW w:type="dxa" w:w="500"/>
            <w:tcMar>
              <w:top w:type="dxa" w:w="60"/>
              <w:left w:type="dxa" w:w="100"/>
              <w:bottom w:type="dxa" w:w="60"/>
              <w:right w:type="dxa" w:w="100"/>
            </w:tcMar>
          </w:tcPr>
          <w:p>
            <w:pPr>
              <w:spacing w:after="20" w:before="20"/>
            </w:pPr>
            <w:r>
              <w:rPr>
                <w:sz w:val="19"/>
                <w:szCs w:val="19"/>
              </w:rPr>
              <w:t xml:space="preserve">1</w:t>
            </w:r>
          </w:p>
        </w:tc>
        <w:tc>
          <w:tcPr>
            <w:tcW w:type="dxa" w:w="4430"/>
            <w:tcMar>
              <w:top w:type="dxa" w:w="60"/>
              <w:left w:type="dxa" w:w="100"/>
              <w:bottom w:type="dxa" w:w="60"/>
              <w:right w:type="dxa" w:w="100"/>
            </w:tcMar>
          </w:tcPr>
          <w:p>
            <w:pPr>
              <w:spacing w:after="20" w:before="20"/>
            </w:pPr>
            <w:r>
              <w:rPr>
                <w:sz w:val="19"/>
                <w:szCs w:val="19"/>
              </w:rPr>
              <w:t xml:space="preserve">Is it a banned use?</w:t>
            </w:r>
          </w:p>
        </w:tc>
        <w:tc>
          <w:tcPr>
            <w:tcW w:type="dxa" w:w="4430"/>
            <w:tcMar>
              <w:top w:type="dxa" w:w="60"/>
              <w:left w:type="dxa" w:w="100"/>
              <w:bottom w:type="dxa" w:w="60"/>
              <w:right w:type="dxa" w:w="100"/>
            </w:tcMar>
          </w:tcPr>
          <w:p>
            <w:pPr>
              <w:spacing w:after="20" w:before="20"/>
            </w:pPr>
            <w:r>
              <w:rPr>
                <w:sz w:val="19"/>
                <w:szCs w:val="19"/>
              </w:rPr>
              <w:t xml:space="preserve">Stop. It is illegal - drop it or turn the feature off. Applies since Feb 2025</w:t>
            </w:r>
          </w:p>
        </w:tc>
      </w:tr>
      <w:tr>
        <w:tc>
          <w:tcPr>
            <w:tcW w:type="dxa" w:w="500"/>
            <w:shd w:fill="F2F7FB" w:val="clear"/>
            <w:tcMar>
              <w:top w:type="dxa" w:w="60"/>
              <w:left w:type="dxa" w:w="100"/>
              <w:bottom w:type="dxa" w:w="60"/>
              <w:right w:type="dxa" w:w="100"/>
            </w:tcMar>
          </w:tcPr>
          <w:p>
            <w:pPr>
              <w:spacing w:after="20" w:before="20"/>
            </w:pPr>
            <w:r>
              <w:rPr>
                <w:sz w:val="19"/>
                <w:szCs w:val="19"/>
              </w:rPr>
              <w:t xml:space="preserve">2</w:t>
            </w:r>
          </w:p>
        </w:tc>
        <w:tc>
          <w:tcPr>
            <w:tcW w:type="dxa" w:w="4430"/>
            <w:shd w:fill="F2F7FB" w:val="clear"/>
            <w:tcMar>
              <w:top w:type="dxa" w:w="60"/>
              <w:left w:type="dxa" w:w="100"/>
              <w:bottom w:type="dxa" w:w="60"/>
              <w:right w:type="dxa" w:w="100"/>
            </w:tcMar>
          </w:tcPr>
          <w:p>
            <w:pPr>
              <w:spacing w:after="20" w:before="20"/>
            </w:pPr>
            <w:r>
              <w:rPr>
                <w:sz w:val="19"/>
                <w:szCs w:val="19"/>
              </w:rPr>
              <w:t xml:space="preserve">Is it a safety part of a product that needs safety approval?</w:t>
            </w:r>
          </w:p>
        </w:tc>
        <w:tc>
          <w:tcPr>
            <w:tcW w:type="dxa" w:w="4430"/>
            <w:shd w:fill="F2F7FB" w:val="clear"/>
            <w:tcMar>
              <w:top w:type="dxa" w:w="60"/>
              <w:left w:type="dxa" w:w="100"/>
              <w:bottom w:type="dxa" w:w="60"/>
              <w:right w:type="dxa" w:w="100"/>
            </w:tcMar>
          </w:tcPr>
          <w:p>
            <w:pPr>
              <w:spacing w:after="20" w:before="20"/>
            </w:pPr>
            <w:r>
              <w:rPr>
                <w:sz w:val="19"/>
                <w:szCs w:val="19"/>
              </w:rPr>
              <w:t xml:space="preserve">High-risk. Rules bind Aug 2028</w:t>
            </w:r>
          </w:p>
        </w:tc>
      </w:tr>
      <w:tr>
        <w:tc>
          <w:tcPr>
            <w:tcW w:type="dxa" w:w="500"/>
            <w:tcMar>
              <w:top w:type="dxa" w:w="60"/>
              <w:left w:type="dxa" w:w="100"/>
              <w:bottom w:type="dxa" w:w="60"/>
              <w:right w:type="dxa" w:w="100"/>
            </w:tcMar>
          </w:tcPr>
          <w:p>
            <w:pPr>
              <w:spacing w:after="20" w:before="20"/>
            </w:pPr>
            <w:r>
              <w:rPr>
                <w:sz w:val="19"/>
                <w:szCs w:val="19"/>
              </w:rPr>
              <w:t xml:space="preserve">3</w:t>
            </w:r>
          </w:p>
        </w:tc>
        <w:tc>
          <w:tcPr>
            <w:tcW w:type="dxa" w:w="4430"/>
            <w:tcMar>
              <w:top w:type="dxa" w:w="60"/>
              <w:left w:type="dxa" w:w="100"/>
              <w:bottom w:type="dxa" w:w="60"/>
              <w:right w:type="dxa" w:w="100"/>
            </w:tcMar>
          </w:tcPr>
          <w:p>
            <w:pPr>
              <w:spacing w:after="20" w:before="20"/>
            </w:pPr>
            <w:r>
              <w:rPr>
                <w:sz w:val="19"/>
                <w:szCs w:val="19"/>
              </w:rPr>
              <w:t xml:space="preserve">Is it on the high-risk list? (jobs, credit, insurance, education, essential services, policing, migration, justice)</w:t>
            </w:r>
          </w:p>
        </w:tc>
        <w:tc>
          <w:tcPr>
            <w:tcW w:type="dxa" w:w="4430"/>
            <w:tcMar>
              <w:top w:type="dxa" w:w="60"/>
              <w:left w:type="dxa" w:w="100"/>
              <w:bottom w:type="dxa" w:w="60"/>
              <w:right w:type="dxa" w:w="100"/>
            </w:tcMar>
          </w:tcPr>
          <w:p>
            <w:pPr>
              <w:spacing w:after="20" w:before="20"/>
            </w:pPr>
            <w:r>
              <w:rPr>
                <w:sz w:val="19"/>
                <w:szCs w:val="19"/>
              </w:rPr>
              <w:t xml:space="preserve">High-risk. Rules bind Dec 2027</w:t>
            </w:r>
          </w:p>
        </w:tc>
      </w:tr>
      <w:tr>
        <w:tc>
          <w:tcPr>
            <w:tcW w:type="dxa" w:w="500"/>
            <w:shd w:fill="F2F7FB" w:val="clear"/>
            <w:tcMar>
              <w:top w:type="dxa" w:w="60"/>
              <w:left w:type="dxa" w:w="100"/>
              <w:bottom w:type="dxa" w:w="60"/>
              <w:right w:type="dxa" w:w="100"/>
            </w:tcMar>
          </w:tcPr>
          <w:p>
            <w:pPr>
              <w:spacing w:after="20" w:before="20"/>
            </w:pPr>
            <w:r>
              <w:rPr>
                <w:sz w:val="19"/>
                <w:szCs w:val="19"/>
              </w:rPr>
              <w:t xml:space="preserve">4</w:t>
            </w:r>
          </w:p>
        </w:tc>
        <w:tc>
          <w:tcPr>
            <w:tcW w:type="dxa" w:w="4430"/>
            <w:shd w:fill="F2F7FB" w:val="clear"/>
            <w:tcMar>
              <w:top w:type="dxa" w:w="60"/>
              <w:left w:type="dxa" w:w="100"/>
              <w:bottom w:type="dxa" w:w="60"/>
              <w:right w:type="dxa" w:w="100"/>
            </w:tcMar>
          </w:tcPr>
          <w:p>
            <w:pPr>
              <w:spacing w:after="20" w:before="20"/>
            </w:pPr>
            <w:r>
              <w:rPr>
                <w:sz w:val="19"/>
                <w:szCs w:val="19"/>
              </w:rPr>
              <w:t xml:space="preserve">Does it talk to people, or make content, or read emotions?</w:t>
            </w:r>
          </w:p>
        </w:tc>
        <w:tc>
          <w:tcPr>
            <w:tcW w:type="dxa" w:w="4430"/>
            <w:shd w:fill="F2F7FB" w:val="clear"/>
            <w:tcMar>
              <w:top w:type="dxa" w:w="60"/>
              <w:left w:type="dxa" w:w="100"/>
              <w:bottom w:type="dxa" w:w="60"/>
              <w:right w:type="dxa" w:w="100"/>
            </w:tcMar>
          </w:tcPr>
          <w:p>
            <w:pPr>
              <w:spacing w:after="20" w:before="20"/>
            </w:pPr>
            <w:r>
              <w:rPr>
                <w:sz w:val="19"/>
                <w:szCs w:val="19"/>
              </w:rPr>
              <w:t xml:space="preserve">You must tell people. Applies </w:t>
            </w:r>
            <w:r>
              <w:rPr>
                <w:b/>
                <w:bCs/>
                <w:sz w:val="19"/>
                <w:szCs w:val="19"/>
              </w:rPr>
              <w:t xml:space="preserve">now</w:t>
            </w:r>
            <w:r>
              <w:rPr>
                <w:sz w:val="19"/>
                <w:szCs w:val="19"/>
              </w:rPr>
              <w:t xml:space="preserve">, on top of any answer above</w:t>
            </w:r>
          </w:p>
        </w:tc>
      </w:tr>
      <w:tr>
        <w:tc>
          <w:tcPr>
            <w:tcW w:type="dxa" w:w="500"/>
            <w:tcMar>
              <w:top w:type="dxa" w:w="60"/>
              <w:left w:type="dxa" w:w="100"/>
              <w:bottom w:type="dxa" w:w="60"/>
              <w:right w:type="dxa" w:w="100"/>
            </w:tcMar>
          </w:tcPr>
          <w:p>
            <w:pPr>
              <w:spacing w:after="20" w:before="20"/>
            </w:pPr>
            <w:r>
              <w:rPr>
                <w:sz w:val="19"/>
                <w:szCs w:val="19"/>
              </w:rPr>
              <w:t xml:space="preserve">5</w:t>
            </w:r>
          </w:p>
        </w:tc>
        <w:tc>
          <w:tcPr>
            <w:tcW w:type="dxa" w:w="4430"/>
            <w:tcMar>
              <w:top w:type="dxa" w:w="60"/>
              <w:left w:type="dxa" w:w="100"/>
              <w:bottom w:type="dxa" w:w="60"/>
              <w:right w:type="dxa" w:w="100"/>
            </w:tcMar>
          </w:tcPr>
          <w:p>
            <w:pPr>
              <w:spacing w:after="20" w:before="20"/>
            </w:pPr>
            <w:r>
              <w:rPr>
                <w:sz w:val="19"/>
                <w:szCs w:val="19"/>
              </w:rPr>
              <w:t xml:space="preserve">Anything left?</w:t>
            </w:r>
          </w:p>
        </w:tc>
        <w:tc>
          <w:tcPr>
            <w:tcW w:type="dxa" w:w="4430"/>
            <w:tcMar>
              <w:top w:type="dxa" w:w="60"/>
              <w:left w:type="dxa" w:w="100"/>
              <w:bottom w:type="dxa" w:w="60"/>
              <w:right w:type="dxa" w:w="100"/>
            </w:tcMar>
          </w:tcPr>
          <w:p>
            <w:pPr>
              <w:spacing w:after="20" w:before="20"/>
            </w:pPr>
            <w:r>
              <w:rPr>
                <w:sz w:val="19"/>
                <w:szCs w:val="19"/>
              </w:rPr>
              <w:t xml:space="preserve">Yes - your staff must be competent to use it. Applies since Feb 2025</w:t>
            </w:r>
          </w:p>
        </w:tc>
      </w:tr>
    </w:tbl>
    <w:p>
      <w:pPr>
        <w:spacing w:after="80"/>
      </w:pPr>
    </w:p>
    <w:p>
      <w:pPr>
        <w:spacing w:after="140"/>
        <w:jc w:val="both"/>
      </w:pPr>
      <w:r>
        <w:t xml:space="preserve">Three rules that decide most hard cases:</w:t>
      </w:r>
    </w:p>
    <w:p>
      <w:pPr>
        <w:pStyle w:val="ListParagraph"/>
        <w:numPr>
          <w:ilvl w:val="0"/>
          <w:numId w:val="2"/>
        </w:numPr>
        <w:spacing w:after="80"/>
      </w:pPr>
      <w:r>
        <w:rPr>
          <w:b/>
          <w:bCs/>
        </w:rPr>
        <w:t xml:space="preserve">It is the use that counts, not the software.</w:t>
      </w:r>
      <w:r>
        <w:t xml:space="preserve"> The same model can be banned in one deployment and unremarkable in another. Classify the deployment.</w:t>
      </w:r>
    </w:p>
    <w:p>
      <w:pPr>
        <w:pStyle w:val="ListParagraph"/>
        <w:numPr>
          <w:ilvl w:val="0"/>
          <w:numId w:val="2"/>
        </w:numPr>
        <w:spacing w:after="80"/>
      </w:pPr>
      <w:r>
        <w:rPr>
          <w:b/>
          <w:bCs/>
        </w:rPr>
        <w:t xml:space="preserve">Question 4 stacks.</w:t>
      </w:r>
      <w:r>
        <w:t xml:space="preserve"> It is not a tier. A high-risk system can owe disclosure too, and that duty is live today while the high-risk rules are not.</w:t>
      </w:r>
    </w:p>
    <w:p>
      <w:pPr>
        <w:pStyle w:val="ListParagraph"/>
        <w:numPr>
          <w:ilvl w:val="0"/>
          <w:numId w:val="2"/>
        </w:numPr>
        <w:spacing w:after="80"/>
      </w:pPr>
      <w:r>
        <w:rPr>
          <w:b/>
          <w:bCs/>
        </w:rPr>
        <w:t xml:space="preserve">Being on the list is close to final.</w:t>
      </w:r>
      <w:r>
        <w:t xml:space="preserve"> There is a narrow way out for systems that do not really influence the outcome, but it disappears the moment the system profiles people - and claiming it requires written documentation and registration before deployment.</w:t>
      </w:r>
    </w:p>
    <w:p>
      <w:pPr>
        <w:spacing w:after="140"/>
        <w:jc w:val="both"/>
      </w:pPr>
      <w:r>
        <w:t xml:space="preserve">Write the outcome, the date, and an owner against every system. That record is the deliverable. The rest of this document shows two organisations doing exactly that.</w:t>
      </w:r>
    </w:p>
    <w:p>
      <w:pPr>
        <w:pBdr>
          <w:bottom w:val="single" w:color="BFDBF0" w:sz="6"/>
        </w:pBdr>
        <w:spacing w:after="120" w:before="120"/>
      </w:pPr>
    </w:p>
    <w:p>
      <w:pPr>
        <w:spacing w:after="140" w:before="320"/>
      </w:pPr>
      <w:r>
        <w:rPr>
          <w:b/>
          <w:bCs/>
          <w:color w:val="1F4E79"/>
          <w:sz w:val="30"/>
          <w:szCs w:val="30"/>
        </w:rPr>
        <w:t xml:space="preserve">Example 1 - a retail bank</w:t>
      </w:r>
    </w:p>
    <w:p>
      <w:pPr>
        <w:spacing w:after="140"/>
        <w:jc w:val="both"/>
      </w:pPr>
      <w:r>
        <w:t xml:space="preserve">[BANK] is EU-established, uses AI bought from vendors, and builds nothing itself. That makes it a </w:t>
      </w:r>
      <w:r>
        <w:rPr>
          <w:b/>
          <w:bCs/>
        </w:rPr>
        <w:t xml:space="preserve">deployer</w:t>
      </w:r>
      <w:r>
        <w:t xml:space="preserve"> in every row below. The register it produced:</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500"/>
        <w:gridCol w:w="2215"/>
        <w:gridCol w:w="2215"/>
        <w:gridCol w:w="2215"/>
        <w:gridCol w:w="2215"/>
      </w:tblGrid>
      <w:tr>
        <w:trPr>
          <w:tblHeader/>
        </w:trPr>
        <w:tc>
          <w:tcPr>
            <w:tcW w:type="dxa" w:w="500"/>
            <w:shd w:fill="1F4E79" w:val="clear"/>
            <w:tcMar>
              <w:top w:type="dxa" w:w="60"/>
              <w:left w:type="dxa" w:w="100"/>
              <w:bottom w:type="dxa" w:w="60"/>
              <w:right w:type="dxa" w:w="100"/>
            </w:tcMar>
          </w:tcPr>
          <w:p>
            <w:pPr>
              <w:spacing w:after="20" w:before="20"/>
            </w:pPr>
            <w:r>
              <w:rPr>
                <w:b/>
                <w:bCs/>
                <w:color w:val="FFFFFF"/>
                <w:sz w:val="19"/>
                <w:szCs w:val="19"/>
              </w:rPr>
              <w:t xml:space="preserve">#</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System</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Outcome</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Binds from</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Do now</w:t>
            </w:r>
          </w:p>
        </w:tc>
      </w:tr>
      <w:tr>
        <w:tc>
          <w:tcPr>
            <w:tcW w:type="dxa" w:w="500"/>
            <w:tcMar>
              <w:top w:type="dxa" w:w="60"/>
              <w:left w:type="dxa" w:w="100"/>
              <w:bottom w:type="dxa" w:w="60"/>
              <w:right w:type="dxa" w:w="100"/>
            </w:tcMar>
          </w:tcPr>
          <w:p>
            <w:pPr>
              <w:spacing w:after="20" w:before="20"/>
            </w:pPr>
            <w:r>
              <w:rPr>
                <w:sz w:val="19"/>
                <w:szCs w:val="19"/>
              </w:rPr>
              <w:t xml:space="preserve">1</w:t>
            </w:r>
          </w:p>
        </w:tc>
        <w:tc>
          <w:tcPr>
            <w:tcW w:type="dxa" w:w="2215"/>
            <w:tcMar>
              <w:top w:type="dxa" w:w="60"/>
              <w:left w:type="dxa" w:w="100"/>
              <w:bottom w:type="dxa" w:w="60"/>
              <w:right w:type="dxa" w:w="100"/>
            </w:tcMar>
          </w:tcPr>
          <w:p>
            <w:pPr>
              <w:spacing w:after="20" w:before="20"/>
            </w:pPr>
            <w:r>
              <w:rPr>
                <w:sz w:val="19"/>
                <w:szCs w:val="19"/>
              </w:rPr>
              <w:t xml:space="preserve">Website chatbot answering product questions</w:t>
            </w:r>
          </w:p>
        </w:tc>
        <w:tc>
          <w:tcPr>
            <w:tcW w:type="dxa" w:w="2215"/>
            <w:tcMar>
              <w:top w:type="dxa" w:w="60"/>
              <w:left w:type="dxa" w:w="100"/>
              <w:bottom w:type="dxa" w:w="60"/>
              <w:right w:type="dxa" w:w="100"/>
            </w:tcMar>
          </w:tcPr>
          <w:p>
            <w:pPr>
              <w:spacing w:after="20" w:before="20"/>
            </w:pPr>
            <w:r>
              <w:rPr>
                <w:sz w:val="19"/>
                <w:szCs w:val="19"/>
              </w:rPr>
              <w:t xml:space="preserve">No tier duties, but </w:t>
            </w:r>
            <w:r>
              <w:rPr>
                <w:b/>
                <w:bCs/>
                <w:sz w:val="19"/>
                <w:szCs w:val="19"/>
              </w:rPr>
              <w:t xml:space="preserve">must disclose</w:t>
            </w:r>
          </w:p>
        </w:tc>
        <w:tc>
          <w:tcPr>
            <w:tcW w:type="dxa" w:w="2215"/>
            <w:tcMar>
              <w:top w:type="dxa" w:w="60"/>
              <w:left w:type="dxa" w:w="100"/>
              <w:bottom w:type="dxa" w:w="60"/>
              <w:right w:type="dxa" w:w="100"/>
            </w:tcMar>
          </w:tcPr>
          <w:p>
            <w:pPr>
              <w:spacing w:after="20" w:before="20"/>
            </w:pPr>
            <w:r>
              <w:rPr>
                <w:sz w:val="19"/>
                <w:szCs w:val="19"/>
              </w:rPr>
              <w:t xml:space="preserve">Disclosure live now</w:t>
            </w:r>
          </w:p>
        </w:tc>
        <w:tc>
          <w:tcPr>
            <w:tcW w:type="dxa" w:w="2215"/>
            <w:tcMar>
              <w:top w:type="dxa" w:w="60"/>
              <w:left w:type="dxa" w:w="100"/>
              <w:bottom w:type="dxa" w:w="60"/>
              <w:right w:type="dxa" w:w="100"/>
            </w:tcMar>
          </w:tcPr>
          <w:p>
            <w:pPr>
              <w:spacing w:after="20" w:before="20"/>
            </w:pPr>
            <w:r>
              <w:rPr>
                <w:sz w:val="19"/>
                <w:szCs w:val="19"/>
              </w:rPr>
              <w:t xml:space="preserve">Make the chat window say it is an AI assistant at the first message</w:t>
            </w:r>
          </w:p>
        </w:tc>
      </w:tr>
      <w:tr>
        <w:tc>
          <w:tcPr>
            <w:tcW w:type="dxa" w:w="500"/>
            <w:shd w:fill="F2F7FB" w:val="clear"/>
            <w:tcMar>
              <w:top w:type="dxa" w:w="60"/>
              <w:left w:type="dxa" w:w="100"/>
              <w:bottom w:type="dxa" w:w="60"/>
              <w:right w:type="dxa" w:w="100"/>
            </w:tcMar>
          </w:tcPr>
          <w:p>
            <w:pPr>
              <w:spacing w:after="20" w:before="20"/>
            </w:pPr>
            <w:r>
              <w:rPr>
                <w:sz w:val="19"/>
                <w:szCs w:val="19"/>
              </w:rPr>
              <w:t xml:space="preserve">2</w:t>
            </w:r>
          </w:p>
        </w:tc>
        <w:tc>
          <w:tcPr>
            <w:tcW w:type="dxa" w:w="2215"/>
            <w:shd w:fill="F2F7FB" w:val="clear"/>
            <w:tcMar>
              <w:top w:type="dxa" w:w="60"/>
              <w:left w:type="dxa" w:w="100"/>
              <w:bottom w:type="dxa" w:w="60"/>
              <w:right w:type="dxa" w:w="100"/>
            </w:tcMar>
          </w:tcPr>
          <w:p>
            <w:pPr>
              <w:spacing w:after="20" w:before="20"/>
            </w:pPr>
            <w:r>
              <w:rPr>
                <w:sz w:val="19"/>
                <w:szCs w:val="19"/>
              </w:rPr>
              <w:t xml:space="preserve">Credit scoring for personal loans</w:t>
            </w:r>
          </w:p>
        </w:tc>
        <w:tc>
          <w:tcPr>
            <w:tcW w:type="dxa" w:w="2215"/>
            <w:shd w:fill="F2F7FB" w:val="clear"/>
            <w:tcMar>
              <w:top w:type="dxa" w:w="60"/>
              <w:left w:type="dxa" w:w="100"/>
              <w:bottom w:type="dxa" w:w="60"/>
              <w:right w:type="dxa" w:w="100"/>
            </w:tcMar>
          </w:tcPr>
          <w:p>
            <w:pPr>
              <w:spacing w:after="20" w:before="20"/>
            </w:pPr>
            <w:r>
              <w:rPr>
                <w:b/>
                <w:bCs/>
                <w:sz w:val="19"/>
                <w:szCs w:val="19"/>
              </w:rPr>
              <w:t xml:space="preserve">High-risk</w:t>
            </w:r>
            <w:r>
              <w:rPr>
                <w:sz w:val="19"/>
                <w:szCs w:val="19"/>
              </w:rPr>
              <w:t xml:space="preserve"> (essential services - creditworthiness)</w:t>
            </w:r>
          </w:p>
        </w:tc>
        <w:tc>
          <w:tcPr>
            <w:tcW w:type="dxa" w:w="2215"/>
            <w:shd w:fill="F2F7FB" w:val="clear"/>
            <w:tcMar>
              <w:top w:type="dxa" w:w="60"/>
              <w:left w:type="dxa" w:w="100"/>
              <w:bottom w:type="dxa" w:w="60"/>
              <w:right w:type="dxa" w:w="100"/>
            </w:tcMar>
          </w:tcPr>
          <w:p>
            <w:pPr>
              <w:spacing w:after="20" w:before="20"/>
            </w:pPr>
            <w:r>
              <w:rPr>
                <w:sz w:val="19"/>
                <w:szCs w:val="19"/>
              </w:rPr>
              <w:t xml:space="preserve">2 Dec 2027</w:t>
            </w:r>
          </w:p>
        </w:tc>
        <w:tc>
          <w:tcPr>
            <w:tcW w:type="dxa" w:w="2215"/>
            <w:shd w:fill="F2F7FB" w:val="clear"/>
            <w:tcMar>
              <w:top w:type="dxa" w:w="60"/>
              <w:left w:type="dxa" w:w="100"/>
              <w:bottom w:type="dxa" w:w="60"/>
              <w:right w:type="dxa" w:w="100"/>
            </w:tcMar>
          </w:tcPr>
          <w:p>
            <w:pPr>
              <w:spacing w:after="20" w:before="20"/>
            </w:pPr>
            <w:r>
              <w:rPr>
                <w:sz w:val="19"/>
                <w:szCs w:val="19"/>
              </w:rPr>
              <w:t xml:space="preserve">Name an owner; put vendor readiness into the contract</w:t>
            </w:r>
          </w:p>
        </w:tc>
      </w:tr>
      <w:tr>
        <w:tc>
          <w:tcPr>
            <w:tcW w:type="dxa" w:w="500"/>
            <w:tcMar>
              <w:top w:type="dxa" w:w="60"/>
              <w:left w:type="dxa" w:w="100"/>
              <w:bottom w:type="dxa" w:w="60"/>
              <w:right w:type="dxa" w:w="100"/>
            </w:tcMar>
          </w:tcPr>
          <w:p>
            <w:pPr>
              <w:spacing w:after="20" w:before="20"/>
            </w:pPr>
            <w:r>
              <w:rPr>
                <w:sz w:val="19"/>
                <w:szCs w:val="19"/>
              </w:rPr>
              <w:t xml:space="preserve">3</w:t>
            </w:r>
          </w:p>
        </w:tc>
        <w:tc>
          <w:tcPr>
            <w:tcW w:type="dxa" w:w="2215"/>
            <w:tcMar>
              <w:top w:type="dxa" w:w="60"/>
              <w:left w:type="dxa" w:w="100"/>
              <w:bottom w:type="dxa" w:w="60"/>
              <w:right w:type="dxa" w:w="100"/>
            </w:tcMar>
          </w:tcPr>
          <w:p>
            <w:pPr>
              <w:spacing w:after="20" w:before="20"/>
            </w:pPr>
            <w:r>
              <w:rPr>
                <w:sz w:val="19"/>
                <w:szCs w:val="19"/>
              </w:rPr>
              <w:t xml:space="preserve">Card fraud detection</w:t>
            </w:r>
          </w:p>
        </w:tc>
        <w:tc>
          <w:tcPr>
            <w:tcW w:type="dxa" w:w="2215"/>
            <w:tcMar>
              <w:top w:type="dxa" w:w="60"/>
              <w:left w:type="dxa" w:w="100"/>
              <w:bottom w:type="dxa" w:w="60"/>
              <w:right w:type="dxa" w:w="100"/>
            </w:tcMar>
          </w:tcPr>
          <w:p>
            <w:pPr>
              <w:spacing w:after="20" w:before="20"/>
            </w:pPr>
            <w:r>
              <w:rPr>
                <w:b/>
                <w:bCs/>
                <w:sz w:val="19"/>
                <w:szCs w:val="19"/>
              </w:rPr>
              <w:t xml:space="preserve">No tier duties</w:t>
            </w:r>
            <w:r>
              <w:rPr>
                <w:sz w:val="19"/>
                <w:szCs w:val="19"/>
              </w:rPr>
              <w:t xml:space="preserve"> - express exception</w:t>
            </w:r>
          </w:p>
        </w:tc>
        <w:tc>
          <w:tcPr>
            <w:tcW w:type="dxa" w:w="2215"/>
            <w:tcMar>
              <w:top w:type="dxa" w:w="60"/>
              <w:left w:type="dxa" w:w="100"/>
              <w:bottom w:type="dxa" w:w="60"/>
              <w:right w:type="dxa" w:w="100"/>
            </w:tcMar>
          </w:tcPr>
          <w:p>
            <w:pPr>
              <w:spacing w:after="20" w:before="20"/>
            </w:pPr>
            <w:r>
              <w:rPr>
                <w:sz w:val="19"/>
                <w:szCs w:val="19"/>
              </w:rPr>
              <w:t xml:space="preserve">n/a</w:t>
            </w:r>
          </w:p>
        </w:tc>
        <w:tc>
          <w:tcPr>
            <w:tcW w:type="dxa" w:w="2215"/>
            <w:tcMar>
              <w:top w:type="dxa" w:w="60"/>
              <w:left w:type="dxa" w:w="100"/>
              <w:bottom w:type="dxa" w:w="60"/>
              <w:right w:type="dxa" w:w="100"/>
            </w:tcMar>
          </w:tcPr>
          <w:p>
            <w:pPr>
              <w:spacing w:after="20" w:before="20"/>
            </w:pPr>
            <w:r>
              <w:rPr>
                <w:sz w:val="19"/>
                <w:szCs w:val="19"/>
              </w:rPr>
              <w:t xml:space="preserve">Keep the exception reasoning on file; it is a real carve-out, not an assumption</w:t>
            </w:r>
          </w:p>
        </w:tc>
      </w:tr>
      <w:tr>
        <w:tc>
          <w:tcPr>
            <w:tcW w:type="dxa" w:w="500"/>
            <w:shd w:fill="F2F7FB" w:val="clear"/>
            <w:tcMar>
              <w:top w:type="dxa" w:w="60"/>
              <w:left w:type="dxa" w:w="100"/>
              <w:bottom w:type="dxa" w:w="60"/>
              <w:right w:type="dxa" w:w="100"/>
            </w:tcMar>
          </w:tcPr>
          <w:p>
            <w:pPr>
              <w:spacing w:after="20" w:before="20"/>
            </w:pPr>
            <w:r>
              <w:rPr>
                <w:sz w:val="19"/>
                <w:szCs w:val="19"/>
              </w:rPr>
              <w:t xml:space="preserve">4</w:t>
            </w:r>
          </w:p>
        </w:tc>
        <w:tc>
          <w:tcPr>
            <w:tcW w:type="dxa" w:w="2215"/>
            <w:shd w:fill="F2F7FB" w:val="clear"/>
            <w:tcMar>
              <w:top w:type="dxa" w:w="60"/>
              <w:left w:type="dxa" w:w="100"/>
              <w:bottom w:type="dxa" w:w="60"/>
              <w:right w:type="dxa" w:w="100"/>
            </w:tcMar>
          </w:tcPr>
          <w:p>
            <w:pPr>
              <w:spacing w:after="20" w:before="20"/>
            </w:pPr>
            <w:r>
              <w:rPr>
                <w:sz w:val="19"/>
                <w:szCs w:val="19"/>
              </w:rPr>
              <w:t xml:space="preserve">AML transaction monitoring</w:t>
            </w:r>
          </w:p>
        </w:tc>
        <w:tc>
          <w:tcPr>
            <w:tcW w:type="dxa" w:w="2215"/>
            <w:shd w:fill="F2F7FB" w:val="clear"/>
            <w:tcMar>
              <w:top w:type="dxa" w:w="60"/>
              <w:left w:type="dxa" w:w="100"/>
              <w:bottom w:type="dxa" w:w="60"/>
              <w:right w:type="dxa" w:w="100"/>
            </w:tcMar>
          </w:tcPr>
          <w:p>
            <w:pPr>
              <w:spacing w:after="20" w:before="20"/>
            </w:pPr>
            <w:r>
              <w:rPr>
                <w:b/>
                <w:bCs/>
                <w:sz w:val="19"/>
                <w:szCs w:val="19"/>
              </w:rPr>
              <w:t xml:space="preserve">No tier duties</w:t>
            </w:r>
            <w:r>
              <w:rPr>
                <w:sz w:val="19"/>
                <w:szCs w:val="19"/>
              </w:rPr>
              <w:t xml:space="preserve"> - not on the list</w:t>
            </w:r>
          </w:p>
        </w:tc>
        <w:tc>
          <w:tcPr>
            <w:tcW w:type="dxa" w:w="2215"/>
            <w:shd w:fill="F2F7FB" w:val="clear"/>
            <w:tcMar>
              <w:top w:type="dxa" w:w="60"/>
              <w:left w:type="dxa" w:w="100"/>
              <w:bottom w:type="dxa" w:w="60"/>
              <w:right w:type="dxa" w:w="100"/>
            </w:tcMar>
          </w:tcPr>
          <w:p>
            <w:pPr>
              <w:spacing w:after="20" w:before="20"/>
            </w:pPr>
            <w:r>
              <w:rPr>
                <w:sz w:val="19"/>
                <w:szCs w:val="19"/>
              </w:rPr>
              <w:t xml:space="preserve">n/a</w:t>
            </w:r>
          </w:p>
        </w:tc>
        <w:tc>
          <w:tcPr>
            <w:tcW w:type="dxa" w:w="2215"/>
            <w:shd w:fill="F2F7FB" w:val="clear"/>
            <w:tcMar>
              <w:top w:type="dxa" w:w="60"/>
              <w:left w:type="dxa" w:w="100"/>
              <w:bottom w:type="dxa" w:w="60"/>
              <w:right w:type="dxa" w:w="100"/>
            </w:tcMar>
          </w:tcPr>
          <w:p>
            <w:pPr>
              <w:spacing w:after="20" w:before="20"/>
            </w:pPr>
            <w:r>
              <w:rPr>
                <w:sz w:val="19"/>
                <w:szCs w:val="19"/>
              </w:rPr>
              <w:t xml:space="preserve">Nothing under this Act; other financial-crime law is unaffected</w:t>
            </w:r>
          </w:p>
        </w:tc>
      </w:tr>
      <w:tr>
        <w:tc>
          <w:tcPr>
            <w:tcW w:type="dxa" w:w="500"/>
            <w:tcMar>
              <w:top w:type="dxa" w:w="60"/>
              <w:left w:type="dxa" w:w="100"/>
              <w:bottom w:type="dxa" w:w="60"/>
              <w:right w:type="dxa" w:w="100"/>
            </w:tcMar>
          </w:tcPr>
          <w:p>
            <w:pPr>
              <w:spacing w:after="20" w:before="20"/>
            </w:pPr>
            <w:r>
              <w:rPr>
                <w:sz w:val="19"/>
                <w:szCs w:val="19"/>
              </w:rPr>
              <w:t xml:space="preserve">5</w:t>
            </w:r>
          </w:p>
        </w:tc>
        <w:tc>
          <w:tcPr>
            <w:tcW w:type="dxa" w:w="2215"/>
            <w:tcMar>
              <w:top w:type="dxa" w:w="60"/>
              <w:left w:type="dxa" w:w="100"/>
              <w:bottom w:type="dxa" w:w="60"/>
              <w:right w:type="dxa" w:w="100"/>
            </w:tcMar>
          </w:tcPr>
          <w:p>
            <w:pPr>
              <w:spacing w:after="20" w:before="20"/>
            </w:pPr>
            <w:r>
              <w:rPr>
                <w:sz w:val="19"/>
                <w:szCs w:val="19"/>
              </w:rPr>
              <w:t xml:space="preserve">CV screening for branch hiring</w:t>
            </w:r>
          </w:p>
        </w:tc>
        <w:tc>
          <w:tcPr>
            <w:tcW w:type="dxa" w:w="2215"/>
            <w:tcMar>
              <w:top w:type="dxa" w:w="60"/>
              <w:left w:type="dxa" w:w="100"/>
              <w:bottom w:type="dxa" w:w="60"/>
              <w:right w:type="dxa" w:w="100"/>
            </w:tcMar>
          </w:tcPr>
          <w:p>
            <w:pPr>
              <w:spacing w:after="20" w:before="20"/>
            </w:pPr>
            <w:r>
              <w:rPr>
                <w:b/>
                <w:bCs/>
                <w:sz w:val="19"/>
                <w:szCs w:val="19"/>
              </w:rPr>
              <w:t xml:space="preserve">High-risk</w:t>
            </w:r>
            <w:r>
              <w:rPr>
                <w:sz w:val="19"/>
                <w:szCs w:val="19"/>
              </w:rPr>
              <w:t xml:space="preserve"> (employment - filtering applications)</w:t>
            </w:r>
          </w:p>
        </w:tc>
        <w:tc>
          <w:tcPr>
            <w:tcW w:type="dxa" w:w="2215"/>
            <w:tcMar>
              <w:top w:type="dxa" w:w="60"/>
              <w:left w:type="dxa" w:w="100"/>
              <w:bottom w:type="dxa" w:w="60"/>
              <w:right w:type="dxa" w:w="100"/>
            </w:tcMar>
          </w:tcPr>
          <w:p>
            <w:pPr>
              <w:spacing w:after="20" w:before="20"/>
            </w:pPr>
            <w:r>
              <w:rPr>
                <w:sz w:val="19"/>
                <w:szCs w:val="19"/>
              </w:rPr>
              <w:t xml:space="preserve">2 Dec 2027</w:t>
            </w:r>
          </w:p>
        </w:tc>
        <w:tc>
          <w:tcPr>
            <w:tcW w:type="dxa" w:w="2215"/>
            <w:tcMar>
              <w:top w:type="dxa" w:w="60"/>
              <w:left w:type="dxa" w:w="100"/>
              <w:bottom w:type="dxa" w:w="60"/>
              <w:right w:type="dxa" w:w="100"/>
            </w:tcMar>
          </w:tcPr>
          <w:p>
            <w:pPr>
              <w:spacing w:after="20" w:before="20"/>
            </w:pPr>
            <w:r>
              <w:rPr>
                <w:sz w:val="19"/>
                <w:szCs w:val="19"/>
              </w:rPr>
              <w:t xml:space="preserve">Same as row 2; also brief recruiters (question 5)</w:t>
            </w:r>
          </w:p>
        </w:tc>
      </w:tr>
      <w:tr>
        <w:tc>
          <w:tcPr>
            <w:tcW w:type="dxa" w:w="500"/>
            <w:shd w:fill="F2F7FB" w:val="clear"/>
            <w:tcMar>
              <w:top w:type="dxa" w:w="60"/>
              <w:left w:type="dxa" w:w="100"/>
              <w:bottom w:type="dxa" w:w="60"/>
              <w:right w:type="dxa" w:w="100"/>
            </w:tcMar>
          </w:tcPr>
          <w:p>
            <w:pPr>
              <w:spacing w:after="20" w:before="20"/>
            </w:pPr>
            <w:r>
              <w:rPr>
                <w:sz w:val="19"/>
                <w:szCs w:val="19"/>
              </w:rPr>
              <w:t xml:space="preserve">6</w:t>
            </w:r>
          </w:p>
        </w:tc>
        <w:tc>
          <w:tcPr>
            <w:tcW w:type="dxa" w:w="2215"/>
            <w:shd w:fill="F2F7FB" w:val="clear"/>
            <w:tcMar>
              <w:top w:type="dxa" w:w="60"/>
              <w:left w:type="dxa" w:w="100"/>
              <w:bottom w:type="dxa" w:w="60"/>
              <w:right w:type="dxa" w:w="100"/>
            </w:tcMar>
          </w:tcPr>
          <w:p>
            <w:pPr>
              <w:spacing w:after="20" w:before="20"/>
            </w:pPr>
            <w:r>
              <w:rPr>
                <w:sz w:val="19"/>
                <w:szCs w:val="19"/>
              </w:rPr>
              <w:t xml:space="preserve">Marketing image generator</w:t>
            </w:r>
          </w:p>
        </w:tc>
        <w:tc>
          <w:tcPr>
            <w:tcW w:type="dxa" w:w="2215"/>
            <w:shd w:fill="F2F7FB" w:val="clear"/>
            <w:tcMar>
              <w:top w:type="dxa" w:w="60"/>
              <w:left w:type="dxa" w:w="100"/>
              <w:bottom w:type="dxa" w:w="60"/>
              <w:right w:type="dxa" w:w="100"/>
            </w:tcMar>
          </w:tcPr>
          <w:p>
            <w:pPr>
              <w:spacing w:after="20" w:before="20"/>
            </w:pPr>
            <w:r>
              <w:rPr>
                <w:sz w:val="19"/>
                <w:szCs w:val="19"/>
              </w:rPr>
              <w:t xml:space="preserve">No tier duties, </w:t>
            </w:r>
            <w:r>
              <w:rPr>
                <w:b/>
                <w:bCs/>
                <w:sz w:val="19"/>
                <w:szCs w:val="19"/>
              </w:rPr>
              <w:t xml:space="preserve">marking duty on the vendor</w:t>
            </w:r>
          </w:p>
        </w:tc>
        <w:tc>
          <w:tcPr>
            <w:tcW w:type="dxa" w:w="2215"/>
            <w:shd w:fill="F2F7FB" w:val="clear"/>
            <w:tcMar>
              <w:top w:type="dxa" w:w="60"/>
              <w:left w:type="dxa" w:w="100"/>
              <w:bottom w:type="dxa" w:w="60"/>
              <w:right w:type="dxa" w:w="100"/>
            </w:tcMar>
          </w:tcPr>
          <w:p>
            <w:pPr>
              <w:spacing w:after="20" w:before="20"/>
            </w:pPr>
            <w:r>
              <w:rPr>
                <w:sz w:val="19"/>
                <w:szCs w:val="19"/>
              </w:rPr>
              <w:t xml:space="preserve">Live now</w:t>
            </w:r>
          </w:p>
        </w:tc>
        <w:tc>
          <w:tcPr>
            <w:tcW w:type="dxa" w:w="2215"/>
            <w:shd w:fill="F2F7FB" w:val="clear"/>
            <w:tcMar>
              <w:top w:type="dxa" w:w="60"/>
              <w:left w:type="dxa" w:w="100"/>
              <w:bottom w:type="dxa" w:w="60"/>
              <w:right w:type="dxa" w:w="100"/>
            </w:tcMar>
          </w:tcPr>
          <w:p>
            <w:pPr>
              <w:spacing w:after="20" w:before="20"/>
            </w:pPr>
            <w:r>
              <w:rPr>
                <w:sz w:val="19"/>
                <w:szCs w:val="19"/>
              </w:rPr>
              <w:t xml:space="preserve">Ask the vendor how outputs are marked; disclose if a real person is depicted</w:t>
            </w:r>
          </w:p>
        </w:tc>
      </w:tr>
      <w:tr>
        <w:tc>
          <w:tcPr>
            <w:tcW w:type="dxa" w:w="500"/>
            <w:tcMar>
              <w:top w:type="dxa" w:w="60"/>
              <w:left w:type="dxa" w:w="100"/>
              <w:bottom w:type="dxa" w:w="60"/>
              <w:right w:type="dxa" w:w="100"/>
            </w:tcMar>
          </w:tcPr>
          <w:p>
            <w:pPr>
              <w:spacing w:after="20" w:before="20"/>
            </w:pPr>
            <w:r>
              <w:rPr>
                <w:sz w:val="19"/>
                <w:szCs w:val="19"/>
              </w:rPr>
              <w:t xml:space="preserve">7</w:t>
            </w:r>
          </w:p>
        </w:tc>
        <w:tc>
          <w:tcPr>
            <w:tcW w:type="dxa" w:w="2215"/>
            <w:tcMar>
              <w:top w:type="dxa" w:w="60"/>
              <w:left w:type="dxa" w:w="100"/>
              <w:bottom w:type="dxa" w:w="60"/>
              <w:right w:type="dxa" w:w="100"/>
            </w:tcMar>
          </w:tcPr>
          <w:p>
            <w:pPr>
              <w:spacing w:after="20" w:before="20"/>
            </w:pPr>
            <w:r>
              <w:rPr>
                <w:sz w:val="19"/>
                <w:szCs w:val="19"/>
              </w:rPr>
              <w:t xml:space="preserve">Call-centre tool scoring staff stress and engagement</w:t>
            </w:r>
          </w:p>
        </w:tc>
        <w:tc>
          <w:tcPr>
            <w:tcW w:type="dxa" w:w="2215"/>
            <w:tcMar>
              <w:top w:type="dxa" w:w="60"/>
              <w:left w:type="dxa" w:w="100"/>
              <w:bottom w:type="dxa" w:w="60"/>
              <w:right w:type="dxa" w:w="100"/>
            </w:tcMar>
          </w:tcPr>
          <w:p>
            <w:pPr>
              <w:spacing w:after="20" w:before="20"/>
            </w:pPr>
            <w:r>
              <w:rPr>
                <w:b/>
                <w:bCs/>
                <w:sz w:val="19"/>
                <w:szCs w:val="19"/>
              </w:rPr>
              <w:t xml:space="preserve">BANNED</w:t>
            </w:r>
          </w:p>
        </w:tc>
        <w:tc>
          <w:tcPr>
            <w:tcW w:type="dxa" w:w="2215"/>
            <w:tcMar>
              <w:top w:type="dxa" w:w="60"/>
              <w:left w:type="dxa" w:w="100"/>
              <w:bottom w:type="dxa" w:w="60"/>
              <w:right w:type="dxa" w:w="100"/>
            </w:tcMar>
          </w:tcPr>
          <w:p>
            <w:pPr>
              <w:spacing w:after="20" w:before="20"/>
            </w:pPr>
            <w:r>
              <w:rPr>
                <w:sz w:val="19"/>
                <w:szCs w:val="19"/>
              </w:rPr>
              <w:t xml:space="preserve">Illegal since Feb 2025</w:t>
            </w:r>
          </w:p>
        </w:tc>
        <w:tc>
          <w:tcPr>
            <w:tcW w:type="dxa" w:w="2215"/>
            <w:tcMar>
              <w:top w:type="dxa" w:w="60"/>
              <w:left w:type="dxa" w:w="100"/>
              <w:bottom w:type="dxa" w:w="60"/>
              <w:right w:type="dxa" w:w="100"/>
            </w:tcMar>
          </w:tcPr>
          <w:p>
            <w:pPr>
              <w:spacing w:after="20" w:before="20"/>
            </w:pPr>
            <w:r>
              <w:rPr>
                <w:sz w:val="19"/>
                <w:szCs w:val="19"/>
              </w:rPr>
              <w:t xml:space="preserve">Turn it off. Record the decision</w:t>
            </w:r>
          </w:p>
        </w:tc>
      </w:tr>
      <w:tr>
        <w:tc>
          <w:tcPr>
            <w:tcW w:type="dxa" w:w="500"/>
            <w:shd w:fill="F2F7FB" w:val="clear"/>
            <w:tcMar>
              <w:top w:type="dxa" w:w="60"/>
              <w:left w:type="dxa" w:w="100"/>
              <w:bottom w:type="dxa" w:w="60"/>
              <w:right w:type="dxa" w:w="100"/>
            </w:tcMar>
          </w:tcPr>
          <w:p>
            <w:pPr>
              <w:spacing w:after="20" w:before="20"/>
            </w:pPr>
            <w:r>
              <w:rPr>
                <w:sz w:val="19"/>
                <w:szCs w:val="19"/>
              </w:rPr>
              <w:t xml:space="preserve">8</w:t>
            </w:r>
          </w:p>
        </w:tc>
        <w:tc>
          <w:tcPr>
            <w:tcW w:type="dxa" w:w="2215"/>
            <w:shd w:fill="F2F7FB" w:val="clear"/>
            <w:tcMar>
              <w:top w:type="dxa" w:w="60"/>
              <w:left w:type="dxa" w:w="100"/>
              <w:bottom w:type="dxa" w:w="60"/>
              <w:right w:type="dxa" w:w="100"/>
            </w:tcMar>
          </w:tcPr>
          <w:p>
            <w:pPr>
              <w:spacing w:after="20" w:before="20"/>
            </w:pPr>
            <w:r>
              <w:rPr>
                <w:sz w:val="19"/>
                <w:szCs w:val="19"/>
              </w:rPr>
              <w:t xml:space="preserve">Voice-stress "truthfulness" scoring on loan calls</w:t>
            </w:r>
          </w:p>
        </w:tc>
        <w:tc>
          <w:tcPr>
            <w:tcW w:type="dxa" w:w="2215"/>
            <w:shd w:fill="F2F7FB" w:val="clear"/>
            <w:tcMar>
              <w:top w:type="dxa" w:w="60"/>
              <w:left w:type="dxa" w:w="100"/>
              <w:bottom w:type="dxa" w:w="60"/>
              <w:right w:type="dxa" w:w="100"/>
            </w:tcMar>
          </w:tcPr>
          <w:p>
            <w:pPr>
              <w:spacing w:after="20" w:before="20"/>
            </w:pPr>
            <w:r>
              <w:rPr>
                <w:sz w:val="19"/>
                <w:szCs w:val="19"/>
              </w:rPr>
              <w:t xml:space="preserve">Declined at procurement</w:t>
            </w:r>
          </w:p>
        </w:tc>
        <w:tc>
          <w:tcPr>
            <w:tcW w:type="dxa" w:w="2215"/>
            <w:shd w:fill="F2F7FB" w:val="clear"/>
            <w:tcMar>
              <w:top w:type="dxa" w:w="60"/>
              <w:left w:type="dxa" w:w="100"/>
              <w:bottom w:type="dxa" w:w="60"/>
              <w:right w:type="dxa" w:w="100"/>
            </w:tcMar>
          </w:tcPr>
          <w:p>
            <w:pPr>
              <w:spacing w:after="20" w:before="20"/>
            </w:pPr>
            <w:r>
              <w:rPr>
                <w:sz w:val="19"/>
                <w:szCs w:val="19"/>
              </w:rPr>
              <w:t xml:space="preserve">-</w:t>
            </w:r>
          </w:p>
        </w:tc>
        <w:tc>
          <w:tcPr>
            <w:tcW w:type="dxa" w:w="2215"/>
            <w:shd w:fill="F2F7FB" w:val="clear"/>
            <w:tcMar>
              <w:top w:type="dxa" w:w="60"/>
              <w:left w:type="dxa" w:w="100"/>
              <w:bottom w:type="dxa" w:w="60"/>
              <w:right w:type="dxa" w:w="100"/>
            </w:tcMar>
          </w:tcPr>
          <w:p>
            <w:pPr>
              <w:spacing w:after="20" w:before="20"/>
            </w:pPr>
            <w:r>
              <w:rPr>
                <w:sz w:val="19"/>
                <w:szCs w:val="19"/>
              </w:rPr>
              <w:t xml:space="preserve">See the note below - this is the one that repays reading twice</w:t>
            </w:r>
          </w:p>
        </w:tc>
      </w:tr>
    </w:tbl>
    <w:p>
      <w:pPr>
        <w:spacing w:after="80"/>
      </w:pPr>
    </w:p>
    <w:p>
      <w:pPr>
        <w:spacing w:after="100" w:before="240"/>
      </w:pPr>
      <w:r>
        <w:rPr>
          <w:b/>
          <w:bCs/>
          <w:color w:val="2E74B5"/>
          <w:sz w:val="24"/>
          <w:szCs w:val="24"/>
        </w:rPr>
        <w:t xml:space="preserve">Rows worth expanding</w:t>
      </w:r>
    </w:p>
    <w:p>
      <w:pPr>
        <w:spacing w:after="140"/>
        <w:jc w:val="both"/>
      </w:pPr>
      <w:r>
        <w:rPr>
          <w:b/>
          <w:bCs/>
        </w:rPr>
        <w:t xml:space="preserve">Row 3 - fraud detection is genuinely different from credit scoring.</w:t>
      </w:r>
      <w:r>
        <w:t xml:space="preserve"> Both score customers, both use similar models, and only one is high-risk. The high-risk list covers systems that evaluate creditworthiness or set a credit score, and it expressly excludes systems used to detect financial fraud. This is not a loophole to lean on: if the same engine also produces a lending decision, that use is high-risk on its own, and separating them means separating them in fact, not just on paper.</w:t>
      </w:r>
    </w:p>
    <w:p>
      <w:pPr>
        <w:spacing w:after="140"/>
        <w:jc w:val="both"/>
      </w:pPr>
      <w:r>
        <w:rPr>
          <w:b/>
          <w:bCs/>
        </w:rPr>
        <w:t xml:space="preserve">Row 4 - not everything serious is listed.</w:t>
      </w:r>
      <w:r>
        <w:t xml:space="preserve"> AML monitoring is heavily regulated, business-critical, and produces consequences for customers. It is still not in any of the eight high-risk areas. "Important to the bank" and "high-risk under the AI Act" are different tests, and confusing them is how compliance budgets end up in the wrong place.</w:t>
      </w:r>
    </w:p>
    <w:p>
      <w:pPr>
        <w:spacing w:after="140"/>
        <w:jc w:val="both"/>
      </w:pPr>
      <w:r>
        <w:rPr>
          <w:b/>
          <w:bCs/>
        </w:rPr>
        <w:t xml:space="preserve">Row 7 - the banned one is the ordinary one.</w:t>
      </w:r>
      <w:r>
        <w:t xml:space="preserve"> Nobody procures "an illegal AI system". They procure a call-centre quality platform, and it has an engagement or sentiment module aimed at agents. Inferring emotions of people in the workplace is prohibited outright, and has been since February 2025. The platform is fine; the module is not. Disable it and write down that you did.</w:t>
      </w:r>
    </w:p>
    <w:p>
      <w:pPr>
        <w:spacing w:after="140"/>
        <w:jc w:val="both"/>
      </w:pPr>
      <w:r>
        <w:rPr>
          <w:b/>
          <w:bCs/>
        </w:rPr>
        <w:t xml:space="preserve">Row 8 - one product, three different answers.</w:t>
      </w:r>
      <w:r>
        <w:t xml:space="preserve"> A vendor offers voice analysis that estimates whether a caller is being truthful.</w:t>
      </w:r>
    </w:p>
    <w:p>
      <w:pPr>
        <w:pStyle w:val="ListParagraph"/>
        <w:numPr>
          <w:ilvl w:val="0"/>
          <w:numId w:val="2"/>
        </w:numPr>
        <w:spacing w:after="80"/>
      </w:pPr>
      <w:r>
        <w:t xml:space="preserve">Pointed at </w:t>
      </w:r>
      <w:r>
        <w:rPr>
          <w:b/>
          <w:bCs/>
        </w:rPr>
        <w:t xml:space="preserve">staff or job candidates</w:t>
      </w:r>
      <w:r>
        <w:t xml:space="preserve">: emotion inference in the workplace. </w:t>
      </w:r>
      <w:r>
        <w:rPr>
          <w:b/>
          <w:bCs/>
        </w:rPr>
        <w:t xml:space="preserve">Banned</w:t>
      </w:r>
      <w:r>
        <w:t xml:space="preserve">, since February 2025.</w:t>
      </w:r>
    </w:p>
    <w:p>
      <w:pPr>
        <w:pStyle w:val="ListParagraph"/>
        <w:numPr>
          <w:ilvl w:val="0"/>
          <w:numId w:val="2"/>
        </w:numPr>
        <w:spacing w:after="80"/>
      </w:pPr>
      <w:r>
        <w:t xml:space="preserve">Pointed at </w:t>
      </w:r>
      <w:r>
        <w:rPr>
          <w:b/>
          <w:bCs/>
        </w:rPr>
        <w:t xml:space="preserve">customers</w:t>
      </w:r>
      <w:r>
        <w:t xml:space="preserve">: not banned - but emotion recognition is on the high-risk list in its own right, and the duty to tell people it is running is live </w:t>
      </w:r>
      <w:r>
        <w:rPr>
          <w:b/>
          <w:bCs/>
        </w:rPr>
        <w:t xml:space="preserve">today</w:t>
      </w:r>
      <w:r>
        <w:t xml:space="preserve">.</w:t>
      </w:r>
    </w:p>
    <w:p>
      <w:pPr>
        <w:pStyle w:val="ListParagraph"/>
        <w:numPr>
          <w:ilvl w:val="0"/>
          <w:numId w:val="2"/>
        </w:numPr>
        <w:spacing w:after="80"/>
      </w:pPr>
      <w:r>
        <w:t xml:space="preserve">The bank's conclusion: a system whose business case depends on customers not knowing it is running cannot survive its own disclosure duty. Declined at procurement, before a three-year contract existed.</w:t>
      </w:r>
    </w:p>
    <w:p>
      <w:pPr>
        <w:pBdr>
          <w:bottom w:val="single" w:color="BFDBF0" w:sz="6"/>
        </w:pBdr>
        <w:spacing w:after="120" w:before="120"/>
      </w:pPr>
    </w:p>
    <w:p>
      <w:pPr>
        <w:spacing w:after="140" w:before="320"/>
      </w:pPr>
      <w:r>
        <w:rPr>
          <w:b/>
          <w:bCs/>
          <w:color w:val="1F4E79"/>
          <w:sz w:val="30"/>
          <w:szCs w:val="30"/>
        </w:rPr>
        <w:t xml:space="preserve">Example 2 - a hospital group</w:t>
      </w:r>
    </w:p>
    <w:p>
      <w:pPr>
        <w:spacing w:after="140"/>
        <w:jc w:val="both"/>
      </w:pPr>
      <w:r>
        <w:t xml:space="preserve">[HOSPITAL] runs clinical and administrative AI. It is a deployer of vendor systems, except where noted. Note how badly intuition performs here: the most alarming system on the list is permitted, and the most innocuous one is banned.</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500"/>
        <w:gridCol w:w="2215"/>
        <w:gridCol w:w="2215"/>
        <w:gridCol w:w="2215"/>
        <w:gridCol w:w="2215"/>
      </w:tblGrid>
      <w:tr>
        <w:trPr>
          <w:tblHeader/>
        </w:trPr>
        <w:tc>
          <w:tcPr>
            <w:tcW w:type="dxa" w:w="500"/>
            <w:shd w:fill="1F4E79" w:val="clear"/>
            <w:tcMar>
              <w:top w:type="dxa" w:w="60"/>
              <w:left w:type="dxa" w:w="100"/>
              <w:bottom w:type="dxa" w:w="60"/>
              <w:right w:type="dxa" w:w="100"/>
            </w:tcMar>
          </w:tcPr>
          <w:p>
            <w:pPr>
              <w:spacing w:after="20" w:before="20"/>
            </w:pPr>
            <w:r>
              <w:rPr>
                <w:b/>
                <w:bCs/>
                <w:color w:val="FFFFFF"/>
                <w:sz w:val="19"/>
                <w:szCs w:val="19"/>
              </w:rPr>
              <w:t xml:space="preserve">#</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System</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Outcome</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Binds from</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Do now</w:t>
            </w:r>
          </w:p>
        </w:tc>
      </w:tr>
      <w:tr>
        <w:tc>
          <w:tcPr>
            <w:tcW w:type="dxa" w:w="500"/>
            <w:tcMar>
              <w:top w:type="dxa" w:w="60"/>
              <w:left w:type="dxa" w:w="100"/>
              <w:bottom w:type="dxa" w:w="60"/>
              <w:right w:type="dxa" w:w="100"/>
            </w:tcMar>
          </w:tcPr>
          <w:p>
            <w:pPr>
              <w:spacing w:after="20" w:before="20"/>
            </w:pPr>
            <w:r>
              <w:rPr>
                <w:sz w:val="19"/>
                <w:szCs w:val="19"/>
              </w:rPr>
              <w:t xml:space="preserve">1</w:t>
            </w:r>
          </w:p>
        </w:tc>
        <w:tc>
          <w:tcPr>
            <w:tcW w:type="dxa" w:w="2215"/>
            <w:tcMar>
              <w:top w:type="dxa" w:w="60"/>
              <w:left w:type="dxa" w:w="100"/>
              <w:bottom w:type="dxa" w:w="60"/>
              <w:right w:type="dxa" w:w="100"/>
            </w:tcMar>
          </w:tcPr>
          <w:p>
            <w:pPr>
              <w:spacing w:after="20" w:before="20"/>
            </w:pPr>
            <w:r>
              <w:rPr>
                <w:sz w:val="19"/>
                <w:szCs w:val="19"/>
              </w:rPr>
              <w:t xml:space="preserve">Radiology triage module inside a CE-marked device</w:t>
            </w:r>
          </w:p>
        </w:tc>
        <w:tc>
          <w:tcPr>
            <w:tcW w:type="dxa" w:w="2215"/>
            <w:tcMar>
              <w:top w:type="dxa" w:w="60"/>
              <w:left w:type="dxa" w:w="100"/>
              <w:bottom w:type="dxa" w:w="60"/>
              <w:right w:type="dxa" w:w="100"/>
            </w:tcMar>
          </w:tcPr>
          <w:p>
            <w:pPr>
              <w:spacing w:after="20" w:before="20"/>
            </w:pPr>
            <w:r>
              <w:rPr>
                <w:b/>
                <w:bCs/>
                <w:sz w:val="19"/>
                <w:szCs w:val="19"/>
              </w:rPr>
              <w:t xml:space="preserve">High-risk</w:t>
            </w:r>
            <w:r>
              <w:rPr>
                <w:sz w:val="19"/>
                <w:szCs w:val="19"/>
              </w:rPr>
              <w:t xml:space="preserve"> (product route)</w:t>
            </w:r>
          </w:p>
        </w:tc>
        <w:tc>
          <w:tcPr>
            <w:tcW w:type="dxa" w:w="2215"/>
            <w:tcMar>
              <w:top w:type="dxa" w:w="60"/>
              <w:left w:type="dxa" w:w="100"/>
              <w:bottom w:type="dxa" w:w="60"/>
              <w:right w:type="dxa" w:w="100"/>
            </w:tcMar>
          </w:tcPr>
          <w:p>
            <w:pPr>
              <w:spacing w:after="20" w:before="20"/>
            </w:pPr>
            <w:r>
              <w:rPr>
                <w:sz w:val="19"/>
                <w:szCs w:val="19"/>
              </w:rPr>
              <w:t xml:space="preserve">2 Aug 2028</w:t>
            </w:r>
          </w:p>
        </w:tc>
        <w:tc>
          <w:tcPr>
            <w:tcW w:type="dxa" w:w="2215"/>
            <w:tcMar>
              <w:top w:type="dxa" w:w="60"/>
              <w:left w:type="dxa" w:w="100"/>
              <w:bottom w:type="dxa" w:w="60"/>
              <w:right w:type="dxa" w:w="100"/>
            </w:tcMar>
          </w:tcPr>
          <w:p>
            <w:pPr>
              <w:spacing w:after="20" w:before="20"/>
            </w:pPr>
            <w:r>
              <w:rPr>
                <w:sz w:val="19"/>
                <w:szCs w:val="19"/>
              </w:rPr>
              <w:t xml:space="preserve">Confirm the manufacturer's conformity plan covers the AI requirements</w:t>
            </w:r>
          </w:p>
        </w:tc>
      </w:tr>
      <w:tr>
        <w:tc>
          <w:tcPr>
            <w:tcW w:type="dxa" w:w="500"/>
            <w:shd w:fill="F2F7FB" w:val="clear"/>
            <w:tcMar>
              <w:top w:type="dxa" w:w="60"/>
              <w:left w:type="dxa" w:w="100"/>
              <w:bottom w:type="dxa" w:w="60"/>
              <w:right w:type="dxa" w:w="100"/>
            </w:tcMar>
          </w:tcPr>
          <w:p>
            <w:pPr>
              <w:spacing w:after="20" w:before="20"/>
            </w:pPr>
            <w:r>
              <w:rPr>
                <w:sz w:val="19"/>
                <w:szCs w:val="19"/>
              </w:rPr>
              <w:t xml:space="preserve">2</w:t>
            </w:r>
          </w:p>
        </w:tc>
        <w:tc>
          <w:tcPr>
            <w:tcW w:type="dxa" w:w="2215"/>
            <w:shd w:fill="F2F7FB" w:val="clear"/>
            <w:tcMar>
              <w:top w:type="dxa" w:w="60"/>
              <w:left w:type="dxa" w:w="100"/>
              <w:bottom w:type="dxa" w:w="60"/>
              <w:right w:type="dxa" w:w="100"/>
            </w:tcMar>
          </w:tcPr>
          <w:p>
            <w:pPr>
              <w:spacing w:after="20" w:before="20"/>
            </w:pPr>
            <w:r>
              <w:rPr>
                <w:sz w:val="19"/>
                <w:szCs w:val="19"/>
              </w:rPr>
              <w:t xml:space="preserve">Emergency call classification and dispatch priority</w:t>
            </w:r>
          </w:p>
        </w:tc>
        <w:tc>
          <w:tcPr>
            <w:tcW w:type="dxa" w:w="2215"/>
            <w:shd w:fill="F2F7FB" w:val="clear"/>
            <w:tcMar>
              <w:top w:type="dxa" w:w="60"/>
              <w:left w:type="dxa" w:w="100"/>
              <w:bottom w:type="dxa" w:w="60"/>
              <w:right w:type="dxa" w:w="100"/>
            </w:tcMar>
          </w:tcPr>
          <w:p>
            <w:pPr>
              <w:spacing w:after="20" w:before="20"/>
            </w:pPr>
            <w:r>
              <w:rPr>
                <w:b/>
                <w:bCs/>
                <w:sz w:val="19"/>
                <w:szCs w:val="19"/>
              </w:rPr>
              <w:t xml:space="preserve">High-risk</w:t>
            </w:r>
            <w:r>
              <w:rPr>
                <w:sz w:val="19"/>
                <w:szCs w:val="19"/>
              </w:rPr>
              <w:t xml:space="preserve"> (essential services)</w:t>
            </w:r>
          </w:p>
        </w:tc>
        <w:tc>
          <w:tcPr>
            <w:tcW w:type="dxa" w:w="2215"/>
            <w:shd w:fill="F2F7FB" w:val="clear"/>
            <w:tcMar>
              <w:top w:type="dxa" w:w="60"/>
              <w:left w:type="dxa" w:w="100"/>
              <w:bottom w:type="dxa" w:w="60"/>
              <w:right w:type="dxa" w:w="100"/>
            </w:tcMar>
          </w:tcPr>
          <w:p>
            <w:pPr>
              <w:spacing w:after="20" w:before="20"/>
            </w:pPr>
            <w:r>
              <w:rPr>
                <w:sz w:val="19"/>
                <w:szCs w:val="19"/>
              </w:rPr>
              <w:t xml:space="preserve">2 Dec 2027</w:t>
            </w:r>
          </w:p>
        </w:tc>
        <w:tc>
          <w:tcPr>
            <w:tcW w:type="dxa" w:w="2215"/>
            <w:shd w:fill="F2F7FB" w:val="clear"/>
            <w:tcMar>
              <w:top w:type="dxa" w:w="60"/>
              <w:left w:type="dxa" w:w="100"/>
              <w:bottom w:type="dxa" w:w="60"/>
              <w:right w:type="dxa" w:w="100"/>
            </w:tcMar>
          </w:tcPr>
          <w:p>
            <w:pPr>
              <w:spacing w:after="20" w:before="20"/>
            </w:pPr>
            <w:r>
              <w:rPr>
                <w:sz w:val="19"/>
                <w:szCs w:val="19"/>
              </w:rPr>
              <w:t xml:space="preserve">Name an owner; plan human oversight and logging now</w:t>
            </w:r>
          </w:p>
        </w:tc>
      </w:tr>
      <w:tr>
        <w:tc>
          <w:tcPr>
            <w:tcW w:type="dxa" w:w="500"/>
            <w:tcMar>
              <w:top w:type="dxa" w:w="60"/>
              <w:left w:type="dxa" w:w="100"/>
              <w:bottom w:type="dxa" w:w="60"/>
              <w:right w:type="dxa" w:w="100"/>
            </w:tcMar>
          </w:tcPr>
          <w:p>
            <w:pPr>
              <w:spacing w:after="20" w:before="20"/>
            </w:pPr>
            <w:r>
              <w:rPr>
                <w:sz w:val="19"/>
                <w:szCs w:val="19"/>
              </w:rPr>
              <w:t xml:space="preserve">3</w:t>
            </w:r>
          </w:p>
        </w:tc>
        <w:tc>
          <w:tcPr>
            <w:tcW w:type="dxa" w:w="2215"/>
            <w:tcMar>
              <w:top w:type="dxa" w:w="60"/>
              <w:left w:type="dxa" w:w="100"/>
              <w:bottom w:type="dxa" w:w="60"/>
              <w:right w:type="dxa" w:w="100"/>
            </w:tcMar>
          </w:tcPr>
          <w:p>
            <w:pPr>
              <w:spacing w:after="20" w:before="20"/>
            </w:pPr>
            <w:r>
              <w:rPr>
                <w:sz w:val="19"/>
                <w:szCs w:val="19"/>
              </w:rPr>
              <w:t xml:space="preserve">Ward monitoring inferring pain or distress in patients who cannot speak</w:t>
            </w:r>
          </w:p>
        </w:tc>
        <w:tc>
          <w:tcPr>
            <w:tcW w:type="dxa" w:w="2215"/>
            <w:tcMar>
              <w:top w:type="dxa" w:w="60"/>
              <w:left w:type="dxa" w:w="100"/>
              <w:bottom w:type="dxa" w:w="60"/>
              <w:right w:type="dxa" w:w="100"/>
            </w:tcMar>
          </w:tcPr>
          <w:p>
            <w:pPr>
              <w:spacing w:after="20" w:before="20"/>
            </w:pPr>
            <w:r>
              <w:rPr>
                <w:sz w:val="19"/>
                <w:szCs w:val="19"/>
              </w:rPr>
              <w:t xml:space="preserve">Not banned - </w:t>
            </w:r>
            <w:r>
              <w:rPr>
                <w:b/>
                <w:bCs/>
                <w:sz w:val="19"/>
                <w:szCs w:val="19"/>
              </w:rPr>
              <w:t xml:space="preserve">medical exception</w:t>
            </w:r>
            <w:r>
              <w:rPr>
                <w:sz w:val="19"/>
                <w:szCs w:val="19"/>
              </w:rPr>
              <w:t xml:space="preserve">. Still </w:t>
            </w:r>
            <w:r>
              <w:rPr>
                <w:b/>
                <w:bCs/>
                <w:sz w:val="19"/>
                <w:szCs w:val="19"/>
              </w:rPr>
              <w:t xml:space="preserve">high-risk</w:t>
            </w:r>
            <w:r>
              <w:rPr>
                <w:sz w:val="19"/>
                <w:szCs w:val="19"/>
              </w:rPr>
              <w:t xml:space="preserve"> (emotion recognition) </w:t>
            </w:r>
            <w:r>
              <w:rPr>
                <w:b/>
                <w:bCs/>
                <w:sz w:val="19"/>
                <w:szCs w:val="19"/>
              </w:rPr>
              <w:t xml:space="preserve">and must disclose</w:t>
            </w:r>
          </w:p>
        </w:tc>
        <w:tc>
          <w:tcPr>
            <w:tcW w:type="dxa" w:w="2215"/>
            <w:tcMar>
              <w:top w:type="dxa" w:w="60"/>
              <w:left w:type="dxa" w:w="100"/>
              <w:bottom w:type="dxa" w:w="60"/>
              <w:right w:type="dxa" w:w="100"/>
            </w:tcMar>
          </w:tcPr>
          <w:p>
            <w:pPr>
              <w:spacing w:after="20" w:before="20"/>
            </w:pPr>
            <w:r>
              <w:rPr>
                <w:sz w:val="19"/>
                <w:szCs w:val="19"/>
              </w:rPr>
              <w:t xml:space="preserve">Disclosure live now; high-risk 2 Dec 2027</w:t>
            </w:r>
          </w:p>
        </w:tc>
        <w:tc>
          <w:tcPr>
            <w:tcW w:type="dxa" w:w="2215"/>
            <w:tcMar>
              <w:top w:type="dxa" w:w="60"/>
              <w:left w:type="dxa" w:w="100"/>
              <w:bottom w:type="dxa" w:w="60"/>
              <w:right w:type="dxa" w:w="100"/>
            </w:tcMar>
          </w:tcPr>
          <w:p>
            <w:pPr>
              <w:spacing w:after="20" w:before="20"/>
            </w:pPr>
            <w:r>
              <w:rPr>
                <w:sz w:val="19"/>
                <w:szCs w:val="19"/>
              </w:rPr>
              <w:t xml:space="preserve">Tell patients and families it operates; handle health data under data protection law</w:t>
            </w:r>
          </w:p>
        </w:tc>
      </w:tr>
      <w:tr>
        <w:tc>
          <w:tcPr>
            <w:tcW w:type="dxa" w:w="500"/>
            <w:shd w:fill="F2F7FB" w:val="clear"/>
            <w:tcMar>
              <w:top w:type="dxa" w:w="60"/>
              <w:left w:type="dxa" w:w="100"/>
              <w:bottom w:type="dxa" w:w="60"/>
              <w:right w:type="dxa" w:w="100"/>
            </w:tcMar>
          </w:tcPr>
          <w:p>
            <w:pPr>
              <w:spacing w:after="20" w:before="20"/>
            </w:pPr>
            <w:r>
              <w:rPr>
                <w:sz w:val="19"/>
                <w:szCs w:val="19"/>
              </w:rPr>
              <w:t xml:space="preserve">4</w:t>
            </w:r>
          </w:p>
        </w:tc>
        <w:tc>
          <w:tcPr>
            <w:tcW w:type="dxa" w:w="2215"/>
            <w:shd w:fill="F2F7FB" w:val="clear"/>
            <w:tcMar>
              <w:top w:type="dxa" w:w="60"/>
              <w:left w:type="dxa" w:w="100"/>
              <w:bottom w:type="dxa" w:w="60"/>
              <w:right w:type="dxa" w:w="100"/>
            </w:tcMar>
          </w:tcPr>
          <w:p>
            <w:pPr>
              <w:spacing w:after="20" w:before="20"/>
            </w:pPr>
            <w:r>
              <w:rPr>
                <w:sz w:val="19"/>
                <w:szCs w:val="19"/>
              </w:rPr>
              <w:t xml:space="preserve">Dashboard scoring nurses' stress and burnout risk</w:t>
            </w:r>
          </w:p>
        </w:tc>
        <w:tc>
          <w:tcPr>
            <w:tcW w:type="dxa" w:w="2215"/>
            <w:shd w:fill="F2F7FB" w:val="clear"/>
            <w:tcMar>
              <w:top w:type="dxa" w:w="60"/>
              <w:left w:type="dxa" w:w="100"/>
              <w:bottom w:type="dxa" w:w="60"/>
              <w:right w:type="dxa" w:w="100"/>
            </w:tcMar>
          </w:tcPr>
          <w:p>
            <w:pPr>
              <w:spacing w:after="20" w:before="20"/>
            </w:pPr>
            <w:r>
              <w:rPr>
                <w:b/>
                <w:bCs/>
                <w:sz w:val="19"/>
                <w:szCs w:val="19"/>
              </w:rPr>
              <w:t xml:space="preserve">BANNED</w:t>
            </w:r>
          </w:p>
        </w:tc>
        <w:tc>
          <w:tcPr>
            <w:tcW w:type="dxa" w:w="2215"/>
            <w:shd w:fill="F2F7FB" w:val="clear"/>
            <w:tcMar>
              <w:top w:type="dxa" w:w="60"/>
              <w:left w:type="dxa" w:w="100"/>
              <w:bottom w:type="dxa" w:w="60"/>
              <w:right w:type="dxa" w:w="100"/>
            </w:tcMar>
          </w:tcPr>
          <w:p>
            <w:pPr>
              <w:spacing w:after="20" w:before="20"/>
            </w:pPr>
            <w:r>
              <w:rPr>
                <w:sz w:val="19"/>
                <w:szCs w:val="19"/>
              </w:rPr>
              <w:t xml:space="preserve">Illegal since Feb 2025</w:t>
            </w:r>
          </w:p>
        </w:tc>
        <w:tc>
          <w:tcPr>
            <w:tcW w:type="dxa" w:w="2215"/>
            <w:shd w:fill="F2F7FB" w:val="clear"/>
            <w:tcMar>
              <w:top w:type="dxa" w:w="60"/>
              <w:left w:type="dxa" w:w="100"/>
              <w:bottom w:type="dxa" w:w="60"/>
              <w:right w:type="dxa" w:w="100"/>
            </w:tcMar>
          </w:tcPr>
          <w:p>
            <w:pPr>
              <w:spacing w:after="20" w:before="20"/>
            </w:pPr>
            <w:r>
              <w:rPr>
                <w:sz w:val="19"/>
                <w:szCs w:val="19"/>
              </w:rPr>
              <w:t xml:space="preserve">Turn it off. Wellbeing framing does not rescue it</w:t>
            </w:r>
          </w:p>
        </w:tc>
      </w:tr>
      <w:tr>
        <w:tc>
          <w:tcPr>
            <w:tcW w:type="dxa" w:w="500"/>
            <w:tcMar>
              <w:top w:type="dxa" w:w="60"/>
              <w:left w:type="dxa" w:w="100"/>
              <w:bottom w:type="dxa" w:w="60"/>
              <w:right w:type="dxa" w:w="100"/>
            </w:tcMar>
          </w:tcPr>
          <w:p>
            <w:pPr>
              <w:spacing w:after="20" w:before="20"/>
            </w:pPr>
            <w:r>
              <w:rPr>
                <w:sz w:val="19"/>
                <w:szCs w:val="19"/>
              </w:rPr>
              <w:t xml:space="preserve">5</w:t>
            </w:r>
          </w:p>
        </w:tc>
        <w:tc>
          <w:tcPr>
            <w:tcW w:type="dxa" w:w="2215"/>
            <w:tcMar>
              <w:top w:type="dxa" w:w="60"/>
              <w:left w:type="dxa" w:w="100"/>
              <w:bottom w:type="dxa" w:w="60"/>
              <w:right w:type="dxa" w:w="100"/>
            </w:tcMar>
          </w:tcPr>
          <w:p>
            <w:pPr>
              <w:spacing w:after="20" w:before="20"/>
            </w:pPr>
            <w:r>
              <w:rPr>
                <w:sz w:val="19"/>
                <w:szCs w:val="19"/>
              </w:rPr>
              <w:t xml:space="preserve">Nurse rostering optimiser</w:t>
            </w:r>
          </w:p>
        </w:tc>
        <w:tc>
          <w:tcPr>
            <w:tcW w:type="dxa" w:w="2215"/>
            <w:tcMar>
              <w:top w:type="dxa" w:w="60"/>
              <w:left w:type="dxa" w:w="100"/>
              <w:bottom w:type="dxa" w:w="60"/>
              <w:right w:type="dxa" w:w="100"/>
            </w:tcMar>
          </w:tcPr>
          <w:p>
            <w:pPr>
              <w:spacing w:after="20" w:before="20"/>
            </w:pPr>
            <w:r>
              <w:rPr>
                <w:b/>
                <w:bCs/>
                <w:sz w:val="19"/>
                <w:szCs w:val="19"/>
              </w:rPr>
              <w:t xml:space="preserve">Depends on how it decides</w:t>
            </w:r>
            <w:r>
              <w:rPr>
                <w:sz w:val="19"/>
                <w:szCs w:val="19"/>
              </w:rPr>
              <w:t xml:space="preserve"> - see below</w:t>
            </w:r>
          </w:p>
        </w:tc>
        <w:tc>
          <w:tcPr>
            <w:tcW w:type="dxa" w:w="2215"/>
            <w:tcMar>
              <w:top w:type="dxa" w:w="60"/>
              <w:left w:type="dxa" w:w="100"/>
              <w:bottom w:type="dxa" w:w="60"/>
              <w:right w:type="dxa" w:w="100"/>
            </w:tcMar>
          </w:tcPr>
          <w:p>
            <w:pPr>
              <w:spacing w:after="20" w:before="20"/>
            </w:pPr>
            <w:r>
              <w:rPr>
                <w:sz w:val="19"/>
                <w:szCs w:val="19"/>
              </w:rPr>
              <w:t xml:space="preserve">Dec 2027 if it allocates on behaviour or traits</w:t>
            </w:r>
          </w:p>
        </w:tc>
        <w:tc>
          <w:tcPr>
            <w:tcW w:type="dxa" w:w="2215"/>
            <w:tcMar>
              <w:top w:type="dxa" w:w="60"/>
              <w:left w:type="dxa" w:w="100"/>
              <w:bottom w:type="dxa" w:w="60"/>
              <w:right w:type="dxa" w:w="100"/>
            </w:tcMar>
          </w:tcPr>
          <w:p>
            <w:pPr>
              <w:spacing w:after="20" w:before="20"/>
            </w:pPr>
            <w:r>
              <w:rPr>
                <w:sz w:val="19"/>
                <w:szCs w:val="19"/>
              </w:rPr>
              <w:t xml:space="preserve">Read the vendor's actual logic before deciding</w:t>
            </w:r>
          </w:p>
        </w:tc>
      </w:tr>
      <w:tr>
        <w:tc>
          <w:tcPr>
            <w:tcW w:type="dxa" w:w="500"/>
            <w:shd w:fill="F2F7FB" w:val="clear"/>
            <w:tcMar>
              <w:top w:type="dxa" w:w="60"/>
              <w:left w:type="dxa" w:w="100"/>
              <w:bottom w:type="dxa" w:w="60"/>
              <w:right w:type="dxa" w:w="100"/>
            </w:tcMar>
          </w:tcPr>
          <w:p>
            <w:pPr>
              <w:spacing w:after="20" w:before="20"/>
            </w:pPr>
            <w:r>
              <w:rPr>
                <w:sz w:val="19"/>
                <w:szCs w:val="19"/>
              </w:rPr>
              <w:t xml:space="preserve">6</w:t>
            </w:r>
          </w:p>
        </w:tc>
        <w:tc>
          <w:tcPr>
            <w:tcW w:type="dxa" w:w="2215"/>
            <w:shd w:fill="F2F7FB" w:val="clear"/>
            <w:tcMar>
              <w:top w:type="dxa" w:w="60"/>
              <w:left w:type="dxa" w:w="100"/>
              <w:bottom w:type="dxa" w:w="60"/>
              <w:right w:type="dxa" w:w="100"/>
            </w:tcMar>
          </w:tcPr>
          <w:p>
            <w:pPr>
              <w:spacing w:after="20" w:before="20"/>
            </w:pPr>
            <w:r>
              <w:rPr>
                <w:sz w:val="19"/>
                <w:szCs w:val="19"/>
              </w:rPr>
              <w:t xml:space="preserve">Recruitment screening for clinical posts</w:t>
            </w:r>
          </w:p>
        </w:tc>
        <w:tc>
          <w:tcPr>
            <w:tcW w:type="dxa" w:w="2215"/>
            <w:shd w:fill="F2F7FB" w:val="clear"/>
            <w:tcMar>
              <w:top w:type="dxa" w:w="60"/>
              <w:left w:type="dxa" w:w="100"/>
              <w:bottom w:type="dxa" w:w="60"/>
              <w:right w:type="dxa" w:w="100"/>
            </w:tcMar>
          </w:tcPr>
          <w:p>
            <w:pPr>
              <w:spacing w:after="20" w:before="20"/>
            </w:pPr>
            <w:r>
              <w:rPr>
                <w:b/>
                <w:bCs/>
                <w:sz w:val="19"/>
                <w:szCs w:val="19"/>
              </w:rPr>
              <w:t xml:space="preserve">High-risk</w:t>
            </w:r>
            <w:r>
              <w:rPr>
                <w:sz w:val="19"/>
                <w:szCs w:val="19"/>
              </w:rPr>
              <w:t xml:space="preserve"> (employment)</w:t>
            </w:r>
          </w:p>
        </w:tc>
        <w:tc>
          <w:tcPr>
            <w:tcW w:type="dxa" w:w="2215"/>
            <w:shd w:fill="F2F7FB" w:val="clear"/>
            <w:tcMar>
              <w:top w:type="dxa" w:w="60"/>
              <w:left w:type="dxa" w:w="100"/>
              <w:bottom w:type="dxa" w:w="60"/>
              <w:right w:type="dxa" w:w="100"/>
            </w:tcMar>
          </w:tcPr>
          <w:p>
            <w:pPr>
              <w:spacing w:after="20" w:before="20"/>
            </w:pPr>
            <w:r>
              <w:rPr>
                <w:sz w:val="19"/>
                <w:szCs w:val="19"/>
              </w:rPr>
              <w:t xml:space="preserve">2 Dec 2027</w:t>
            </w:r>
          </w:p>
        </w:tc>
        <w:tc>
          <w:tcPr>
            <w:tcW w:type="dxa" w:w="2215"/>
            <w:shd w:fill="F2F7FB" w:val="clear"/>
            <w:tcMar>
              <w:top w:type="dxa" w:w="60"/>
              <w:left w:type="dxa" w:w="100"/>
              <w:bottom w:type="dxa" w:w="60"/>
              <w:right w:type="dxa" w:w="100"/>
            </w:tcMar>
          </w:tcPr>
          <w:p>
            <w:pPr>
              <w:spacing w:after="20" w:before="20"/>
            </w:pPr>
            <w:r>
              <w:rPr>
                <w:sz w:val="19"/>
                <w:szCs w:val="19"/>
              </w:rPr>
              <w:t xml:space="preserve">Same track as the bank's row 5</w:t>
            </w:r>
          </w:p>
        </w:tc>
      </w:tr>
      <w:tr>
        <w:tc>
          <w:tcPr>
            <w:tcW w:type="dxa" w:w="500"/>
            <w:tcMar>
              <w:top w:type="dxa" w:w="60"/>
              <w:left w:type="dxa" w:w="100"/>
              <w:bottom w:type="dxa" w:w="60"/>
              <w:right w:type="dxa" w:w="100"/>
            </w:tcMar>
          </w:tcPr>
          <w:p>
            <w:pPr>
              <w:spacing w:after="20" w:before="20"/>
            </w:pPr>
            <w:r>
              <w:rPr>
                <w:sz w:val="19"/>
                <w:szCs w:val="19"/>
              </w:rPr>
              <w:t xml:space="preserve">7</w:t>
            </w:r>
          </w:p>
        </w:tc>
        <w:tc>
          <w:tcPr>
            <w:tcW w:type="dxa" w:w="2215"/>
            <w:tcMar>
              <w:top w:type="dxa" w:w="60"/>
              <w:left w:type="dxa" w:w="100"/>
              <w:bottom w:type="dxa" w:w="60"/>
              <w:right w:type="dxa" w:w="100"/>
            </w:tcMar>
          </w:tcPr>
          <w:p>
            <w:pPr>
              <w:spacing w:after="20" w:before="20"/>
            </w:pPr>
            <w:r>
              <w:rPr>
                <w:sz w:val="19"/>
                <w:szCs w:val="19"/>
              </w:rPr>
              <w:t xml:space="preserve">Appointment no-show prediction</w:t>
            </w:r>
          </w:p>
        </w:tc>
        <w:tc>
          <w:tcPr>
            <w:tcW w:type="dxa" w:w="2215"/>
            <w:tcMar>
              <w:top w:type="dxa" w:w="60"/>
              <w:left w:type="dxa" w:w="100"/>
              <w:bottom w:type="dxa" w:w="60"/>
              <w:right w:type="dxa" w:w="100"/>
            </w:tcMar>
          </w:tcPr>
          <w:p>
            <w:pPr>
              <w:spacing w:after="20" w:before="20"/>
            </w:pPr>
            <w:r>
              <w:rPr>
                <w:b/>
                <w:bCs/>
                <w:sz w:val="19"/>
                <w:szCs w:val="19"/>
              </w:rPr>
              <w:t xml:space="preserve">No tier duties</w:t>
            </w:r>
            <w:r>
              <w:rPr>
                <w:sz w:val="19"/>
                <w:szCs w:val="19"/>
              </w:rPr>
              <w:t xml:space="preserve"> - not on the list</w:t>
            </w:r>
          </w:p>
        </w:tc>
        <w:tc>
          <w:tcPr>
            <w:tcW w:type="dxa" w:w="2215"/>
            <w:tcMar>
              <w:top w:type="dxa" w:w="60"/>
              <w:left w:type="dxa" w:w="100"/>
              <w:bottom w:type="dxa" w:w="60"/>
              <w:right w:type="dxa" w:w="100"/>
            </w:tcMar>
          </w:tcPr>
          <w:p>
            <w:pPr>
              <w:spacing w:after="20" w:before="20"/>
            </w:pPr>
            <w:r>
              <w:rPr>
                <w:sz w:val="19"/>
                <w:szCs w:val="19"/>
              </w:rPr>
              <w:t xml:space="preserve">n/a</w:t>
            </w:r>
          </w:p>
        </w:tc>
        <w:tc>
          <w:tcPr>
            <w:tcW w:type="dxa" w:w="2215"/>
            <w:tcMar>
              <w:top w:type="dxa" w:w="60"/>
              <w:left w:type="dxa" w:w="100"/>
              <w:bottom w:type="dxa" w:w="60"/>
              <w:right w:type="dxa" w:w="100"/>
            </w:tcMar>
          </w:tcPr>
          <w:p>
            <w:pPr>
              <w:spacing w:after="20" w:before="20"/>
            </w:pPr>
            <w:r>
              <w:rPr>
                <w:sz w:val="19"/>
                <w:szCs w:val="19"/>
              </w:rPr>
              <w:t xml:space="preserve">Watch it for fairness anyway; that is policy, not this Act</w:t>
            </w:r>
          </w:p>
        </w:tc>
      </w:tr>
      <w:tr>
        <w:tc>
          <w:tcPr>
            <w:tcW w:type="dxa" w:w="500"/>
            <w:shd w:fill="F2F7FB" w:val="clear"/>
            <w:tcMar>
              <w:top w:type="dxa" w:w="60"/>
              <w:left w:type="dxa" w:w="100"/>
              <w:bottom w:type="dxa" w:w="60"/>
              <w:right w:type="dxa" w:w="100"/>
            </w:tcMar>
          </w:tcPr>
          <w:p>
            <w:pPr>
              <w:spacing w:after="20" w:before="20"/>
            </w:pPr>
            <w:r>
              <w:rPr>
                <w:sz w:val="19"/>
                <w:szCs w:val="19"/>
              </w:rPr>
              <w:t xml:space="preserve">8</w:t>
            </w:r>
          </w:p>
        </w:tc>
        <w:tc>
          <w:tcPr>
            <w:tcW w:type="dxa" w:w="2215"/>
            <w:shd w:fill="F2F7FB" w:val="clear"/>
            <w:tcMar>
              <w:top w:type="dxa" w:w="60"/>
              <w:left w:type="dxa" w:w="100"/>
              <w:bottom w:type="dxa" w:w="60"/>
              <w:right w:type="dxa" w:w="100"/>
            </w:tcMar>
          </w:tcPr>
          <w:p>
            <w:pPr>
              <w:spacing w:after="20" w:before="20"/>
            </w:pPr>
            <w:r>
              <w:rPr>
                <w:sz w:val="19"/>
                <w:szCs w:val="19"/>
              </w:rPr>
              <w:t xml:space="preserve">Facial recognition on entrances for security</w:t>
            </w:r>
          </w:p>
        </w:tc>
        <w:tc>
          <w:tcPr>
            <w:tcW w:type="dxa" w:w="2215"/>
            <w:shd w:fill="F2F7FB" w:val="clear"/>
            <w:tcMar>
              <w:top w:type="dxa" w:w="60"/>
              <w:left w:type="dxa" w:w="100"/>
              <w:bottom w:type="dxa" w:w="60"/>
              <w:right w:type="dxa" w:w="100"/>
            </w:tcMar>
          </w:tcPr>
          <w:p>
            <w:pPr>
              <w:spacing w:after="20" w:before="20"/>
            </w:pPr>
            <w:r>
              <w:rPr>
                <w:sz w:val="19"/>
                <w:szCs w:val="19"/>
              </w:rPr>
              <w:t xml:space="preserve">Not banned here - </w:t>
            </w:r>
            <w:r>
              <w:rPr>
                <w:b/>
                <w:bCs/>
                <w:sz w:val="19"/>
                <w:szCs w:val="19"/>
              </w:rPr>
              <w:t xml:space="preserve">high-risk</w:t>
            </w:r>
            <w:r>
              <w:rPr>
                <w:sz w:val="19"/>
                <w:szCs w:val="19"/>
              </w:rPr>
              <w:t xml:space="preserve"> (remote biometric identification)</w:t>
            </w:r>
          </w:p>
        </w:tc>
        <w:tc>
          <w:tcPr>
            <w:tcW w:type="dxa" w:w="2215"/>
            <w:shd w:fill="F2F7FB" w:val="clear"/>
            <w:tcMar>
              <w:top w:type="dxa" w:w="60"/>
              <w:left w:type="dxa" w:w="100"/>
              <w:bottom w:type="dxa" w:w="60"/>
              <w:right w:type="dxa" w:w="100"/>
            </w:tcMar>
          </w:tcPr>
          <w:p>
            <w:pPr>
              <w:spacing w:after="20" w:before="20"/>
            </w:pPr>
            <w:r>
              <w:rPr>
                <w:sz w:val="19"/>
                <w:szCs w:val="19"/>
              </w:rPr>
              <w:t xml:space="preserve">2 Dec 2027</w:t>
            </w:r>
          </w:p>
        </w:tc>
        <w:tc>
          <w:tcPr>
            <w:tcW w:type="dxa" w:w="2215"/>
            <w:shd w:fill="F2F7FB" w:val="clear"/>
            <w:tcMar>
              <w:top w:type="dxa" w:w="60"/>
              <w:left w:type="dxa" w:w="100"/>
              <w:bottom w:type="dxa" w:w="60"/>
              <w:right w:type="dxa" w:w="100"/>
            </w:tcMar>
          </w:tcPr>
          <w:p>
            <w:pPr>
              <w:spacing w:after="20" w:before="20"/>
            </w:pPr>
            <w:r>
              <w:rPr>
                <w:sz w:val="19"/>
                <w:szCs w:val="19"/>
              </w:rPr>
              <w:t xml:space="preserve">Data protection law bites hardest and bites now</w:t>
            </w:r>
          </w:p>
        </w:tc>
      </w:tr>
    </w:tbl>
    <w:p>
      <w:pPr>
        <w:spacing w:after="80"/>
      </w:pPr>
    </w:p>
    <w:p>
      <w:pPr>
        <w:spacing w:after="100" w:before="240"/>
      </w:pPr>
      <w:r>
        <w:rPr>
          <w:b/>
          <w:bCs/>
          <w:color w:val="2E74B5"/>
          <w:sz w:val="24"/>
          <w:szCs w:val="24"/>
        </w:rPr>
        <w:t xml:space="preserve">Rows worth expanding</w:t>
      </w:r>
    </w:p>
    <w:p>
      <w:pPr>
        <w:spacing w:after="140"/>
        <w:jc w:val="both"/>
      </w:pPr>
      <w:r>
        <w:rPr>
          <w:b/>
          <w:bCs/>
        </w:rPr>
        <w:t xml:space="preserve">Row 3 - the exception people stretch.</w:t>
      </w:r>
      <w:r>
        <w:t xml:space="preserve"> The ban on inferring emotions is scoped to workplaces and education institutions, and it carries an express exception for systems intended for medical or safety reasons. A ward monitor watching patients for pain or delirium sits inside that exception. What the exception does </w:t>
      </w:r>
      <w:r>
        <w:rPr>
          <w:b/>
          <w:bCs/>
        </w:rPr>
        <w:t xml:space="preserve">not</w:t>
      </w:r>
      <w:r>
        <w:t xml:space="preserve"> do is remove the system from the Act: emotion recognition is on the high-risk list, and the duty to inform the people exposed to it is live now. Escaping question 1 is the start of the analysis, not the end of it.</w:t>
      </w:r>
    </w:p>
    <w:p>
      <w:pPr>
        <w:spacing w:after="140"/>
        <w:jc w:val="both"/>
      </w:pPr>
      <w:r>
        <w:rPr>
          <w:b/>
          <w:bCs/>
        </w:rPr>
        <w:t xml:space="preserve">Row 4 - the same technology, one floor away.</w:t>
      </w:r>
      <w:r>
        <w:t xml:space="preserve"> Point the same capability at nurses and call it burnout prevention, and it is inferring the emotions of people in the workplace. The medical exception is for systems intended for medical or safety reasons, not for workforce management wearing medical language. A genuine safety control - fatigue detection that triggers rest rather than ratings - is a real boundary question for counsel. A dashboard feeding rostering and performance conversations is not: it is the prohibited practice with a softer name. This document takes the protective reading, and says so.</w:t>
      </w:r>
    </w:p>
    <w:p>
      <w:pPr>
        <w:spacing w:after="140"/>
        <w:jc w:val="both"/>
      </w:pPr>
      <w:r>
        <w:rPr>
          <w:b/>
          <w:bCs/>
        </w:rPr>
        <w:t xml:space="preserve">Row 5 - the honest edge case.</w:t>
      </w:r>
      <w:r>
        <w:t xml:space="preserve"> The high-risk list covers systems that allocate tasks </w:t>
      </w:r>
      <w:r>
        <w:rPr>
          <w:b/>
          <w:bCs/>
        </w:rPr>
        <w:t xml:space="preserve">based on individual behaviour or personal traits or characteristics</w:t>
      </w:r>
      <w:r>
        <w:t xml:space="preserve">, and systems that monitor and evaluate performance. A rostering tool that solves for availability, contracted hours, skills and statutory rest is not obviously doing either. One that scores individual nurses on productivity or "reliability" and allocates the desirable shifts accordingly is squarely inside it. Nobody can classify this from the product name - somebody has to read what the optimiser actually optimises. That is the work, and it is why the record has an owner's name on it.</w:t>
      </w:r>
    </w:p>
    <w:p>
      <w:pPr>
        <w:spacing w:after="140"/>
        <w:jc w:val="both"/>
      </w:pPr>
      <w:r>
        <w:rPr>
          <w:b/>
          <w:bCs/>
        </w:rPr>
        <w:t xml:space="preserve">Row 8 - not banned, but not free.</w:t>
      </w:r>
      <w:r>
        <w:t xml:space="preserve"> Real-time remote biometric identification in public spaces is prohibited </w:t>
      </w:r>
      <w:r>
        <w:rPr>
          <w:b/>
          <w:bCs/>
        </w:rPr>
        <w:t xml:space="preserve">for law enforcement</w:t>
      </w:r>
      <w:r>
        <w:t xml:space="preserve"> purposes, outside narrow authorised cases. A hospital running its own security is not law enforcement, so the prohibition does not catch it. What does catch it: remote biometric identification is on the high-risk list, and data protection law governs biometric data today, with force. "Not banned" is a long way from "go ahead".</w:t>
      </w:r>
    </w:p>
    <w:p>
      <w:pPr>
        <w:spacing w:after="140"/>
        <w:jc w:val="both"/>
      </w:pPr>
      <w:r>
        <w:rPr>
          <w:b/>
          <w:bCs/>
        </w:rPr>
        <w:t xml:space="preserve">Rows 1, 2 and 7 together - intuition is not a classifier.</w:t>
      </w:r>
      <w:r>
        <w:t xml:space="preserve"> The radiology module and the emergency triage system sound like the most dangerous AI in the building. Both are permitted, both are high-risk, both have a date. The no-show predictor sounds trivial and is outside the tiers entirely. And the staff wellbeing dashboard - the one that sounded like a benefit - is the only illegal system on the list. Severity of consequence and legal classification are different axes. Walk the five questions; do not guess from how alarming a system sounds.</w:t>
      </w:r>
    </w:p>
    <w:p>
      <w:pPr>
        <w:pBdr>
          <w:bottom w:val="single" w:color="BFDBF0" w:sz="6"/>
        </w:pBdr>
        <w:spacing w:after="120" w:before="120"/>
      </w:pPr>
    </w:p>
    <w:p>
      <w:pPr>
        <w:spacing w:after="140" w:before="320"/>
      </w:pPr>
      <w:r>
        <w:rPr>
          <w:b/>
          <w:bCs/>
          <w:color w:val="1F4E79"/>
          <w:sz w:val="30"/>
          <w:szCs w:val="30"/>
        </w:rPr>
        <w:t xml:space="preserve">The blank record</w:t>
      </w:r>
    </w:p>
    <w:p>
      <w:pPr>
        <w:spacing w:after="140"/>
        <w:jc w:val="both"/>
      </w:pPr>
      <w:r>
        <w:t xml:space="preserve">Copy this per system. It is deliberately short - a record that takes an hour per system gets abandoned.</w:t>
      </w:r>
    </w:p>
    <w:p>
      <w:pPr>
        <w:spacing w:after="140"/>
        <w:jc w:val="both"/>
      </w:pPr>
      <w:r>
        <w:t xml:space="preserve">``` System name: What it actually does (one sentence): Who supplies it / did we build it: Our role:            provider / deployer Where it is used:    which country, which people</w:t>
      </w:r>
    </w:p>
    <w:p>
      <w:pPr>
        <w:spacing w:after="140"/>
        <w:jc w:val="both"/>
      </w:pPr>
      <w:r>
        <w:t xml:space="preserve">Q1  Banned use?                              yes / no      note: Q2  Safety part of a regulated product?      yes / no      note: Q3  On the high-risk list?                   yes / no      which item: If listed - does it profile people?      yes / no Q4  Talks to people / makes content / reads emotions?                          yes / no      what we disclose: Q5  Staff competent to use it?               yes / no      training:</w:t>
      </w:r>
    </w:p>
    <w:p>
      <w:pPr>
        <w:spacing w:after="140"/>
        <w:jc w:val="both"/>
      </w:pPr>
      <w:r>
        <w:t xml:space="preserve">OUTCOME:             banned / high-risk / no tier duties DUTIES LIVE TODAY: DUTIES BINDING FROM: (date) OWNER: NEXT REVIEW: ```</w:t>
      </w:r>
    </w:p>
    <w:p>
      <w:pPr>
        <w:spacing w:after="140"/>
        <w:jc w:val="both"/>
      </w:pPr>
      <w:r>
        <w:t xml:space="preserve">Two habits make the register worth keeping. </w:t>
      </w:r>
      <w:r>
        <w:rPr>
          <w:b/>
          <w:bCs/>
        </w:rPr>
        <w:t xml:space="preserve">Classify at approval, not at commencement</w:t>
      </w:r>
      <w:r>
        <w:t xml:space="preserve"> - the system you sign a three-year contract for today will still be running when its date arrives, and vendor readiness is a negotiating point now and a crisis later. And </w:t>
      </w:r>
      <w:r>
        <w:rPr>
          <w:b/>
          <w:bCs/>
        </w:rPr>
        <w:t xml:space="preserve">re-run the questions when the use changes</w:t>
      </w:r>
      <w:r>
        <w:t xml:space="preserve">, not when the software changes: the same tool pointed at a different group of people can move from unremarkable to illegal without a single line of code changing.</w:t>
      </w:r>
    </w:p>
    <w:p>
      <w:pPr>
        <w:pBdr>
          <w:bottom w:val="single" w:color="BFDBF0" w:sz="6"/>
        </w:pBdr>
        <w:spacing w:after="120" w:before="120"/>
      </w:pPr>
    </w:p>
    <w:p>
      <w:pPr>
        <w:spacing w:after="140"/>
        <w:jc w:val="both"/>
      </w:pPr>
      <w:r>
        <w:rPr>
          <w:i/>
          <w:iCs/>
          <w:color w:val="595959"/>
        </w:rPr>
        <w:t xml:space="preserve">Companion to Part 2 of the AI Governance Series. Educational material, not legal advice. Every classification above rests on provisions verified in the Part 2 research note against the consolidated Artificial Intelligence Act of 27 July 2026. Systems and organisations are invented for illustration. Have real classification decisions reviewed by qualified counsel.</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r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Your AI Systems - Worked Examples for a Bank and a Hospital</dc:title>
  <dc:creator>Narendra Karki</dc:creator>
  <dc:description>AI Governance Series - Part 2. Educational material, not legal advice.</dc:description>
  <cp:lastModifiedBy>Narendra Karki</cp:lastModifiedBy>
  <cp:revision>1</cp:revision>
  <dcterms:created xsi:type="dcterms:W3CDTF">2026-09-05T14:06:34.370Z</dcterms:created>
  <dcterms:modified xsi:type="dcterms:W3CDTF">2026-09-05T14:06:34.386Z</dcterms:modified>
</cp:coreProperties>
</file>

<file path=docProps/custom.xml><?xml version="1.0" encoding="utf-8"?>
<Properties xmlns="http://schemas.openxmlformats.org/officeDocument/2006/custom-properties" xmlns:vt="http://schemas.openxmlformats.org/officeDocument/2006/docPropsVTypes"/>
</file>