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b/>
          <w:bCs/>
          <w:color w:val="1F4D78"/>
        </w:rPr>
        <w:t xml:space="preserve">AI Governance - Enterprise Annex - Canada</w:t>
      </w:r>
    </w:p>
    <w:p>
      <w:pPr>
        <w:pStyle w:val="Heading2"/>
        <w:spacing w:after="100" w:before="200"/>
      </w:pPr>
      <w:r>
        <w:rPr>
          <w:color w:val="2E74B5"/>
        </w:rPr>
        <w:t xml:space="preserve">Operating two privacy regimes, the automated-decision determination and the incident duties across the AI portfolio</w:t>
      </w:r>
    </w:p>
    <w:p>
      <w:pPr>
        <w:spacing w:after="120"/>
      </w:pPr>
      <w:r>
        <w:rPr>
          <w:b/>
          <w:bCs/>
        </w:rPr>
        <w:t xml:space="preserve">Organisation:</w:t>
      </w:r>
      <w:r>
        <w:t xml:space="preserve"> [ORGANISATION]</w:t>
      </w:r>
    </w:p>
    <w:p>
      <w:pPr>
        <w:spacing w:after="120"/>
      </w:pPr>
      <w:r>
        <w:rPr>
          <w:b/>
          <w:bCs/>
        </w:rPr>
        <w:t xml:space="preserve">Effective date:</w:t>
      </w:r>
      <w:r>
        <w:t xml:space="preserve"> [DATE] </w:t>
      </w:r>
      <w:r>
        <w:rPr>
          <w:b/>
          <w:bCs/>
        </w:rPr>
        <w:t xml:space="preserve">Version:</w:t>
      </w:r>
      <w:r>
        <w:t xml:space="preserve"> 1.0</w:t>
      </w:r>
    </w:p>
    <w:p>
      <w:pPr>
        <w:spacing w:after="120"/>
      </w:pPr>
      <w:r>
        <w:rPr>
          <w:b/>
          <w:bCs/>
        </w:rPr>
        <w:t xml:space="preserve">Owner:</w:t>
      </w:r>
      <w:r>
        <w:t xml:space="preserve"> [Accountable executive for AI] </w:t>
      </w:r>
      <w:r>
        <w:rPr>
          <w:b/>
          <w:bCs/>
        </w:rPr>
        <w:t xml:space="preserve">Privacy lead:</w:t>
      </w:r>
      <w:r>
        <w:t xml:space="preserve"> [Person in charge of the protection of personal information]</w:t>
      </w:r>
    </w:p>
    <w:p>
      <w:pPr>
        <w:spacing w:after="120"/>
      </w:pPr>
      <w:r>
        <w:rPr>
          <w:b/>
          <w:bCs/>
        </w:rPr>
        <w:t xml:space="preserve">Classification:</w:t>
      </w:r>
      <w:r>
        <w:t xml:space="preserve"> Internal</w:t>
      </w:r>
    </w:p>
    <w:p>
      <w:pPr>
        <w:spacing w:after="120"/>
      </w:pPr>
      <w:r>
        <w:rPr>
          <w:b/>
          <w:bCs/>
        </w:rPr>
        <w:t xml:space="preserve">Companion to:</w:t>
      </w:r>
      <w:r>
        <w:t xml:space="preserve"> Artificial Intelligence Acceptable Use Policy - Canada (policy clause references below are to that document)</w:t>
      </w:r>
    </w:p>
    <w:p>
      <w:pPr>
        <w:pStyle w:val="Heading1"/>
        <w:spacing w:after="120" w:before="280"/>
      </w:pPr>
      <w:r>
        <w:rPr>
          <w:color w:val="2E74B5"/>
        </w:rPr>
        <w:t xml:space="preserve">A1. Governance structure and accountability</w:t>
      </w:r>
    </w:p>
    <w:p>
      <w:pPr>
        <w:spacing w:after="120"/>
      </w:pPr>
      <w:r>
        <w:t xml:space="preserve">A1.1 [ORGANISATION] is responsible for personal information under its control, including information transferred to third parties for processing. Accountability for compliance rests with a designated individual, whose identity is made known on request; in Quebec that person is the person exercising the highest authority, who may delegate in writing, and whose title and contact information are published. [ORGANISATION] has one person in charge for both regimes: [title].</w:t>
      </w:r>
    </w:p>
    <w:p>
      <w:pPr>
        <w:spacing w:after="120"/>
      </w:pPr>
      <w:r>
        <w:t xml:space="preserve">A1.2 The </w:t>
      </w:r>
      <w:r>
        <w:rPr>
          <w:b/>
          <w:bCs/>
        </w:rPr>
        <w:t xml:space="preserve">AI Governance Committee</w:t>
      </w:r>
      <w:r>
        <w:t xml:space="preserve"> comprises the accountable executive (chair), the person in charge, the CISO, [Legal], [Risk] and the business owners of Level 3 and Level 4 systems. It approves Level 4 uses, owns the policy and this annex, reviews the AI register quarterly, receives the monitoring and incident reports at A9, and reviews approval and override rates on Level 4 decisions.</w:t>
      </w:r>
    </w:p>
    <w:p>
      <w:pPr>
        <w:spacing w:after="120"/>
      </w:pPr>
      <w:r>
        <w:t xml:space="preserve">A1.3 The </w:t>
      </w:r>
      <w:r>
        <w:rPr>
          <w:b/>
          <w:bCs/>
        </w:rPr>
        <w:t xml:space="preserve">person in charge</w:t>
      </w:r>
      <w:r>
        <w:t xml:space="preserve"> approves Level 3 uses, owns privacy impact assessments, is consulted from the outset of every project to acquire, develop or overhaul a system involving personal information, holds the clause 12 determinations, is consulted on every incident risk assessment, and is the contact for complaints and requests.</w:t>
      </w:r>
    </w:p>
    <w:p>
      <w:pPr>
        <w:spacing w:after="120"/>
      </w:pPr>
      <w:r>
        <w:t xml:space="preserve">A1.4 Every AI system has a </w:t>
      </w:r>
      <w:r>
        <w:rPr>
          <w:b/>
          <w:bCs/>
        </w:rPr>
        <w:t xml:space="preserve">named accountable person</w:t>
      </w:r>
      <w:r>
        <w:t xml:space="preserve"> who owns its register entry, its assessments, testing and monitoring. Where a system involves several parties (supplier, model developer, integrator), the register records who is responsible for each part of the supply chain.</w:t>
      </w:r>
    </w:p>
    <w:p>
      <w:pPr>
        <w:spacing w:after="120"/>
      </w:pPr>
      <w:r>
        <w:t xml:space="preserve">A1.5 This policy and annex are the policies and practices that give effect to the privacy principles for AI: procedures to protect personal information, to receive and respond to complaints, to train staff, and to explain the organisation's practices.</w:t>
      </w:r>
    </w:p>
    <w:p>
      <w:pPr>
        <w:pStyle w:val="Heading1"/>
        <w:spacing w:after="120" w:before="280"/>
      </w:pPr>
      <w:r>
        <w:rPr>
          <w:color w:val="2E74B5"/>
        </w:rPr>
        <w:t xml:space="preserve">A2. AI system inventory: the register</w:t>
      </w:r>
    </w:p>
    <w:p>
      <w:pPr>
        <w:spacing w:after="120"/>
      </w:pPr>
      <w:r>
        <w:t xml:space="preserve">A2.1 The AI register lists every AI system in use or under evaluation, including AI embedded in procured products and AI features enabled inside approved products. An AI feature switched on is a new entry.</w:t>
      </w:r>
    </w:p>
    <w:p>
      <w:pPr>
        <w:spacing w:after="120"/>
      </w:pPr>
      <w:r>
        <w:t xml:space="preserve">A2.2 Each entry records: system and supplier; purpose and business owner; accountable person; level of use; the personal information used and its sensitivity; the legal authority for each collection, use and disclosure (the identified purpose, the consent obtained and its form, or the exception relied on); whether the system generates or infers personal information; whether it identifies, locates or profiles people, and whether those functions are off by default; where data is processed and stored, and whether it leaves Quebec or Canada; the supplier's rights over inputs and outputs; the clause 12 determination; the privacy impact assessment and, for Level 4, the algorithmic impact assessment; testing and monitoring; retention periods; supply-chain accountabilities; and whether the system is customer-facing or reaches minors.</w:t>
      </w:r>
    </w:p>
    <w:p>
      <w:pPr>
        <w:spacing w:after="120"/>
      </w:pPr>
      <w:r>
        <w:t xml:space="preserve">A2.3 The register is the source of the openness statements at policy clause 8 and of the quarterly review. Material changes reopen approval.</w:t>
      </w:r>
    </w:p>
    <w:p>
      <w:pPr>
        <w:pStyle w:val="Heading1"/>
        <w:spacing w:after="120" w:before="280"/>
      </w:pPr>
      <w:r>
        <w:rPr>
          <w:color w:val="2E74B5"/>
        </w:rPr>
        <w:t xml:space="preserve">A3. Regime-readiness register</w:t>
      </w:r>
    </w:p>
    <w:p>
      <w:pPr>
        <w:spacing w:after="120"/>
      </w:pPr>
      <w:r>
        <w:t xml:space="preserve">A3.1 The set relies on nothing in Bill C-36. This register tracks what would change if it were enacted, and the items that remain 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DEEAF6" w:color="auto" w:val="clear"/>
            <w:tcMar>
              <w:top w:type="dxa" w:w="60"/>
              <w:left w:type="dxa" w:w="100"/>
              <w:bottom w:type="dxa" w:w="60"/>
              <w:right w:type="dxa" w:w="100"/>
            </w:tcMar>
          </w:tcPr>
          <w:p>
            <w:r>
              <w:rPr>
                <w:b/>
                <w:bCs/>
                <w:sz w:val="18"/>
                <w:szCs w:val="18"/>
              </w:rPr>
              <w:t xml:space="preserve">Item</w:t>
            </w:r>
          </w:p>
        </w:tc>
        <w:tc>
          <w:tcPr>
            <w:tcW w:type="dxa" w:w="2340"/>
            <w:shd w:fill="DEEAF6" w:color="auto" w:val="clear"/>
            <w:tcMar>
              <w:top w:type="dxa" w:w="60"/>
              <w:left w:type="dxa" w:w="100"/>
              <w:bottom w:type="dxa" w:w="60"/>
              <w:right w:type="dxa" w:w="100"/>
            </w:tcMar>
          </w:tcPr>
          <w:p>
            <w:r>
              <w:rPr>
                <w:b/>
                <w:bCs/>
                <w:sz w:val="18"/>
                <w:szCs w:val="18"/>
              </w:rPr>
              <w:t xml:space="preserve">Source</w:t>
            </w:r>
          </w:p>
        </w:tc>
        <w:tc>
          <w:tcPr>
            <w:tcW w:type="dxa" w:w="2340"/>
            <w:shd w:fill="DEEAF6" w:color="auto" w:val="clear"/>
            <w:tcMar>
              <w:top w:type="dxa" w:w="60"/>
              <w:left w:type="dxa" w:w="100"/>
              <w:bottom w:type="dxa" w:w="60"/>
              <w:right w:type="dxa" w:w="100"/>
            </w:tcMar>
          </w:tcPr>
          <w:p>
            <w:r>
              <w:rPr>
                <w:b/>
                <w:bCs/>
                <w:sz w:val="18"/>
                <w:szCs w:val="18"/>
              </w:rPr>
              <w:t xml:space="preserve">Status</w:t>
            </w:r>
          </w:p>
        </w:tc>
        <w:tc>
          <w:tcPr>
            <w:tcW w:type="dxa" w:w="2340"/>
            <w:shd w:fill="DEEAF6" w:color="auto" w:val="clear"/>
            <w:tcMar>
              <w:top w:type="dxa" w:w="60"/>
              <w:left w:type="dxa" w:w="100"/>
              <w:bottom w:type="dxa" w:w="60"/>
              <w:right w:type="dxa" w:w="100"/>
            </w:tcMar>
          </w:tcPr>
          <w:p>
            <w:r>
              <w:rPr>
                <w:b/>
                <w:bCs/>
                <w:sz w:val="18"/>
                <w:szCs w:val="18"/>
              </w:rPr>
              <w:t xml:space="preserve">Owner</w:t>
            </w:r>
          </w:p>
        </w:tc>
      </w:tr>
      <w:tr>
        <w:trPr>
          <w:tblHeader w:val="false"/>
        </w:trPr>
        <w:tc>
          <w:tcPr>
            <w:tcW w:type="dxa" w:w="2340"/>
            <w:tcMar>
              <w:top w:type="dxa" w:w="60"/>
              <w:left w:type="dxa" w:w="100"/>
              <w:bottom w:type="dxa" w:w="60"/>
              <w:right w:type="dxa" w:w="100"/>
            </w:tcMar>
          </w:tcPr>
          <w:p>
            <w:r>
              <w:rPr>
                <w:b w:val="false"/>
                <w:bCs w:val="false"/>
                <w:sz w:val="18"/>
                <w:szCs w:val="18"/>
              </w:rPr>
              <w:t xml:space="preserve">Bill C-36 progress: second reading, committee, Senate, Royal Assent, coming-into-force order</w:t>
            </w:r>
          </w:p>
        </w:tc>
        <w:tc>
          <w:tcPr>
            <w:tcW w:type="dxa" w:w="2340"/>
            <w:tcMar>
              <w:top w:type="dxa" w:w="60"/>
              <w:left w:type="dxa" w:w="100"/>
              <w:bottom w:type="dxa" w:w="60"/>
              <w:right w:type="dxa" w:w="100"/>
            </w:tcMar>
          </w:tcPr>
          <w:p>
            <w:r>
              <w:rPr>
                <w:b w:val="false"/>
                <w:bCs w:val="false"/>
                <w:sz w:val="18"/>
                <w:szCs w:val="18"/>
              </w:rPr>
              <w:t xml:space="preserve">Parliament of Canada</w:t>
            </w:r>
          </w:p>
        </w:tc>
        <w:tc>
          <w:tcPr>
            <w:tcW w:type="dxa" w:w="2340"/>
            <w:tcMar>
              <w:top w:type="dxa" w:w="60"/>
              <w:left w:type="dxa" w:w="100"/>
              <w:bottom w:type="dxa" w:w="60"/>
              <w:right w:type="dxa" w:w="100"/>
            </w:tcMar>
          </w:tcPr>
          <w:p>
            <w:r>
              <w:rPr>
                <w:b w:val="false"/>
                <w:bCs w:val="false"/>
                <w:sz w:val="18"/>
                <w:szCs w:val="18"/>
              </w:rPr>
              <w:t xml:space="preserve">First reading 15 June 2026; monitored</w:t>
            </w:r>
          </w:p>
        </w:tc>
        <w:tc>
          <w:tcPr>
            <w:tcW w:type="dxa" w:w="2340"/>
            <w:tcMar>
              <w:top w:type="dxa" w:w="60"/>
              <w:left w:type="dxa" w:w="100"/>
              <w:bottom w:type="dxa" w:w="60"/>
              <w:right w:type="dxa" w:w="100"/>
            </w:tcMar>
          </w:tcPr>
          <w:p>
            <w:r>
              <w:rPr>
                <w:b w:val="false"/>
                <w:bCs w:val="false"/>
                <w:sz w:val="18"/>
                <w:szCs w:val="18"/>
              </w:rPr>
              <w:t xml:space="preserve">[Legal]</w:t>
            </w:r>
          </w:p>
        </w:tc>
      </w:tr>
      <w:tr>
        <w:trPr>
          <w:tblHeader w:val="false"/>
        </w:trPr>
        <w:tc>
          <w:tcPr>
            <w:tcW w:type="dxa" w:w="2340"/>
            <w:tcMar>
              <w:top w:type="dxa" w:w="60"/>
              <w:left w:type="dxa" w:w="100"/>
              <w:bottom w:type="dxa" w:w="60"/>
              <w:right w:type="dxa" w:w="100"/>
            </w:tcMar>
          </w:tcPr>
          <w:p>
            <w:r>
              <w:rPr>
                <w:b w:val="false"/>
                <w:bCs w:val="false"/>
                <w:sz w:val="18"/>
                <w:szCs w:val="18"/>
              </w:rPr>
              <w:t xml:space="preserve">If enacted: policy clause 13.2 (explanation and representations for substantially automated decisions) becomes a duty rather than a house standard; the public policies at clause 8 must give a general account of automated decision system use</w:t>
            </w:r>
          </w:p>
        </w:tc>
        <w:tc>
          <w:tcPr>
            <w:tcW w:type="dxa" w:w="2340"/>
            <w:tcMar>
              <w:top w:type="dxa" w:w="60"/>
              <w:left w:type="dxa" w:w="100"/>
              <w:bottom w:type="dxa" w:w="60"/>
              <w:right w:type="dxa" w:w="100"/>
            </w:tcMar>
          </w:tcPr>
          <w:p>
            <w:r>
              <w:rPr>
                <w:b w:val="false"/>
                <w:bCs w:val="false"/>
                <w:sz w:val="18"/>
                <w:szCs w:val="18"/>
              </w:rPr>
              <w:t xml:space="preserve">Bill C-36 as introduced</w:t>
            </w:r>
          </w:p>
        </w:tc>
        <w:tc>
          <w:tcPr>
            <w:tcW w:type="dxa" w:w="2340"/>
            <w:tcMar>
              <w:top w:type="dxa" w:w="60"/>
              <w:left w:type="dxa" w:w="100"/>
              <w:bottom w:type="dxa" w:w="60"/>
              <w:right w:type="dxa" w:w="100"/>
            </w:tcMar>
          </w:tcPr>
          <w:p>
            <w:r>
              <w:rPr>
                <w:b w:val="false"/>
                <w:bCs w:val="false"/>
                <w:sz w:val="18"/>
                <w:szCs w:val="18"/>
              </w:rPr>
              <w:t xml:space="preserve">Pending</w:t>
            </w:r>
          </w:p>
        </w:tc>
        <w:tc>
          <w:tcPr>
            <w:tcW w:type="dxa" w:w="2340"/>
            <w:tcMar>
              <w:top w:type="dxa" w:w="60"/>
              <w:left w:type="dxa" w:w="100"/>
              <w:bottom w:type="dxa" w:w="60"/>
              <w:right w:type="dxa" w:w="100"/>
            </w:tcMar>
          </w:tcPr>
          <w:p>
            <w:r>
              <w:rPr>
                <w:b w:val="false"/>
                <w:bCs w:val="false"/>
                <w:sz w:val="18"/>
                <w:szCs w:val="18"/>
              </w:rPr>
              <w:t xml:space="preserve">Person in charge</w:t>
            </w:r>
          </w:p>
        </w:tc>
      </w:tr>
      <w:tr>
        <w:trPr>
          <w:tblHeader w:val="false"/>
        </w:trPr>
        <w:tc>
          <w:tcPr>
            <w:tcW w:type="dxa" w:w="2340"/>
            <w:tcMar>
              <w:top w:type="dxa" w:w="60"/>
              <w:left w:type="dxa" w:w="100"/>
              <w:bottom w:type="dxa" w:w="60"/>
              <w:right w:type="dxa" w:w="100"/>
            </w:tcMar>
          </w:tcPr>
          <w:p>
            <w:r>
              <w:rPr>
                <w:b w:val="false"/>
                <w:bCs w:val="false"/>
                <w:sz w:val="18"/>
                <w:szCs w:val="18"/>
              </w:rPr>
              <w:t xml:space="preserve">If enacted: appropriate-purposes factors (necessity, effectiveness, less intrusive means, proportionality) become statutory; clause 17 already applies them</w:t>
            </w:r>
          </w:p>
        </w:tc>
        <w:tc>
          <w:tcPr>
            <w:tcW w:type="dxa" w:w="2340"/>
            <w:tcMar>
              <w:top w:type="dxa" w:w="60"/>
              <w:left w:type="dxa" w:w="100"/>
              <w:bottom w:type="dxa" w:w="60"/>
              <w:right w:type="dxa" w:w="100"/>
            </w:tcMar>
          </w:tcPr>
          <w:p>
            <w:r>
              <w:rPr>
                <w:b w:val="false"/>
                <w:bCs w:val="false"/>
                <w:sz w:val="18"/>
                <w:szCs w:val="18"/>
              </w:rPr>
              <w:t xml:space="preserve">Bill C-36 as introduced</w:t>
            </w:r>
          </w:p>
        </w:tc>
        <w:tc>
          <w:tcPr>
            <w:tcW w:type="dxa" w:w="2340"/>
            <w:tcMar>
              <w:top w:type="dxa" w:w="60"/>
              <w:left w:type="dxa" w:w="100"/>
              <w:bottom w:type="dxa" w:w="60"/>
              <w:right w:type="dxa" w:w="100"/>
            </w:tcMar>
          </w:tcPr>
          <w:p>
            <w:r>
              <w:rPr>
                <w:b w:val="false"/>
                <w:bCs w:val="false"/>
                <w:sz w:val="18"/>
                <w:szCs w:val="18"/>
              </w:rPr>
              <w:t xml:space="preserve">Pending</w:t>
            </w:r>
          </w:p>
        </w:tc>
        <w:tc>
          <w:tcPr>
            <w:tcW w:type="dxa" w:w="2340"/>
            <w:tcMar>
              <w:top w:type="dxa" w:w="60"/>
              <w:left w:type="dxa" w:w="100"/>
              <w:bottom w:type="dxa" w:w="60"/>
              <w:right w:type="dxa" w:w="100"/>
            </w:tcMar>
          </w:tcPr>
          <w:p>
            <w:r>
              <w:rPr>
                <w:b w:val="false"/>
                <w:bCs w:val="false"/>
                <w:sz w:val="18"/>
                <w:szCs w:val="18"/>
              </w:rPr>
              <w:t xml:space="preserve">Person in charge</w:t>
            </w:r>
          </w:p>
        </w:tc>
      </w:tr>
      <w:tr>
        <w:trPr>
          <w:tblHeader w:val="false"/>
        </w:trPr>
        <w:tc>
          <w:tcPr>
            <w:tcW w:type="dxa" w:w="2340"/>
            <w:tcMar>
              <w:top w:type="dxa" w:w="60"/>
              <w:left w:type="dxa" w:w="100"/>
              <w:bottom w:type="dxa" w:w="60"/>
              <w:right w:type="dxa" w:w="100"/>
            </w:tcMar>
          </w:tcPr>
          <w:p>
            <w:r>
              <w:rPr>
                <w:b w:val="false"/>
                <w:bCs w:val="false"/>
                <w:sz w:val="18"/>
                <w:szCs w:val="18"/>
              </w:rPr>
              <w:t xml:space="preserve">Consolidated Quebec P-39.1 text (Légis Québec) added to the source register for the "updated to" date</w:t>
            </w:r>
          </w:p>
        </w:tc>
        <w:tc>
          <w:tcPr>
            <w:tcW w:type="dxa" w:w="2340"/>
            <w:tcMar>
              <w:top w:type="dxa" w:w="60"/>
              <w:left w:type="dxa" w:w="100"/>
              <w:bottom w:type="dxa" w:w="60"/>
              <w:right w:type="dxa" w:w="100"/>
            </w:tcMar>
          </w:tcPr>
          <w:p>
            <w:r>
              <w:rPr>
                <w:b w:val="false"/>
                <w:bCs w:val="false"/>
                <w:sz w:val="18"/>
                <w:szCs w:val="18"/>
              </w:rPr>
              <w:t xml:space="preserve">Source register</w:t>
            </w:r>
          </w:p>
        </w:tc>
        <w:tc>
          <w:tcPr>
            <w:tcW w:type="dxa" w:w="2340"/>
            <w:tcMar>
              <w:top w:type="dxa" w:w="60"/>
              <w:left w:type="dxa" w:w="100"/>
              <w:bottom w:type="dxa" w:w="60"/>
              <w:right w:type="dxa" w:w="100"/>
            </w:tcMar>
          </w:tcPr>
          <w:p>
            <w:r>
              <w:rPr>
                <w:b w:val="false"/>
                <w:bCs w:val="false"/>
                <w:sz w:val="18"/>
                <w:szCs w:val="18"/>
              </w:rPr>
              <w:t xml:space="preserve">Site unavailable at build; open</w:t>
            </w:r>
          </w:p>
        </w:tc>
        <w:tc>
          <w:tcPr>
            <w:tcW w:type="dxa" w:w="2340"/>
            <w:tcMar>
              <w:top w:type="dxa" w:w="60"/>
              <w:left w:type="dxa" w:w="100"/>
              <w:bottom w:type="dxa" w:w="60"/>
              <w:right w:type="dxa" w:w="100"/>
            </w:tcMar>
          </w:tcPr>
          <w:p>
            <w:r>
              <w:rPr>
                <w:b w:val="false"/>
                <w:bCs w:val="false"/>
                <w:sz w:val="18"/>
                <w:szCs w:val="18"/>
              </w:rPr>
              <w:t xml:space="preserve">Person in charge</w:t>
            </w:r>
          </w:p>
        </w:tc>
      </w:tr>
      <w:tr>
        <w:trPr>
          <w:tblHeader w:val="false"/>
        </w:trPr>
        <w:tc>
          <w:tcPr>
            <w:tcW w:type="dxa" w:w="2340"/>
            <w:tcMar>
              <w:top w:type="dxa" w:w="60"/>
              <w:left w:type="dxa" w:w="100"/>
              <w:bottom w:type="dxa" w:w="60"/>
              <w:right w:type="dxa" w:w="100"/>
            </w:tcMar>
          </w:tcPr>
          <w:p>
            <w:r>
              <w:rPr>
                <w:b w:val="false"/>
                <w:bCs w:val="false"/>
                <w:sz w:val="18"/>
                <w:szCs w:val="18"/>
              </w:rPr>
              <w:t xml:space="preserve">Regulations under both Acts on breach records, incident notices and publicly available information</w:t>
            </w:r>
          </w:p>
        </w:tc>
        <w:tc>
          <w:tcPr>
            <w:tcW w:type="dxa" w:w="2340"/>
            <w:tcMar>
              <w:top w:type="dxa" w:w="60"/>
              <w:left w:type="dxa" w:w="100"/>
              <w:bottom w:type="dxa" w:w="60"/>
              <w:right w:type="dxa" w:w="100"/>
            </w:tcMar>
          </w:tcPr>
          <w:p>
            <w:r>
              <w:rPr>
                <w:b w:val="false"/>
                <w:bCs w:val="false"/>
                <w:sz w:val="18"/>
                <w:szCs w:val="18"/>
              </w:rPr>
              <w:t xml:space="preserve">Source register</w:t>
            </w:r>
          </w:p>
        </w:tc>
        <w:tc>
          <w:tcPr>
            <w:tcW w:type="dxa" w:w="2340"/>
            <w:tcMar>
              <w:top w:type="dxa" w:w="60"/>
              <w:left w:type="dxa" w:w="100"/>
              <w:bottom w:type="dxa" w:w="60"/>
              <w:right w:type="dxa" w:w="100"/>
            </w:tcMar>
          </w:tcPr>
          <w:p>
            <w:r>
              <w:rPr>
                <w:b w:val="false"/>
                <w:bCs w:val="false"/>
                <w:sz w:val="18"/>
                <w:szCs w:val="18"/>
              </w:rPr>
              <w:t xml:space="preserve">Not held; open</w:t>
            </w:r>
          </w:p>
        </w:tc>
        <w:tc>
          <w:tcPr>
            <w:tcW w:type="dxa" w:w="2340"/>
            <w:tcMar>
              <w:top w:type="dxa" w:w="60"/>
              <w:left w:type="dxa" w:w="100"/>
              <w:bottom w:type="dxa" w:w="60"/>
              <w:right w:type="dxa" w:w="100"/>
            </w:tcMar>
          </w:tcPr>
          <w:p>
            <w:r>
              <w:rPr>
                <w:b w:val="false"/>
                <w:bCs w:val="false"/>
                <w:sz w:val="18"/>
                <w:szCs w:val="18"/>
              </w:rPr>
              <w:t xml:space="preserve">[Legal]</w:t>
            </w:r>
          </w:p>
        </w:tc>
      </w:tr>
      <w:tr>
        <w:trPr>
          <w:tblHeader w:val="false"/>
        </w:trPr>
        <w:tc>
          <w:tcPr>
            <w:tcW w:type="dxa" w:w="2340"/>
            <w:tcMar>
              <w:top w:type="dxa" w:w="60"/>
              <w:left w:type="dxa" w:w="100"/>
              <w:bottom w:type="dxa" w:w="60"/>
              <w:right w:type="dxa" w:w="100"/>
            </w:tcMar>
          </w:tcPr>
          <w:p>
            <w:r>
              <w:rPr>
                <w:b w:val="false"/>
                <w:bCs w:val="false"/>
                <w:sz w:val="18"/>
                <w:szCs w:val="18"/>
              </w:rPr>
              <w:t xml:space="preserve">Alberta and British Columbia Acts, where [ORGANISATION] has staff or customers there</w:t>
            </w:r>
          </w:p>
        </w:tc>
        <w:tc>
          <w:tcPr>
            <w:tcW w:type="dxa" w:w="2340"/>
            <w:tcMar>
              <w:top w:type="dxa" w:w="60"/>
              <w:left w:type="dxa" w:w="100"/>
              <w:bottom w:type="dxa" w:w="60"/>
              <w:right w:type="dxa" w:w="100"/>
            </w:tcMar>
          </w:tcPr>
          <w:p>
            <w:r>
              <w:rPr>
                <w:b w:val="false"/>
                <w:bCs w:val="false"/>
                <w:sz w:val="18"/>
                <w:szCs w:val="18"/>
              </w:rPr>
              <w:t xml:space="preserve">Policy clause 22</w:t>
            </w:r>
          </w:p>
        </w:tc>
        <w:tc>
          <w:tcPr>
            <w:tcW w:type="dxa" w:w="2340"/>
            <w:tcMar>
              <w:top w:type="dxa" w:w="60"/>
              <w:left w:type="dxa" w:w="100"/>
              <w:bottom w:type="dxa" w:w="60"/>
              <w:right w:type="dxa" w:w="100"/>
            </w:tcMar>
          </w:tcPr>
          <w:p>
            <w:r>
              <w:rPr>
                <w:b w:val="false"/>
                <w:bCs w:val="false"/>
                <w:sz w:val="18"/>
                <w:szCs w:val="18"/>
              </w:rPr>
              <w:t xml:space="preserve">Not held; open</w:t>
            </w:r>
          </w:p>
        </w:tc>
        <w:tc>
          <w:tcPr>
            <w:tcW w:type="dxa" w:w="2340"/>
            <w:tcMar>
              <w:top w:type="dxa" w:w="60"/>
              <w:left w:type="dxa" w:w="100"/>
              <w:bottom w:type="dxa" w:w="60"/>
              <w:right w:type="dxa" w:w="100"/>
            </w:tcMar>
          </w:tcPr>
          <w:p>
            <w:r>
              <w:rPr>
                <w:b w:val="false"/>
                <w:bCs w:val="false"/>
                <w:sz w:val="18"/>
                <w:szCs w:val="18"/>
              </w:rPr>
              <w:t xml:space="preserve">[Legal]</w:t>
            </w:r>
          </w:p>
        </w:tc>
      </w:tr>
    </w:tbl>
    <w:p>
      <w:pPr>
        <w:spacing w:after="120"/>
      </w:pPr>
    </w:p>
    <w:p>
      <w:pPr>
        <w:pStyle w:val="Heading1"/>
        <w:spacing w:after="120" w:before="280"/>
      </w:pPr>
      <w:r>
        <w:rPr>
          <w:color w:val="2E74B5"/>
        </w:rPr>
        <w:t xml:space="preserve">A4. The automated-decision determination in operation</w:t>
      </w:r>
    </w:p>
    <w:p>
      <w:pPr>
        <w:spacing w:after="120"/>
      </w:pPr>
      <w:r>
        <w:t xml:space="preserve">A4.1 For every system bearing on a decision about a person, the accountable person records the two-limb determination at policy clause 12: exclusively automated (Quebec duty), or substantially contributed to (house standard), or neither.</w:t>
      </w:r>
    </w:p>
    <w:p>
      <w:pPr>
        <w:spacing w:after="120"/>
      </w:pPr>
      <w:r>
        <w:t xml:space="preserve">A4.2 The determination is made on the use, not the tool, and on how the decision is actually made, not how the process is described. A person who signs what the system proposes without the information, time or authority to decide otherwise is not exercising judgment, and the decision is recorded as exclusively automated.</w:t>
      </w:r>
    </w:p>
    <w:p>
      <w:pPr>
        <w:spacing w:after="120"/>
      </w:pPr>
      <w:r>
        <w:t xml:space="preserve">A4.3 </w:t>
      </w:r>
      <w:r>
        <w:rPr>
          <w:b/>
          <w:bCs/>
        </w:rPr>
        <w:t xml:space="preserve">Worked entries</w:t>
      </w:r>
      <w:r>
        <w:t xml:space="preserve"> (illustrative):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DEEAF6" w:color="auto" w:val="clear"/>
            <w:tcMar>
              <w:top w:type="dxa" w:w="60"/>
              <w:left w:type="dxa" w:w="100"/>
              <w:bottom w:type="dxa" w:w="60"/>
              <w:right w:type="dxa" w:w="100"/>
            </w:tcMar>
          </w:tcPr>
          <w:p>
            <w:r>
              <w:rPr>
                <w:b/>
                <w:bCs/>
                <w:sz w:val="18"/>
                <w:szCs w:val="18"/>
              </w:rPr>
              <w:t xml:space="preserve">System and use</w:t>
            </w:r>
          </w:p>
        </w:tc>
        <w:tc>
          <w:tcPr>
            <w:tcW w:type="dxa" w:w="2340"/>
            <w:shd w:fill="DEEAF6" w:color="auto" w:val="clear"/>
            <w:tcMar>
              <w:top w:type="dxa" w:w="60"/>
              <w:left w:type="dxa" w:w="100"/>
              <w:bottom w:type="dxa" w:w="60"/>
              <w:right w:type="dxa" w:w="100"/>
            </w:tcMar>
          </w:tcPr>
          <w:p>
            <w:r>
              <w:rPr>
                <w:b/>
                <w:bCs/>
                <w:sz w:val="18"/>
                <w:szCs w:val="18"/>
              </w:rPr>
              <w:t xml:space="preserve">Exclusively automated?</w:t>
            </w:r>
          </w:p>
        </w:tc>
        <w:tc>
          <w:tcPr>
            <w:tcW w:type="dxa" w:w="2340"/>
            <w:shd w:fill="DEEAF6" w:color="auto" w:val="clear"/>
            <w:tcMar>
              <w:top w:type="dxa" w:w="60"/>
              <w:left w:type="dxa" w:w="100"/>
              <w:bottom w:type="dxa" w:w="60"/>
              <w:right w:type="dxa" w:w="100"/>
            </w:tcMar>
          </w:tcPr>
          <w:p>
            <w:r>
              <w:rPr>
                <w:b/>
                <w:bCs/>
                <w:sz w:val="18"/>
                <w:szCs w:val="18"/>
              </w:rPr>
              <w:t xml:space="preserve">Substantially contributes?</w:t>
            </w:r>
          </w:p>
        </w:tc>
        <w:tc>
          <w:tcPr>
            <w:tcW w:type="dxa" w:w="2340"/>
            <w:shd w:fill="DEEAF6" w:color="auto" w:val="clear"/>
            <w:tcMar>
              <w:top w:type="dxa" w:w="60"/>
              <w:left w:type="dxa" w:w="100"/>
              <w:bottom w:type="dxa" w:w="60"/>
              <w:right w:type="dxa" w:w="100"/>
            </w:tcMar>
          </w:tcPr>
          <w:p>
            <w:r>
              <w:rPr>
                <w:b/>
                <w:bCs/>
                <w:sz w:val="18"/>
                <w:szCs w:val="18"/>
              </w:rPr>
              <w:t xml:space="preserve">Outcome</w:t>
            </w:r>
          </w:p>
        </w:tc>
      </w:tr>
      <w:tr>
        <w:trPr>
          <w:tblHeader w:val="false"/>
        </w:trPr>
        <w:tc>
          <w:tcPr>
            <w:tcW w:type="dxa" w:w="2340"/>
            <w:tcMar>
              <w:top w:type="dxa" w:w="60"/>
              <w:left w:type="dxa" w:w="100"/>
              <w:bottom w:type="dxa" w:w="60"/>
              <w:right w:type="dxa" w:w="100"/>
            </w:tcMar>
          </w:tcPr>
          <w:p>
            <w:r>
              <w:rPr>
                <w:b w:val="false"/>
                <w:bCs w:val="false"/>
                <w:sz w:val="18"/>
                <w:szCs w:val="18"/>
              </w:rPr>
              <w:t xml:space="preserve">Credit model auto-approving below a threshold, no human step</w:t>
            </w:r>
          </w:p>
        </w:tc>
        <w:tc>
          <w:tcPr>
            <w:tcW w:type="dxa" w:w="2340"/>
            <w:tcMar>
              <w:top w:type="dxa" w:w="60"/>
              <w:left w:type="dxa" w:w="100"/>
              <w:bottom w:type="dxa" w:w="60"/>
              <w:right w:type="dxa" w:w="100"/>
            </w:tcMar>
          </w:tcPr>
          <w:p>
            <w:r>
              <w:rPr>
                <w:b w:val="false"/>
                <w:bCs w:val="false"/>
                <w:sz w:val="18"/>
                <w:szCs w:val="18"/>
              </w:rPr>
              <w:t xml:space="preserve">Yes</w:t>
            </w:r>
          </w:p>
        </w:tc>
        <w:tc>
          <w:tcPr>
            <w:tcW w:type="dxa" w:w="2340"/>
            <w:tcMar>
              <w:top w:type="dxa" w:w="60"/>
              <w:left w:type="dxa" w:w="100"/>
              <w:bottom w:type="dxa" w:w="60"/>
              <w:right w:type="dxa" w:w="100"/>
            </w:tcMar>
          </w:tcPr>
          <w:p>
            <w:r>
              <w:rPr>
                <w:b w:val="false"/>
                <w:bCs w:val="false"/>
                <w:sz w:val="18"/>
                <w:szCs w:val="18"/>
              </w:rPr>
              <w:t xml:space="preserve">-</w:t>
            </w:r>
          </w:p>
        </w:tc>
        <w:tc>
          <w:tcPr>
            <w:tcW w:type="dxa" w:w="2340"/>
            <w:tcMar>
              <w:top w:type="dxa" w:w="60"/>
              <w:left w:type="dxa" w:w="100"/>
              <w:bottom w:type="dxa" w:w="60"/>
              <w:right w:type="dxa" w:w="100"/>
            </w:tcMar>
          </w:tcPr>
          <w:p>
            <w:r>
              <w:rPr>
                <w:b w:val="false"/>
                <w:bCs w:val="false"/>
                <w:sz w:val="18"/>
                <w:szCs w:val="18"/>
              </w:rPr>
              <w:t xml:space="preserve">Quebec duty applies: inform, explain on request, observations to a reviewer</w:t>
            </w:r>
          </w:p>
        </w:tc>
      </w:tr>
      <w:tr>
        <w:trPr>
          <w:tblHeader w:val="false"/>
        </w:trPr>
        <w:tc>
          <w:tcPr>
            <w:tcW w:type="dxa" w:w="2340"/>
            <w:tcMar>
              <w:top w:type="dxa" w:w="60"/>
              <w:left w:type="dxa" w:w="100"/>
              <w:bottom w:type="dxa" w:w="60"/>
              <w:right w:type="dxa" w:w="100"/>
            </w:tcMar>
          </w:tcPr>
          <w:p>
            <w:r>
              <w:rPr>
                <w:b w:val="false"/>
                <w:bCs w:val="false"/>
                <w:sz w:val="18"/>
                <w:szCs w:val="18"/>
              </w:rPr>
              <w:t xml:space="preserve">Applicant screening assistant ranking CVs for a recruiter who reads the top ten</w:t>
            </w:r>
          </w:p>
        </w:tc>
        <w:tc>
          <w:tcPr>
            <w:tcW w:type="dxa" w:w="2340"/>
            <w:tcMar>
              <w:top w:type="dxa" w:w="60"/>
              <w:left w:type="dxa" w:w="100"/>
              <w:bottom w:type="dxa" w:w="60"/>
              <w:right w:type="dxa" w:w="100"/>
            </w:tcMar>
          </w:tcPr>
          <w:p>
            <w:r>
              <w:rPr>
                <w:b w:val="false"/>
                <w:bCs w:val="false"/>
                <w:sz w:val="18"/>
                <w:szCs w:val="18"/>
              </w:rPr>
              <w:t xml:space="preserve">No</w:t>
            </w:r>
          </w:p>
        </w:tc>
        <w:tc>
          <w:tcPr>
            <w:tcW w:type="dxa" w:w="2340"/>
            <w:tcMar>
              <w:top w:type="dxa" w:w="60"/>
              <w:left w:type="dxa" w:w="100"/>
              <w:bottom w:type="dxa" w:w="60"/>
              <w:right w:type="dxa" w:w="100"/>
            </w:tcMar>
          </w:tcPr>
          <w:p>
            <w:r>
              <w:rPr>
                <w:b w:val="false"/>
                <w:bCs w:val="false"/>
                <w:sz w:val="18"/>
                <w:szCs w:val="18"/>
              </w:rPr>
              <w:t xml:space="preserve">Yes</w:t>
            </w:r>
          </w:p>
        </w:tc>
        <w:tc>
          <w:tcPr>
            <w:tcW w:type="dxa" w:w="2340"/>
            <w:tcMar>
              <w:top w:type="dxa" w:w="60"/>
              <w:left w:type="dxa" w:w="100"/>
              <w:bottom w:type="dxa" w:w="60"/>
              <w:right w:type="dxa" w:w="100"/>
            </w:tcMar>
          </w:tcPr>
          <w:p>
            <w:r>
              <w:rPr>
                <w:b w:val="false"/>
                <w:bCs w:val="false"/>
                <w:sz w:val="18"/>
                <w:szCs w:val="18"/>
              </w:rPr>
              <w:t xml:space="preserve">House standard: same three things provided</w:t>
            </w:r>
          </w:p>
        </w:tc>
      </w:tr>
      <w:tr>
        <w:trPr>
          <w:tblHeader w:val="false"/>
        </w:trPr>
        <w:tc>
          <w:tcPr>
            <w:tcW w:type="dxa" w:w="2340"/>
            <w:tcMar>
              <w:top w:type="dxa" w:w="60"/>
              <w:left w:type="dxa" w:w="100"/>
              <w:bottom w:type="dxa" w:w="60"/>
              <w:right w:type="dxa" w:w="100"/>
            </w:tcMar>
          </w:tcPr>
          <w:p>
            <w:r>
              <w:rPr>
                <w:b w:val="false"/>
                <w:bCs w:val="false"/>
                <w:sz w:val="18"/>
                <w:szCs w:val="18"/>
              </w:rPr>
              <w:t xml:space="preserve">Fraud engine blocking a transaction pending review by an analyst within the hour</w:t>
            </w:r>
          </w:p>
        </w:tc>
        <w:tc>
          <w:tcPr>
            <w:tcW w:type="dxa" w:w="2340"/>
            <w:tcMar>
              <w:top w:type="dxa" w:w="60"/>
              <w:left w:type="dxa" w:w="100"/>
              <w:bottom w:type="dxa" w:w="60"/>
              <w:right w:type="dxa" w:w="100"/>
            </w:tcMar>
          </w:tcPr>
          <w:p>
            <w:r>
              <w:rPr>
                <w:b w:val="false"/>
                <w:bCs w:val="false"/>
                <w:sz w:val="18"/>
                <w:szCs w:val="18"/>
              </w:rPr>
              <w:t xml:space="preserve">No, if the analyst can and does reverse</w:t>
            </w:r>
          </w:p>
        </w:tc>
        <w:tc>
          <w:tcPr>
            <w:tcW w:type="dxa" w:w="2340"/>
            <w:tcMar>
              <w:top w:type="dxa" w:w="60"/>
              <w:left w:type="dxa" w:w="100"/>
              <w:bottom w:type="dxa" w:w="60"/>
              <w:right w:type="dxa" w:w="100"/>
            </w:tcMar>
          </w:tcPr>
          <w:p>
            <w:r>
              <w:rPr>
                <w:b w:val="false"/>
                <w:bCs w:val="false"/>
                <w:sz w:val="18"/>
                <w:szCs w:val="18"/>
              </w:rPr>
              <w:t xml:space="preserve">Yes</w:t>
            </w:r>
          </w:p>
        </w:tc>
        <w:tc>
          <w:tcPr>
            <w:tcW w:type="dxa" w:w="2340"/>
            <w:tcMar>
              <w:top w:type="dxa" w:w="60"/>
              <w:left w:type="dxa" w:w="100"/>
              <w:bottom w:type="dxa" w:w="60"/>
              <w:right w:type="dxa" w:w="100"/>
            </w:tcMar>
          </w:tcPr>
          <w:p>
            <w:r>
              <w:rPr>
                <w:b w:val="false"/>
                <w:bCs w:val="false"/>
                <w:sz w:val="18"/>
                <w:szCs w:val="18"/>
              </w:rPr>
              <w:t xml:space="preserve">House standard; override rate monitored</w:t>
            </w:r>
          </w:p>
        </w:tc>
      </w:tr>
      <w:tr>
        <w:trPr>
          <w:tblHeader w:val="false"/>
        </w:trPr>
        <w:tc>
          <w:tcPr>
            <w:tcW w:type="dxa" w:w="2340"/>
            <w:tcMar>
              <w:top w:type="dxa" w:w="60"/>
              <w:left w:type="dxa" w:w="100"/>
              <w:bottom w:type="dxa" w:w="60"/>
              <w:right w:type="dxa" w:w="100"/>
            </w:tcMar>
          </w:tcPr>
          <w:p>
            <w:r>
              <w:rPr>
                <w:b w:val="false"/>
                <w:bCs w:val="false"/>
                <w:sz w:val="18"/>
                <w:szCs w:val="18"/>
              </w:rPr>
              <w:t xml:space="preserve">Fraud engine blocking a transaction with no review path</w:t>
            </w:r>
          </w:p>
        </w:tc>
        <w:tc>
          <w:tcPr>
            <w:tcW w:type="dxa" w:w="2340"/>
            <w:tcMar>
              <w:top w:type="dxa" w:w="60"/>
              <w:left w:type="dxa" w:w="100"/>
              <w:bottom w:type="dxa" w:w="60"/>
              <w:right w:type="dxa" w:w="100"/>
            </w:tcMar>
          </w:tcPr>
          <w:p>
            <w:r>
              <w:rPr>
                <w:b w:val="false"/>
                <w:bCs w:val="false"/>
                <w:sz w:val="18"/>
                <w:szCs w:val="18"/>
              </w:rPr>
              <w:t xml:space="preserve">Yes</w:t>
            </w:r>
          </w:p>
        </w:tc>
        <w:tc>
          <w:tcPr>
            <w:tcW w:type="dxa" w:w="2340"/>
            <w:tcMar>
              <w:top w:type="dxa" w:w="60"/>
              <w:left w:type="dxa" w:w="100"/>
              <w:bottom w:type="dxa" w:w="60"/>
              <w:right w:type="dxa" w:w="100"/>
            </w:tcMar>
          </w:tcPr>
          <w:p>
            <w:r>
              <w:rPr>
                <w:b w:val="false"/>
                <w:bCs w:val="false"/>
                <w:sz w:val="18"/>
                <w:szCs w:val="18"/>
              </w:rPr>
              <w:t xml:space="preserve">-</w:t>
            </w:r>
          </w:p>
        </w:tc>
        <w:tc>
          <w:tcPr>
            <w:tcW w:type="dxa" w:w="2340"/>
            <w:tcMar>
              <w:top w:type="dxa" w:w="60"/>
              <w:left w:type="dxa" w:w="100"/>
              <w:bottom w:type="dxa" w:w="60"/>
              <w:right w:type="dxa" w:w="100"/>
            </w:tcMar>
          </w:tcPr>
          <w:p>
            <w:r>
              <w:rPr>
                <w:b w:val="false"/>
                <w:bCs w:val="false"/>
                <w:sz w:val="18"/>
                <w:szCs w:val="18"/>
              </w:rPr>
              <w:t xml:space="preserve">Quebec duty applies</w:t>
            </w:r>
          </w:p>
        </w:tc>
      </w:tr>
      <w:tr>
        <w:trPr>
          <w:tblHeader w:val="false"/>
        </w:trPr>
        <w:tc>
          <w:tcPr>
            <w:tcW w:type="dxa" w:w="2340"/>
            <w:tcMar>
              <w:top w:type="dxa" w:w="60"/>
              <w:left w:type="dxa" w:w="100"/>
              <w:bottom w:type="dxa" w:w="60"/>
              <w:right w:type="dxa" w:w="100"/>
            </w:tcMar>
          </w:tcPr>
          <w:p>
            <w:r>
              <w:rPr>
                <w:b w:val="false"/>
                <w:bCs w:val="false"/>
                <w:sz w:val="18"/>
                <w:szCs w:val="18"/>
              </w:rPr>
              <w:t xml:space="preserve">Chatbot answering product questions, no decision</w:t>
            </w:r>
          </w:p>
        </w:tc>
        <w:tc>
          <w:tcPr>
            <w:tcW w:type="dxa" w:w="2340"/>
            <w:tcMar>
              <w:top w:type="dxa" w:w="60"/>
              <w:left w:type="dxa" w:w="100"/>
              <w:bottom w:type="dxa" w:w="60"/>
              <w:right w:type="dxa" w:w="100"/>
            </w:tcMar>
          </w:tcPr>
          <w:p>
            <w:r>
              <w:rPr>
                <w:b w:val="false"/>
                <w:bCs w:val="false"/>
                <w:sz w:val="18"/>
                <w:szCs w:val="18"/>
              </w:rPr>
              <w:t xml:space="preserve">No</w:t>
            </w:r>
          </w:p>
        </w:tc>
        <w:tc>
          <w:tcPr>
            <w:tcW w:type="dxa" w:w="2340"/>
            <w:tcMar>
              <w:top w:type="dxa" w:w="60"/>
              <w:left w:type="dxa" w:w="100"/>
              <w:bottom w:type="dxa" w:w="60"/>
              <w:right w:type="dxa" w:w="100"/>
            </w:tcMar>
          </w:tcPr>
          <w:p>
            <w:r>
              <w:rPr>
                <w:b w:val="false"/>
                <w:bCs w:val="false"/>
                <w:sz w:val="18"/>
                <w:szCs w:val="18"/>
              </w:rPr>
              <w:t xml:space="preserve">No</w:t>
            </w:r>
          </w:p>
        </w:tc>
        <w:tc>
          <w:tcPr>
            <w:tcW w:type="dxa" w:w="2340"/>
            <w:tcMar>
              <w:top w:type="dxa" w:w="60"/>
              <w:left w:type="dxa" w:w="100"/>
              <w:bottom w:type="dxa" w:w="60"/>
              <w:right w:type="dxa" w:w="100"/>
            </w:tcMar>
          </w:tcPr>
          <w:p>
            <w:r>
              <w:rPr>
                <w:b w:val="false"/>
                <w:bCs w:val="false"/>
                <w:sz w:val="18"/>
                <w:szCs w:val="18"/>
              </w:rPr>
              <w:t xml:space="preserve">Customer-facing disclosure only</w:t>
            </w:r>
          </w:p>
        </w:tc>
      </w:tr>
    </w:tbl>
    <w:p>
      <w:pPr>
        <w:spacing w:after="120"/>
      </w:pPr>
    </w:p>
    <w:p>
      <w:pPr>
        <w:spacing w:after="120"/>
      </w:pPr>
      <w:r>
        <w:t xml:space="preserve">A4.4 For each system inside either limb, the register records: how the person is informed and when; the template for the explanation (personal information used, reasons, principal factors and parameters, right to correction); who the reviewing member of staff is and how observations reach them; and how the review is recorded.</w:t>
      </w:r>
    </w:p>
    <w:p>
      <w:pPr>
        <w:spacing w:after="120"/>
      </w:pPr>
      <w:r>
        <w:t xml:space="preserve">A4.5 The Quebec duty attaches at the moment the person is informed of the decision. Systems are designed so that the notice is part of the decision communication, not a separate step that can be missed.</w:t>
      </w:r>
    </w:p>
    <w:p>
      <w:pPr>
        <w:pStyle w:val="Heading1"/>
        <w:spacing w:after="120" w:before="280"/>
      </w:pPr>
      <w:r>
        <w:rPr>
          <w:color w:val="2E74B5"/>
        </w:rPr>
        <w:t xml:space="preserve">A5. Privacy impact assessments</w:t>
      </w:r>
    </w:p>
    <w:p>
      <w:pPr>
        <w:spacing w:after="120"/>
      </w:pPr>
      <w:r>
        <w:t xml:space="preserve">A5.1 A privacy impact assessment is completed for every project to acquire, develop or overhaul an AI system involving the collection, use, communication, keeping or destruction of personal information; before any personal information is communicated outside Quebec; and before any Level 3 or Level 4 use, any generation or inference of personal information, any scraping or dataset acquisition, any fine-tuning, any profiling and any customer-facing AI. The person in charge is consulted from the outset.</w:t>
      </w:r>
    </w:p>
    <w:p>
      <w:pPr>
        <w:spacing w:after="120"/>
      </w:pPr>
      <w:r>
        <w:t xml:space="preserve">A5.2 The assessment is proportionate to the sensitivity of the information, the purposes, the quantity and distribution, and the storage medium. It addresses, as a minimum: the identified purposes and whether the AI use is within them; the legal authority and the form of consent; sensitivity; whether the system generates or infers personal information and the authority for that collection; necessity and proportionality (policy clause 17); accuracy, validity and reliability; safeguards and the AI-specific threats; retention; openness; the automated-decision determination; identification, location and profiling functions; minors and vulnerable groups; and, for Level 4, an algorithmic impact assessment covering bias and fairness.</w:t>
      </w:r>
    </w:p>
    <w:p>
      <w:pPr>
        <w:spacing w:after="120"/>
      </w:pPr>
      <w:r>
        <w:t xml:space="preserve">A5.3 The person in charge may propose protection measures at any stage: a person responsible for implementing them, measures for project documents, a description of participants' responsibilities, and training for participants.</w:t>
      </w:r>
    </w:p>
    <w:p>
      <w:pPr>
        <w:spacing w:after="120"/>
      </w:pPr>
      <w:r>
        <w:t xml:space="preserve">A5.4 Where the assessment cannot establish legal authority for a proposed use, the use does not proceed until consent is obtained or the design is changed.</w:t>
      </w:r>
    </w:p>
    <w:p>
      <w:pPr>
        <w:pStyle w:val="Heading1"/>
        <w:spacing w:after="120" w:before="280"/>
      </w:pPr>
      <w:r>
        <w:rPr>
          <w:color w:val="2E74B5"/>
        </w:rPr>
        <w:t xml:space="preserve">A6. Transfers and suppliers</w:t>
      </w:r>
    </w:p>
    <w:p>
      <w:pPr>
        <w:spacing w:after="120"/>
      </w:pPr>
      <w:r>
        <w:t xml:space="preserve">A6.1 </w:t>
      </w:r>
      <w:r>
        <w:rPr>
          <w:b/>
          <w:bCs/>
        </w:rPr>
        <w:t xml:space="preserve">Before personal information leaves Quebec</w:t>
      </w:r>
      <w:r>
        <w:t xml:space="preserve"> for an AI supplier or cloud service, the assessment at A5 considers the sensitivity, the purposes, the protection measures including contractual ones, and the legal framework of the receiving state. The communication proceeds only if the assessment establishes adequate protection, in light of generally recognised personal information protection principles, and under a written agreement that reflects the assessment and any mitigation agreed. [ORGANISATION] applies the same assessment to every cross-border AI supplier whatever the origin of the data.</w:t>
      </w:r>
    </w:p>
    <w:p>
      <w:pPr>
        <w:spacing w:after="120"/>
      </w:pPr>
      <w:r>
        <w:t xml:space="preserve">A6.2 </w:t>
      </w:r>
      <w:r>
        <w:rPr>
          <w:b/>
          <w:bCs/>
        </w:rPr>
        <w:t xml:space="preserve">Federally</w:t>
      </w:r>
      <w:r>
        <w:t xml:space="preserve">, information transferred to a third party for processing remains [ORGANISATION]'s responsibility, and contractual or other means provide a comparable level of protection while it is processed.</w:t>
      </w:r>
    </w:p>
    <w:p>
      <w:pPr>
        <w:spacing w:after="120"/>
      </w:pPr>
      <w:r>
        <w:t xml:space="preserve">A6.3 Supplier terms are reviewed before engagement for: rights over inputs and outputs, including any right to train; sub-processors; data location; safeguards and incident history; the supplier's testing for prompt injection, model inversion and jailbreaking; deletion on instruction; and evidence of access. Suppliers are asked for documentation of the datasets used to train the model, their sources and legal authority, known failure cases, and any accuracy limitations, as the commissioners' principles expect developers and providers to publish.</w:t>
      </w:r>
    </w:p>
    <w:p>
      <w:pPr>
        <w:spacing w:after="120"/>
      </w:pPr>
      <w:r>
        <w:t xml:space="preserve">A6.4 The contract provides for: processing only for [ORGANISATION]'s purposes and on its instructions; no use of [ORGANISATION] data to train or improve the supplier's models unless approved under policy clause 16; safeguards; incident notification without delay and in time for [ORGANISATION] to notify promptly; return or deletion; audit or assurance rights; and the transfer terms at A6.1.</w:t>
      </w:r>
    </w:p>
    <w:p>
      <w:pPr>
        <w:pStyle w:val="Heading1"/>
        <w:spacing w:after="120" w:before="280"/>
      </w:pPr>
      <w:r>
        <w:rPr>
          <w:color w:val="2E74B5"/>
        </w:rPr>
        <w:t xml:space="preserve">A7. Openness and notice in operation</w:t>
      </w:r>
    </w:p>
    <w:p>
      <w:pPr>
        <w:spacing w:after="120"/>
      </w:pPr>
      <w:r>
        <w:t xml:space="preserve">A7.1 The privacy policy and the confidentiality policy published on [ORGANISATION]'s website are drafted in clear and simple language and cover the matters at policy clause 8.1, including a general account of AI uses of personal information and of any automated decision-making.</w:t>
      </w:r>
    </w:p>
    <w:p>
      <w:pPr>
        <w:spacing w:after="120"/>
      </w:pPr>
      <w:r>
        <w:t xml:space="preserve">A7.2 Notices at collection state AI purposes, generation or inference of personal information, disclosure to AI suppliers, communication outside Quebec or Canada, and, where technology can identify, locate or profile the person, the use of that technology and the means to activate those functions.</w:t>
      </w:r>
    </w:p>
    <w:p>
      <w:pPr>
        <w:spacing w:after="120"/>
      </w:pPr>
      <w:r>
        <w:t xml:space="preserve">A7.3 Customer-facing AI systems carry the disclosure at policy clause 15.1 at the start of every interaction.</w:t>
      </w:r>
    </w:p>
    <w:p>
      <w:pPr>
        <w:pStyle w:val="Heading1"/>
        <w:spacing w:after="120" w:before="280"/>
      </w:pPr>
      <w:r>
        <w:rPr>
          <w:color w:val="2E74B5"/>
        </w:rPr>
        <w:t xml:space="preserve">A8. Testing, monitoring and assurance</w:t>
      </w:r>
    </w:p>
    <w:p>
      <w:pPr>
        <w:spacing w:after="120"/>
      </w:pPr>
      <w:r>
        <w:t xml:space="preserve">A8.1 Systems are tested before approval for validity and reliability for the intended purpose, for inaccurate, biased and harmful outputs, for surfacing personal information about others, and adversarially for unintended inappropriate uses and for prompt injection, model inversion and jailbreaking.</w:t>
      </w:r>
    </w:p>
    <w:p>
      <w:pPr>
        <w:spacing w:after="120"/>
      </w:pPr>
      <w:r>
        <w:t xml:space="preserve">A8.2 Level 4 systems are tested for differential outcomes on protected grounds before deployment and at least [annually]; the training data's representation of any specific group the use relates to is assessed.</w:t>
      </w:r>
    </w:p>
    <w:p>
      <w:pPr>
        <w:spacing w:after="120"/>
      </w:pPr>
      <w:r>
        <w:t xml:space="preserve">A8.3 Monitoring after deployment is matched to the level: performance drift, accuracy, bias, inappropriate uses and biased outcomes not disclosed as limitations (which are reported to the supplier), and, for Level 4, approval and override rates.</w:t>
      </w:r>
    </w:p>
    <w:p>
      <w:pPr>
        <w:spacing w:after="120"/>
      </w:pPr>
      <w:r>
        <w:t xml:space="preserve">A8.4 Human override points are documented for every system, and alternative pathways maintained so that critical functions continue if a system fails or is withdrawn.</w:t>
      </w:r>
    </w:p>
    <w:p>
      <w:pPr>
        <w:pStyle w:val="Heading1"/>
        <w:spacing w:after="120" w:before="280"/>
      </w:pPr>
      <w:r>
        <w:rPr>
          <w:color w:val="2E74B5"/>
        </w:rPr>
        <w:t xml:space="preserve">A9. Incident response</w:t>
      </w:r>
    </w:p>
    <w:p>
      <w:pPr>
        <w:spacing w:after="120"/>
      </w:pPr>
      <w:r>
        <w:t xml:space="preserve">A9.1 The incident process at policy clause 20.5 is operated by [Security] with the person in charge. On any suspected confidentiality incident or breach of security safeguards involving an AI tool: reasonable measures to reduce the risk of injury and prevent recurrence; a risk assessment with the person in charge on sensitivity, anticipated consequences and likelihood of injurious use; where there is a risk of serious injury, prompt notice to the Commission d'accès à l'information and to the persons concerned; where there is a real risk of significant harm, a report to the Privacy Commissioner of Canada and conspicuous, direct notice to individuals as soon as feasible after determining the breach has occurred; and an entry in the incident register in every case.</w:t>
      </w:r>
    </w:p>
    <w:p>
      <w:pPr>
        <w:spacing w:after="120"/>
      </w:pPr>
      <w:r>
        <w:t xml:space="preserve">A9.2 AI-specific incident types are recognised and drilled: personal information entered into an unapproved or public tool; a tool surfacing another person's data; a supplier breach; extraction of training or context data from a model; an agent acting outside its approved actions; a Level 4 system producing a systematically wrong or discriminatory result; a use found to be within a no-go zone.</w:t>
      </w:r>
    </w:p>
    <w:p>
      <w:pPr>
        <w:spacing w:after="120"/>
      </w:pPr>
      <w:r>
        <w:t xml:space="preserve">A9.3 Every AI incident, whether or not a privacy incident, is recorded, investigated and analysed, and the lessons applied.</w:t>
      </w:r>
    </w:p>
    <w:p>
      <w:pPr>
        <w:pStyle w:val="Heading1"/>
        <w:spacing w:after="120" w:before="280"/>
      </w:pPr>
      <w:r>
        <w:rPr>
          <w:color w:val="2E74B5"/>
        </w:rPr>
        <w:t xml:space="preserve">A10. Individuals' rights and contestability</w:t>
      </w:r>
    </w:p>
    <w:p>
      <w:pPr>
        <w:spacing w:after="120"/>
      </w:pPr>
      <w:r>
        <w:t xml:space="preserve">A10.1 Access, challenge and correction requests concerning personal information in or generated by AI tools follow policy clause 11.4. Records are kept so that a request about a decision can be meaningfully answered; information used to make a decision is retained long enough for that.</w:t>
      </w:r>
    </w:p>
    <w:p>
      <w:pPr>
        <w:spacing w:after="120"/>
      </w:pPr>
      <w:r>
        <w:t xml:space="preserve">A10.2 For decisions inside either limb of the clause 12 determination, the notice, explanation and observations process at policy clause 13 is operated as recorded in the register (A4.4).</w:t>
      </w:r>
    </w:p>
    <w:p>
      <w:pPr>
        <w:spacing w:after="120"/>
      </w:pPr>
      <w:r>
        <w:t xml:space="preserve">A10.3 Complaints follow the mechanism in the privacy policy; patterns are reported to the AI Governance Committee.</w:t>
      </w:r>
    </w:p>
    <w:p>
      <w:pPr>
        <w:pStyle w:val="Heading1"/>
        <w:spacing w:after="120" w:before="280"/>
      </w:pPr>
      <w:r>
        <w:rPr>
          <w:color w:val="2E74B5"/>
        </w:rPr>
        <w:t xml:space="preserve">A11. Training and awareness</w:t>
      </w:r>
    </w:p>
    <w:p>
      <w:pPr>
        <w:spacing w:after="120"/>
      </w:pPr>
      <w:r>
        <w:t xml:space="preserve">A11.1 Staff training follows policy clause 21. Reviewers of Level 4 decisions are trained on what a meaningful review requires and on the rights at clause 13.</w:t>
      </w:r>
    </w:p>
    <w:p>
      <w:pPr>
        <w:spacing w:after="120"/>
      </w:pPr>
      <w:r>
        <w:t xml:space="preserve">A11.2 The person in charge and [Legal] maintain awareness of Bill C-36's progress, of guidance from the Privacy Commissioner of Canada and the Commission d'accès à l'information, of regulations under either Act, and of the substantially similar provincial Acts where [ORGANISATION] operates.</w:t>
      </w:r>
    </w:p>
    <w:p>
      <w:pPr>
        <w:pStyle w:val="Heading1"/>
        <w:spacing w:after="120" w:before="280"/>
      </w:pPr>
      <w:r>
        <w:rPr>
          <w:color w:val="2E74B5"/>
        </w:rPr>
        <w:t xml:space="preserve">A12. Metrics reported to the AI Governance Committee</w:t>
      </w:r>
    </w:p>
    <w:p>
      <w:pPr>
        <w:pStyle w:val="ListParagraph"/>
        <w:numPr>
          <w:ilvl w:val="0"/>
          <w:numId w:val="2"/>
        </w:numPr>
        <w:spacing w:after="80"/>
      </w:pPr>
      <w:r>
        <w:t xml:space="preserve">Systems on the register by level; new, changed and retired</w:t>
      </w:r>
    </w:p>
    <w:p>
      <w:pPr>
        <w:pStyle w:val="ListParagraph"/>
        <w:numPr>
          <w:ilvl w:val="0"/>
          <w:numId w:val="2"/>
        </w:numPr>
        <w:spacing w:after="80"/>
      </w:pPr>
      <w:r>
        <w:t xml:space="preserve">Systems inside each limb of the clause 12 determination</w:t>
      </w:r>
    </w:p>
    <w:p>
      <w:pPr>
        <w:pStyle w:val="ListParagraph"/>
        <w:numPr>
          <w:ilvl w:val="0"/>
          <w:numId w:val="2"/>
        </w:numPr>
        <w:spacing w:after="80"/>
      </w:pPr>
      <w:r>
        <w:t xml:space="preserve">Privacy impact assessments open, completed and overdue; transfer assessments</w:t>
      </w:r>
    </w:p>
    <w:p>
      <w:pPr>
        <w:pStyle w:val="ListParagraph"/>
        <w:numPr>
          <w:ilvl w:val="0"/>
          <w:numId w:val="2"/>
        </w:numPr>
        <w:spacing w:after="80"/>
      </w:pPr>
      <w:r>
        <w:t xml:space="preserve">Level 4 approval and override rates by system</w:t>
      </w:r>
    </w:p>
    <w:p>
      <w:pPr>
        <w:pStyle w:val="ListParagraph"/>
        <w:numPr>
          <w:ilvl w:val="0"/>
          <w:numId w:val="2"/>
        </w:numPr>
        <w:spacing w:after="80"/>
      </w:pPr>
      <w:r>
        <w:t xml:space="preserve">Incidents by type; notifications to each commissioner; register entries</w:t>
      </w:r>
    </w:p>
    <w:p>
      <w:pPr>
        <w:pStyle w:val="ListParagraph"/>
        <w:numPr>
          <w:ilvl w:val="0"/>
          <w:numId w:val="2"/>
        </w:numPr>
        <w:spacing w:after="80"/>
      </w:pPr>
      <w:r>
        <w:t xml:space="preserve">Access, correction and explanation requests, and time to resolve</w:t>
      </w:r>
    </w:p>
    <w:p>
      <w:pPr>
        <w:pStyle w:val="ListParagraph"/>
        <w:numPr>
          <w:ilvl w:val="0"/>
          <w:numId w:val="2"/>
        </w:numPr>
        <w:spacing w:after="80"/>
      </w:pPr>
      <w:r>
        <w:t xml:space="preserve">Testing and monitoring findings, including bias testing results</w:t>
      </w:r>
    </w:p>
    <w:p>
      <w:pPr>
        <w:pStyle w:val="ListParagraph"/>
        <w:numPr>
          <w:ilvl w:val="0"/>
          <w:numId w:val="2"/>
        </w:numPr>
        <w:spacing w:after="80"/>
      </w:pPr>
      <w:r>
        <w:t xml:space="preserve">Training completion for users, accountable people and reviewers</w:t>
      </w:r>
    </w:p>
    <w:p>
      <w:pPr>
        <w:pStyle w:val="ListParagraph"/>
        <w:numPr>
          <w:ilvl w:val="0"/>
          <w:numId w:val="2"/>
        </w:numPr>
        <w:spacing w:after="80"/>
      </w:pPr>
      <w:r>
        <w:t xml:space="preserve">Regime-readiness register status</w:t>
      </w:r>
    </w:p>
    <w:p>
      <w:pPr>
        <w:pStyle w:val="Heading1"/>
        <w:spacing w:after="120" w:before="280"/>
      </w:pPr>
      <w:r>
        <w:rPr>
          <w:color w:val="2E74B5"/>
        </w:rPr>
        <w:t xml:space="preserve">A13. Scope of this annex and what is not held</w:t>
      </w:r>
    </w:p>
    <w:p>
      <w:pPr>
        <w:spacing w:after="120"/>
      </w:pPr>
      <w:r>
        <w:t xml:space="preserve">A13.1 This annex operates the Personal Information Protection and Electronic Documents Act as consolidated to 21 June 2026, the Act respecting the protection of personal information in the private sector as amended by 2021, chapter 25, the commissioners' generative AI principles of December 2023 and the Privacy Commissioner of Canada's business guidance, and reads Bill C-36 as introduced without relying on it.</w:t>
      </w:r>
    </w:p>
    <w:p>
      <w:pPr>
        <w:spacing w:after="120"/>
      </w:pPr>
      <w:r>
        <w:t xml:space="preserve">A13.2 </w:t>
      </w:r>
      <w:r>
        <w:rPr>
          <w:b/>
          <w:bCs/>
        </w:rPr>
        <w:t xml:space="preserve">It does not hold</w:t>
      </w:r>
      <w:r>
        <w:t xml:space="preserve">, and therefore does not state: the consolidated Quebec Act from Légis Québec (unavailable at build); the regulations under either Act; Alberta's and British Columbia's Acts; provincial health-information Acts; human rights and consumer protection law; the federal Directive on Automated Decision-Making and its companion guides, which bind federal institutions; and guidance the Commission d'accès à l'information has issued on Law 25. Each is named in policy clause 22 as an open verification and recorded in the source register.</w:t>
      </w:r>
    </w:p>
    <w:p>
      <w:pPr>
        <w:pStyle w:val="Heading1"/>
        <w:spacing w:after="120" w:before="280"/>
      </w:pPr>
      <w:r>
        <w:rPr>
          <w:color w:val="2E74B5"/>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DEEAF6" w:color="auto" w:val="clear"/>
            <w:tcMar>
              <w:top w:type="dxa" w:w="60"/>
              <w:left w:type="dxa" w:w="100"/>
              <w:bottom w:type="dxa" w:w="60"/>
              <w:right w:type="dxa" w:w="100"/>
            </w:tcMar>
          </w:tcPr>
          <w:p>
            <w:r>
              <w:rPr>
                <w:b/>
                <w:bCs/>
                <w:sz w:val="18"/>
                <w:szCs w:val="18"/>
              </w:rPr>
              <w:t xml:space="preserve">Version</w:t>
            </w:r>
          </w:p>
        </w:tc>
        <w:tc>
          <w:tcPr>
            <w:tcW w:type="dxa" w:w="3120"/>
            <w:shd w:fill="DEEAF6" w:color="auto" w:val="clear"/>
            <w:tcMar>
              <w:top w:type="dxa" w:w="60"/>
              <w:left w:type="dxa" w:w="100"/>
              <w:bottom w:type="dxa" w:w="60"/>
              <w:right w:type="dxa" w:w="100"/>
            </w:tcMar>
          </w:tcPr>
          <w:p>
            <w:r>
              <w:rPr>
                <w:b/>
                <w:bCs/>
                <w:sz w:val="18"/>
                <w:szCs w:val="18"/>
              </w:rPr>
              <w:t xml:space="preserve">Date</w:t>
            </w:r>
          </w:p>
        </w:tc>
        <w:tc>
          <w:tcPr>
            <w:tcW w:type="dxa" w:w="3120"/>
            <w:shd w:fill="DEEAF6" w:color="auto" w:val="clear"/>
            <w:tcMar>
              <w:top w:type="dxa" w:w="60"/>
              <w:left w:type="dxa" w:w="100"/>
              <w:bottom w:type="dxa" w:w="60"/>
              <w:right w:type="dxa" w:w="100"/>
            </w:tcMar>
          </w:tcPr>
          <w:p>
            <w:r>
              <w:rPr>
                <w:b/>
                <w:bCs/>
                <w:sz w:val="18"/>
                <w:szCs w:val="18"/>
              </w:rPr>
              <w:t xml:space="preserve">Change</w:t>
            </w:r>
          </w:p>
        </w:tc>
      </w:tr>
      <w:tr>
        <w:trPr>
          <w:tblHeader w:val="false"/>
        </w:trPr>
        <w:tc>
          <w:tcPr>
            <w:tcW w:type="dxa" w:w="3120"/>
            <w:tcMar>
              <w:top w:type="dxa" w:w="60"/>
              <w:left w:type="dxa" w:w="100"/>
              <w:bottom w:type="dxa" w:w="60"/>
              <w:right w:type="dxa" w:w="100"/>
            </w:tcMar>
          </w:tcPr>
          <w:p>
            <w:r>
              <w:rPr>
                <w:b w:val="false"/>
                <w:bCs w:val="false"/>
                <w:sz w:val="18"/>
                <w:szCs w:val="18"/>
              </w:rPr>
              <w:t xml:space="preserve">1.0</w:t>
            </w:r>
          </w:p>
        </w:tc>
        <w:tc>
          <w:tcPr>
            <w:tcW w:type="dxa" w:w="3120"/>
            <w:tcMar>
              <w:top w:type="dxa" w:w="60"/>
              <w:left w:type="dxa" w:w="100"/>
              <w:bottom w:type="dxa" w:w="60"/>
              <w:right w:type="dxa" w:w="100"/>
            </w:tcMar>
          </w:tcPr>
          <w:p>
            <w:r>
              <w:rPr>
                <w:b w:val="false"/>
                <w:bCs w:val="false"/>
                <w:sz w:val="18"/>
                <w:szCs w:val="18"/>
              </w:rPr>
              <w:t xml:space="preserve">3 September 2026</w:t>
            </w:r>
          </w:p>
        </w:tc>
        <w:tc>
          <w:tcPr>
            <w:tcW w:type="dxa" w:w="3120"/>
            <w:tcMar>
              <w:top w:type="dxa" w:w="60"/>
              <w:left w:type="dxa" w:w="100"/>
              <w:bottom w:type="dxa" w:w="60"/>
              <w:right w:type="dxa" w:w="100"/>
            </w:tcMar>
          </w:tcPr>
          <w:p>
            <w:r>
              <w:rPr>
                <w:b w:val="false"/>
                <w:bCs w:val="false"/>
                <w:sz w:val="18"/>
                <w:szCs w:val="18"/>
              </w:rPr>
              <w:t xml:space="preserve">Initial annex, published within its stated scope. Every obligation traced to the held instruments in the research note.</w:t>
            </w:r>
          </w:p>
        </w:tc>
      </w:tr>
    </w:tbl>
    <w:p>
      <w:pPr>
        <w:spacing w:after="120"/>
      </w:pPr>
    </w:p>
    <w:p>
      <w:pPr>
        <w:spacing w:after="120"/>
      </w:pPr>
      <w:r>
        <w:rPr>
          <w:i/>
          <w:iCs/>
          <w:color w:val="666666"/>
        </w:rPr>
        <w:t xml:space="preserve">Educational template - not legal advice. Review by qualified counsel before adoption.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AI Governance Enterprise Annex - Canada - v1.0 - Internal   |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A4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rPr>
      <w:b/>
      <w:bCs/>
      <w:color w:val="1F4D78"/>
      <w:sz w:val="40"/>
      <w:szCs w:val="40"/>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2026-09-03T18:24:35.406Z</dcterms:created>
  <dcterms:modified xsi:type="dcterms:W3CDTF">2026-09-03T18:24:35.406Z</dcterms:modified>
</cp:coreProperties>
</file>

<file path=docProps/custom.xml><?xml version="1.0" encoding="utf-8"?>
<Properties xmlns="http://schemas.openxmlformats.org/officeDocument/2006/custom-properties" xmlns:vt="http://schemas.openxmlformats.org/officeDocument/2006/docPropsVTypes"/>
</file>