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1F4D78"/>
        </w:rPr>
        <w:t xml:space="preserve">Research note - Canada AI policy set</w:t>
      </w:r>
    </w:p>
    <w:p>
      <w:pPr>
        <w:spacing w:after="120"/>
      </w:pPr>
      <w:r>
        <w:rPr>
          <w:b/>
          <w:bCs/>
        </w:rPr>
        <w:t xml:space="preserve">Built:</w:t>
      </w:r>
      <w:r>
        <w:t xml:space="preserve"> 3 September 2026</w:t>
      </w:r>
    </w:p>
    <w:p>
      <w:pPr>
        <w:spacing w:after="120"/>
      </w:pPr>
      <w:r>
        <w:rPr>
          <w:b/>
          <w:bCs/>
        </w:rPr>
        <w:t xml:space="preserve">Purpose:</w:t>
      </w:r>
      <w:r>
        <w:t xml:space="preserve"> every clause of the policy and annex traced to the provision or guidance it rests on. Provision identifiers live here, not in the policy body.</w:t>
      </w:r>
    </w:p>
    <w:p>
      <w:pPr>
        <w:spacing w:after="120"/>
      </w:pPr>
      <w:r>
        <w:rPr>
          <w:b/>
          <w:bCs/>
        </w:rPr>
        <w:t xml:space="preserve">Method:</w:t>
      </w:r>
      <w:r>
        <w:t xml:space="preserve"> primary sources only; every citation read in the held instrument; nothing asserted that is not held.</w:t>
      </w:r>
    </w:p>
    <w:p>
      <w:pPr>
        <w:pStyle w:val="Heading1"/>
        <w:spacing w:after="120" w:before="280"/>
      </w:pPr>
      <w:r>
        <w:rPr>
          <w:color w:val="2E74B5"/>
        </w:rPr>
        <w:t xml:space="preserve">1. Instruments held and how they were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EEAF6" w:color="auto" w:val="clear"/>
            <w:tcMar>
              <w:top w:type="dxa" w:w="60"/>
              <w:left w:type="dxa" w:w="100"/>
              <w:bottom w:type="dxa" w:w="60"/>
              <w:right w:type="dxa" w:w="100"/>
            </w:tcMar>
          </w:tcPr>
          <w:p>
            <w:r>
              <w:rPr>
                <w:b/>
                <w:bCs/>
                <w:sz w:val="18"/>
                <w:szCs w:val="18"/>
              </w:rPr>
              <w:t xml:space="preserve">Instrument</w:t>
            </w:r>
          </w:p>
        </w:tc>
        <w:tc>
          <w:tcPr>
            <w:tcW w:type="dxa" w:w="3120"/>
            <w:shd w:fill="DEEAF6" w:color="auto" w:val="clear"/>
            <w:tcMar>
              <w:top w:type="dxa" w:w="60"/>
              <w:left w:type="dxa" w:w="100"/>
              <w:bottom w:type="dxa" w:w="60"/>
              <w:right w:type="dxa" w:w="100"/>
            </w:tcMar>
          </w:tcPr>
          <w:p>
            <w:r>
              <w:rPr>
                <w:b/>
                <w:bCs/>
                <w:sz w:val="18"/>
                <w:szCs w:val="18"/>
              </w:rPr>
              <w:t xml:space="preserve">Version held</w:t>
            </w:r>
          </w:p>
        </w:tc>
        <w:tc>
          <w:tcPr>
            <w:tcW w:type="dxa" w:w="3120"/>
            <w:shd w:fill="DEEAF6" w:color="auto" w:val="clear"/>
            <w:tcMar>
              <w:top w:type="dxa" w:w="60"/>
              <w:left w:type="dxa" w:w="100"/>
              <w:bottom w:type="dxa" w:w="60"/>
              <w:right w:type="dxa" w:w="100"/>
            </w:tcMar>
          </w:tcPr>
          <w:p>
            <w:r>
              <w:rPr>
                <w:b/>
                <w:bCs/>
                <w:sz w:val="18"/>
                <w:szCs w:val="18"/>
              </w:rPr>
              <w:t xml:space="preserve">Read</w:t>
            </w:r>
          </w:p>
        </w:tc>
      </w:tr>
      <w:tr>
        <w:trPr>
          <w:tblHeader w:val="false"/>
        </w:trPr>
        <w:tc>
          <w:tcPr>
            <w:tcW w:type="dxa" w:w="3120"/>
            <w:tcMar>
              <w:top w:type="dxa" w:w="60"/>
              <w:left w:type="dxa" w:w="100"/>
              <w:bottom w:type="dxa" w:w="60"/>
              <w:right w:type="dxa" w:w="100"/>
            </w:tcMar>
          </w:tcPr>
          <w:p>
            <w:r>
              <w:rPr>
                <w:b w:val="false"/>
                <w:bCs w:val="false"/>
                <w:sz w:val="18"/>
                <w:szCs w:val="18"/>
              </w:rPr>
              <w:t xml:space="preserve">Personal Information Protection and Electronic Documents Act, S.C. 2000, c. 5 (PIPEDA)</w:t>
            </w:r>
          </w:p>
        </w:tc>
        <w:tc>
          <w:tcPr>
            <w:tcW w:type="dxa" w:w="3120"/>
            <w:tcMar>
              <w:top w:type="dxa" w:w="60"/>
              <w:left w:type="dxa" w:w="100"/>
              <w:bottom w:type="dxa" w:w="60"/>
              <w:right w:type="dxa" w:w="100"/>
            </w:tcMar>
          </w:tcPr>
          <w:p>
            <w:r>
              <w:rPr>
                <w:b w:val="false"/>
                <w:bCs w:val="false"/>
                <w:sz w:val="18"/>
                <w:szCs w:val="18"/>
              </w:rPr>
              <w:t xml:space="preserve">Justice Laws consolidation, current to 21 June 2026, last amended 4 March 2025; bilingual PDF, English column read</w:t>
            </w:r>
          </w:p>
        </w:tc>
        <w:tc>
          <w:tcPr>
            <w:tcW w:type="dxa" w:w="3120"/>
            <w:tcMar>
              <w:top w:type="dxa" w:w="60"/>
              <w:left w:type="dxa" w:w="100"/>
              <w:bottom w:type="dxa" w:w="60"/>
              <w:right w:type="dxa" w:w="100"/>
            </w:tcMar>
          </w:tcPr>
          <w:p>
            <w:r>
              <w:rPr>
                <w:b w:val="false"/>
                <w:bCs w:val="false"/>
                <w:sz w:val="18"/>
                <w:szCs w:val="18"/>
              </w:rPr>
              <w:t xml:space="preserve">ss 2, 4, 5, 6.1, 7(1), 8, 10.1, 10.3, 28; Schedule 1 clauses 4.1 to 4.10</w:t>
            </w:r>
          </w:p>
        </w:tc>
      </w:tr>
      <w:tr>
        <w:trPr>
          <w:tblHeader w:val="false"/>
        </w:trPr>
        <w:tc>
          <w:tcPr>
            <w:tcW w:type="dxa" w:w="3120"/>
            <w:tcMar>
              <w:top w:type="dxa" w:w="60"/>
              <w:left w:type="dxa" w:w="100"/>
              <w:bottom w:type="dxa" w:w="60"/>
              <w:right w:type="dxa" w:w="100"/>
            </w:tcMar>
          </w:tcPr>
          <w:p>
            <w:r>
              <w:rPr>
                <w:b w:val="false"/>
                <w:bCs w:val="false"/>
                <w:sz w:val="18"/>
                <w:szCs w:val="18"/>
              </w:rPr>
              <w:t xml:space="preserve">An Act to modernize legislative provisions as regards the protection of personal information, S.Q. 2021, c. 25 (Law 25)</w:t>
            </w:r>
          </w:p>
        </w:tc>
        <w:tc>
          <w:tcPr>
            <w:tcW w:type="dxa" w:w="3120"/>
            <w:tcMar>
              <w:top w:type="dxa" w:w="60"/>
              <w:left w:type="dxa" w:w="100"/>
              <w:bottom w:type="dxa" w:w="60"/>
              <w:right w:type="dxa" w:w="100"/>
            </w:tcMar>
          </w:tcPr>
          <w:p>
            <w:r>
              <w:rPr>
                <w:b w:val="false"/>
                <w:bCs w:val="false"/>
                <w:sz w:val="18"/>
                <w:szCs w:val="18"/>
              </w:rPr>
              <w:t xml:space="preserve">Annual statutes, English text, assented 22 September 2021, from Publications du Québec</w:t>
            </w:r>
          </w:p>
        </w:tc>
        <w:tc>
          <w:tcPr>
            <w:tcW w:type="dxa" w:w="3120"/>
            <w:tcMar>
              <w:top w:type="dxa" w:w="60"/>
              <w:left w:type="dxa" w:w="100"/>
              <w:bottom w:type="dxa" w:w="60"/>
              <w:right w:type="dxa" w:w="100"/>
            </w:tcMar>
          </w:tcPr>
          <w:p>
            <w:r>
              <w:rPr>
                <w:b w:val="false"/>
                <w:bCs w:val="false"/>
                <w:sz w:val="18"/>
                <w:szCs w:val="18"/>
              </w:rPr>
              <w:t xml:space="preserve">ss 103 to 111 as they enact ss 3.1 to 3.8, 4, 8.1, 8.2, 12, 12.1, 13, 14, 17 of the private-sector Act; s 159 (s 90.1); the penalty provisions; s 175 (coming into force)</w:t>
            </w:r>
          </w:p>
        </w:tc>
      </w:tr>
      <w:tr>
        <w:trPr>
          <w:tblHeader w:val="false"/>
        </w:trPr>
        <w:tc>
          <w:tcPr>
            <w:tcW w:type="dxa" w:w="3120"/>
            <w:tcMar>
              <w:top w:type="dxa" w:w="60"/>
              <w:left w:type="dxa" w:w="100"/>
              <w:bottom w:type="dxa" w:w="60"/>
              <w:right w:type="dxa" w:w="100"/>
            </w:tcMar>
          </w:tcPr>
          <w:p>
            <w:r>
              <w:rPr>
                <w:b w:val="false"/>
                <w:bCs w:val="false"/>
                <w:sz w:val="18"/>
                <w:szCs w:val="18"/>
              </w:rPr>
              <w:t xml:space="preserve">Bill C-36, An Act to enact the Protecting Privacy and Consumer Data Act, 45th Parliament, 1st session</w:t>
            </w:r>
          </w:p>
        </w:tc>
        <w:tc>
          <w:tcPr>
            <w:tcW w:type="dxa" w:w="3120"/>
            <w:tcMar>
              <w:top w:type="dxa" w:w="60"/>
              <w:left w:type="dxa" w:w="100"/>
              <w:bottom w:type="dxa" w:w="60"/>
              <w:right w:type="dxa" w:w="100"/>
            </w:tcMar>
          </w:tcPr>
          <w:p>
            <w:r>
              <w:rPr>
                <w:b w:val="false"/>
                <w:bCs w:val="false"/>
                <w:sz w:val="18"/>
                <w:szCs w:val="18"/>
              </w:rPr>
              <w:t xml:space="preserve">First reading, 15 June 2026; bilingual PDF, English column read</w:t>
            </w:r>
          </w:p>
        </w:tc>
        <w:tc>
          <w:tcPr>
            <w:tcW w:type="dxa" w:w="3120"/>
            <w:tcMar>
              <w:top w:type="dxa" w:w="60"/>
              <w:left w:type="dxa" w:w="100"/>
              <w:bottom w:type="dxa" w:w="60"/>
              <w:right w:type="dxa" w:w="100"/>
            </w:tcMar>
          </w:tcPr>
          <w:p>
            <w:r>
              <w:rPr>
                <w:b w:val="false"/>
                <w:bCs w:val="false"/>
                <w:sz w:val="18"/>
                <w:szCs w:val="18"/>
              </w:rPr>
              <w:t xml:space="preserve">Summary; table of provisions; ss 2 (definitions), 12, 62(1), 63(4)-(6) of the proposed Act</w:t>
            </w:r>
          </w:p>
        </w:tc>
      </w:tr>
      <w:tr>
        <w:trPr>
          <w:tblHeader w:val="false"/>
        </w:trPr>
        <w:tc>
          <w:tcPr>
            <w:tcW w:type="dxa" w:w="3120"/>
            <w:tcMar>
              <w:top w:type="dxa" w:w="60"/>
              <w:left w:type="dxa" w:w="100"/>
              <w:bottom w:type="dxa" w:w="60"/>
              <w:right w:type="dxa" w:w="100"/>
            </w:tcMar>
          </w:tcPr>
          <w:p>
            <w:r>
              <w:rPr>
                <w:b w:val="false"/>
                <w:bCs w:val="false"/>
                <w:sz w:val="18"/>
                <w:szCs w:val="18"/>
              </w:rPr>
              <w:t xml:space="preserve">Principles for responsible, trustworthy and privacy-protective generative AI technologies</w:t>
            </w:r>
          </w:p>
        </w:tc>
        <w:tc>
          <w:tcPr>
            <w:tcW w:type="dxa" w:w="3120"/>
            <w:tcMar>
              <w:top w:type="dxa" w:w="60"/>
              <w:left w:type="dxa" w:w="100"/>
              <w:bottom w:type="dxa" w:w="60"/>
              <w:right w:type="dxa" w:w="100"/>
            </w:tcMar>
          </w:tcPr>
          <w:p>
            <w:r>
              <w:rPr>
                <w:b w:val="false"/>
                <w:bCs w:val="false"/>
                <w:sz w:val="18"/>
                <w:szCs w:val="18"/>
              </w:rPr>
              <w:t xml:space="preserve">Office of the Privacy Commissioner of Canada with provincial and territorial counterparts, 7 December 2023</w:t>
            </w:r>
          </w:p>
        </w:tc>
        <w:tc>
          <w:tcPr>
            <w:tcW w:type="dxa" w:w="3120"/>
            <w:tcMar>
              <w:top w:type="dxa" w:w="60"/>
              <w:left w:type="dxa" w:w="100"/>
              <w:bottom w:type="dxa" w:w="60"/>
              <w:right w:type="dxa" w:w="100"/>
            </w:tcMar>
          </w:tcPr>
          <w:p>
            <w:r>
              <w:rPr>
                <w:b w:val="false"/>
                <w:bCs w:val="false"/>
                <w:sz w:val="18"/>
                <w:szCs w:val="18"/>
              </w:rPr>
              <w:t xml:space="preserve">In full</w:t>
            </w:r>
          </w:p>
        </w:tc>
      </w:tr>
      <w:tr>
        <w:trPr>
          <w:tblHeader w:val="false"/>
        </w:trPr>
        <w:tc>
          <w:tcPr>
            <w:tcW w:type="dxa" w:w="3120"/>
            <w:tcMar>
              <w:top w:type="dxa" w:w="60"/>
              <w:left w:type="dxa" w:w="100"/>
              <w:bottom w:type="dxa" w:w="60"/>
              <w:right w:type="dxa" w:w="100"/>
            </w:tcMar>
          </w:tcPr>
          <w:p>
            <w:r>
              <w:rPr>
                <w:b w:val="false"/>
                <w:bCs w:val="false"/>
                <w:sz w:val="18"/>
                <w:szCs w:val="18"/>
              </w:rPr>
              <w:t xml:space="preserve">AI, privacy, and your business</w:t>
            </w:r>
          </w:p>
        </w:tc>
        <w:tc>
          <w:tcPr>
            <w:tcW w:type="dxa" w:w="3120"/>
            <w:tcMar>
              <w:top w:type="dxa" w:w="60"/>
              <w:left w:type="dxa" w:w="100"/>
              <w:bottom w:type="dxa" w:w="60"/>
              <w:right w:type="dxa" w:w="100"/>
            </w:tcMar>
          </w:tcPr>
          <w:p>
            <w:r>
              <w:rPr>
                <w:b w:val="false"/>
                <w:bCs w:val="false"/>
                <w:sz w:val="18"/>
                <w:szCs w:val="18"/>
              </w:rPr>
              <w:t xml:space="preserve">Office of the Privacy Commissioner of Canada, web page</w:t>
            </w:r>
          </w:p>
        </w:tc>
        <w:tc>
          <w:tcPr>
            <w:tcW w:type="dxa" w:w="3120"/>
            <w:tcMar>
              <w:top w:type="dxa" w:w="60"/>
              <w:left w:type="dxa" w:w="100"/>
              <w:bottom w:type="dxa" w:w="60"/>
              <w:right w:type="dxa" w:w="100"/>
            </w:tcMar>
          </w:tcPr>
          <w:p>
            <w:r>
              <w:rPr>
                <w:b w:val="false"/>
                <w:bCs w:val="false"/>
                <w:sz w:val="18"/>
                <w:szCs w:val="18"/>
              </w:rPr>
              <w:t xml:space="preserve">In full (short)</w:t>
            </w:r>
          </w:p>
        </w:tc>
      </w:tr>
    </w:tbl>
    <w:p>
      <w:pPr>
        <w:spacing w:after="120"/>
      </w:pPr>
    </w:p>
    <w:p>
      <w:pPr>
        <w:spacing w:after="120"/>
      </w:pPr>
      <w:r>
        <w:rPr>
          <w:b/>
          <w:bCs/>
        </w:rPr>
        <w:t xml:space="preserve">Quebec consolidation.</w:t>
      </w:r>
      <w:r>
        <w:t xml:space="preserve"> The consolidated Act respecting the protection of personal information in the private sector (CQLR c P-39.1) on Légis Québec returned a server error at build. The set was built from the assented amending Act, which sets out the inserted and replaced provisions verbatim. The provisions relied on (ss 3.1 to 3.8, 8.1, 12, 12.1, 17, 90.1) are enacted by Law 25 and are stated in the amending Act in full; the consolidation would add only the "updated to" date and any later amendment. Annex A3 holds the item.</w:t>
      </w:r>
    </w:p>
    <w:p>
      <w:pPr>
        <w:pStyle w:val="Heading1"/>
        <w:spacing w:after="120" w:before="280"/>
      </w:pPr>
      <w:r>
        <w:rPr>
          <w:color w:val="2E74B5"/>
        </w:rPr>
        <w:t xml:space="preserve">2. Findings</w:t>
      </w:r>
    </w:p>
    <w:p>
      <w:pPr>
        <w:pStyle w:val="Heading2"/>
        <w:spacing w:after="100" w:before="200"/>
      </w:pPr>
      <w:r>
        <w:rPr>
          <w:color w:val="2E74B5"/>
        </w:rPr>
        <w:t xml:space="preserve">2.1 Quebec's section 12.1 is the only enacted automated-decision duty in Canada</w:t>
      </w:r>
    </w:p>
    <w:p>
      <w:pPr>
        <w:spacing w:after="120"/>
      </w:pPr>
      <w:r>
        <w:t xml:space="preserve">Law 25 s 110 replaces ss 12 to 14 of the private-sector Act. New s 12.1: a person carrying on an enterprise who uses personal information to render a decision based exclusively on an automated processing must inform the person concerned no later than when it informs them of the decision; must on request inform them of the personal information used, the reasons and the principal factors and parameters, and the right to have the information corrected; and must give the person the opportunity to submit observations to a member of the personnel in a position to review the decision. In force 22 September 2023 (s 175, default date). Section 90.1(5), enacted by s 159, makes failure to inform or to give the opportunity to submit observations a ground for a monetary administrative penalty. Policy clauses 1.3, 12, 13.</w:t>
      </w:r>
    </w:p>
    <w:p>
      <w:pPr>
        <w:pStyle w:val="Heading2"/>
        <w:spacing w:after="100" w:before="200"/>
      </w:pPr>
      <w:r>
        <w:rPr>
          <w:color w:val="2E74B5"/>
        </w:rPr>
        <w:t xml:space="preserve">2.2 The duty turns on "exclusively"</w:t>
      </w:r>
    </w:p>
    <w:p>
      <w:pPr>
        <w:spacing w:after="120"/>
      </w:pPr>
      <w:r>
        <w:t xml:space="preserve">Section 12.1 reaches decisions "based exclusively on an automated processing". A decision a person makes with AI support is outside it. The set makes that a recorded two-limb determination (clause 12) and applies the s 12.1 rights to substantially automated decisions as a house standard (clause 13.2), because the commissioners' principles (Accountability, organisations using generative AI) expect an effective challenge mechanism and human review for "any administrative or otherwise significant decision", and because Bill C-36 would reach predictions and recommendations as well as decisions.</w:t>
      </w:r>
    </w:p>
    <w:p>
      <w:pPr>
        <w:pStyle w:val="Heading2"/>
        <w:spacing w:after="100" w:before="200"/>
      </w:pPr>
      <w:r>
        <w:rPr>
          <w:color w:val="2E74B5"/>
        </w:rPr>
        <w:t xml:space="preserve">2.3 Bill C-36 would reach further, and is not law</w:t>
      </w:r>
    </w:p>
    <w:p>
      <w:pPr>
        <w:spacing w:after="120"/>
      </w:pPr>
      <w:r>
        <w:t xml:space="preserve">Bill C-36 s 2 defines "automated decision system" as any technology that assists or replaces the judgment of human decision-makers; s 62(1)(c) requires a general account of the organisation's use of any automated decision system to make predictions, recommendations or decisions that could have a legal or similarly significant effect; s 63(4) gives a right on request to an explanation of such a prediction, recommendation or decision; s 63(5) requires the explanation to indicate the type and source of personal information used and the reasons or principal factors; s 63(6) requires an opportunity to make written representations to an employee able to review; s 12(2) lists appropriate-purpose factors including necessity, effectiveness, less intrusive means and proportionality. The Summary states the bill repeals Part 1 of PIPEDA. First reading 15 June 2026; no further stage. Policy clause 4.2; annex A3.</w:t>
      </w:r>
    </w:p>
    <w:p>
      <w:pPr>
        <w:pStyle w:val="Heading2"/>
        <w:spacing w:after="100" w:before="200"/>
      </w:pPr>
      <w:r>
        <w:rPr>
          <w:color w:val="2E74B5"/>
        </w:rPr>
        <w:t xml:space="preserve">2.4 Inference is collection; public is not free</w:t>
      </w:r>
    </w:p>
    <w:p>
      <w:pPr>
        <w:spacing w:after="120"/>
      </w:pPr>
      <w:r>
        <w:t xml:space="preserve">Commissioners' principles, Legal Authority and Consent: "the inference of information about an identifiable individual (such as outputs about a person from a generative AI system) will be considered a collection of personal information, and as such would require legal authority." Limiting Collection: "the public accessibility of data does not mean that it can be indiscriminately collected or used." PIPEDA s 7(1)(d) permits collection without knowledge or consent of information that "is publicly available and is specified by the regulations" - the regulations are not held, so the set says only that the exception is confined to what they specify. Policy clauses 1.4, 7.2, 7.5.</w:t>
      </w:r>
    </w:p>
    <w:p>
      <w:pPr>
        <w:pStyle w:val="Heading2"/>
        <w:spacing w:after="100" w:before="200"/>
      </w:pPr>
      <w:r>
        <w:rPr>
          <w:color w:val="2E74B5"/>
        </w:rPr>
        <w:t xml:space="preserve">2.5 Two breach regimes with different thresholds and different clocks</w:t>
      </w:r>
    </w:p>
    <w:p>
      <w:pPr>
        <w:spacing w:after="120"/>
      </w:pPr>
      <w:r>
        <w:t xml:space="preserve">PIPEDA s 10.1(1): report to the Commissioner any breach of security safeguards where it is reasonable to believe the breach creates a real risk of significant harm; s 10.1(2) as soon as feasible after determining the breach has occurred; s 10.1(3) notify the individual on the same threshold; s 10.1(5)-(6) conspicuous, direct, as soon as feasible; s 10.1(7) significant harm defined; s 10.1(8) factors; s 10.3 records of every breach, provided to the Commissioner on request; s 28 knowing contravention of s 10.1 or s 10.3(1) is an offence with fines up to $100,000. Law 25 s 103 enacts s 3.5: reasonable measures to reduce injury and prevent recurrence; where the incident presents a risk of serious injury, promptly notify the Commission and the persons concerned; s 3.6 defines confidentiality incident; s 3.7 the risk factors and consultation of the person in charge; s 3.8 the register, copied to the Commission on request. In force 22 September 2022 (s 175(2)). Policy clause 20.5; annex A9.</w:t>
      </w:r>
    </w:p>
    <w:p>
      <w:pPr>
        <w:pStyle w:val="Heading2"/>
        <w:spacing w:after="100" w:before="200"/>
      </w:pPr>
      <w:r>
        <w:rPr>
          <w:color w:val="2E74B5"/>
        </w:rPr>
        <w:t xml:space="preserve">2.6 Quebec's transfer assessment reaches cloud AI</w:t>
      </w:r>
    </w:p>
    <w:p>
      <w:pPr>
        <w:spacing w:after="120"/>
      </w:pPr>
      <w:r>
        <w:t xml:space="preserve">Law 25 s 111 replaces s 17: before communicating personal information outside Quebec, a privacy impact assessment of sensitivity, purposes, protection measures including contractual ones, and the receiving state's legal framework; communication only if the assessment establishes adequate protection, under a written agreement reflecting it. The third paragraph extends this to entrusting a person outside Quebec with collecting, using, communicating or keeping the information on the enterprise's behalf. Policy clause 9.4; annex A6.</w:t>
      </w:r>
    </w:p>
    <w:p>
      <w:pPr>
        <w:pStyle w:val="Heading2"/>
        <w:spacing w:after="100" w:before="200"/>
      </w:pPr>
      <w:r>
        <w:rPr>
          <w:color w:val="2E74B5"/>
        </w:rPr>
        <w:t xml:space="preserve">2.7 Profiling functions must be disclosed and are opt-in by design</w:t>
      </w:r>
    </w:p>
    <w:p>
      <w:pPr>
        <w:spacing w:after="120"/>
      </w:pPr>
      <w:r>
        <w:t xml:space="preserve">Law 25 s 107 enacts s 8.1: where personal information is collected using technology with functions allowing the person to be identified, located or profiled, the person is informed first of the use of the technology and of the means available to activate the functions. The definition of profiling names work performance, economic situation, health, personal preferences, interests and behaviour. Policy clause 8.4.</w:t>
      </w:r>
    </w:p>
    <w:p>
      <w:pPr>
        <w:pStyle w:val="Heading2"/>
        <w:spacing w:after="100" w:before="200"/>
      </w:pPr>
      <w:r>
        <w:rPr>
          <w:color w:val="2E74B5"/>
        </w:rPr>
        <w:t xml:space="preserve">2.8 The commencement schedule</w:t>
      </w:r>
    </w:p>
    <w:p>
      <w:pPr>
        <w:spacing w:after="120"/>
      </w:pPr>
      <w:r>
        <w:t xml:space="preserve">Law 25 s 175: default date 22 September 2023; the listed exceptions include s 103 insofar as it enacts ss 3.1 and 3.5 to 3.8 (22 September 2022), and s 120 insofar as it enacts the third paragraph of s 27 (portability, 22 September 2024). Policy clause 4.1.</w:t>
      </w:r>
    </w:p>
    <w:p>
      <w:pPr>
        <w:pStyle w:val="Heading2"/>
        <w:spacing w:after="100" w:before="200"/>
      </w:pPr>
      <w:r>
        <w:rPr>
          <w:color w:val="2E74B5"/>
        </w:rPr>
        <w:t xml:space="preserve">2.9 Penalties</w:t>
      </w:r>
    </w:p>
    <w:p>
      <w:pPr>
        <w:spacing w:after="120"/>
      </w:pPr>
      <w:r>
        <w:t xml:space="preserve">Law 25 s 159 enacts s 90.1, the monetary administrative penalty grounds; the maximum for a person other than a natural person is $10,000,000 or, if greater, 2% of worldwide turnover for the preceding fiscal year; s 160 replaces ss 91 to 92.1: penal proceedings carry fines up to $25,000,000 or, if greater, 4% of worldwide turnover. PIPEDA s 28: offences for knowing contravention of the breach provisions, up to $100,000. Policy clause 1.2 states the Quebec administrative maximum; the set otherwise names the regimes without figures.</w:t>
      </w:r>
    </w:p>
    <w:p>
      <w:pPr>
        <w:pStyle w:val="Heading1"/>
        <w:spacing w:after="120" w:before="280"/>
      </w:pPr>
      <w:r>
        <w:rPr>
          <w:color w:val="2E74B5"/>
        </w:rPr>
        <w:t xml:space="preserve">3. Clause-by-clause basis -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EEAF6" w:color="auto" w:val="clear"/>
            <w:tcMar>
              <w:top w:type="dxa" w:w="60"/>
              <w:left w:type="dxa" w:w="100"/>
              <w:bottom w:type="dxa" w:w="60"/>
              <w:right w:type="dxa" w:w="100"/>
            </w:tcMar>
          </w:tcPr>
          <w:p>
            <w:r>
              <w:rPr>
                <w:b/>
                <w:bCs/>
                <w:sz w:val="18"/>
                <w:szCs w:val="18"/>
              </w:rPr>
              <w:t xml:space="preserve">Clause</w:t>
            </w:r>
          </w:p>
        </w:tc>
        <w:tc>
          <w:tcPr>
            <w:tcW w:type="dxa" w:w="4680"/>
            <w:shd w:fill="DEEAF6" w:color="auto" w:val="clear"/>
            <w:tcMar>
              <w:top w:type="dxa" w:w="60"/>
              <w:left w:type="dxa" w:w="100"/>
              <w:bottom w:type="dxa" w:w="60"/>
              <w:right w:type="dxa" w:w="100"/>
            </w:tcMar>
          </w:tcPr>
          <w:p>
            <w:r>
              <w:rPr>
                <w:b/>
                <w:bCs/>
                <w:sz w:val="18"/>
                <w:szCs w:val="18"/>
              </w:rPr>
              <w:t xml:space="preserve">Rests on</w:t>
            </w:r>
          </w:p>
        </w:tc>
      </w:tr>
      <w:tr>
        <w:trPr>
          <w:tblHeader w:val="false"/>
        </w:trPr>
        <w:tc>
          <w:tcPr>
            <w:tcW w:type="dxa" w:w="4680"/>
            <w:tcMar>
              <w:top w:type="dxa" w:w="60"/>
              <w:left w:type="dxa" w:w="100"/>
              <w:bottom w:type="dxa" w:w="60"/>
              <w:right w:type="dxa" w:w="100"/>
            </w:tcMar>
          </w:tcPr>
          <w:p>
            <w:r>
              <w:rPr>
                <w:b w:val="false"/>
                <w:bCs w:val="false"/>
                <w:sz w:val="18"/>
                <w:szCs w:val="18"/>
              </w:rPr>
              <w:t xml:space="preserve">1.1</w:t>
            </w:r>
          </w:p>
        </w:tc>
        <w:tc>
          <w:tcPr>
            <w:tcW w:type="dxa" w:w="4680"/>
            <w:tcMar>
              <w:top w:type="dxa" w:w="60"/>
              <w:left w:type="dxa" w:w="100"/>
              <w:bottom w:type="dxa" w:w="60"/>
              <w:right w:type="dxa" w:w="100"/>
            </w:tcMar>
          </w:tcPr>
          <w:p>
            <w:r>
              <w:rPr>
                <w:b w:val="false"/>
                <w:bCs w:val="false"/>
                <w:sz w:val="18"/>
                <w:szCs w:val="18"/>
              </w:rPr>
              <w:t xml:space="preserve">Bill C-36 front matter (first reading 15 June 2026); Summary</w:t>
            </w:r>
          </w:p>
        </w:tc>
      </w:tr>
      <w:tr>
        <w:trPr>
          <w:tblHeader w:val="false"/>
        </w:trPr>
        <w:tc>
          <w:tcPr>
            <w:tcW w:type="dxa" w:w="4680"/>
            <w:tcMar>
              <w:top w:type="dxa" w:w="60"/>
              <w:left w:type="dxa" w:w="100"/>
              <w:bottom w:type="dxa" w:w="60"/>
              <w:right w:type="dxa" w:w="100"/>
            </w:tcMar>
          </w:tcPr>
          <w:p>
            <w:r>
              <w:rPr>
                <w:b w:val="false"/>
                <w:bCs w:val="false"/>
                <w:sz w:val="18"/>
                <w:szCs w:val="18"/>
              </w:rPr>
              <w:t xml:space="preserve">1.2</w:t>
            </w:r>
          </w:p>
        </w:tc>
        <w:tc>
          <w:tcPr>
            <w:tcW w:type="dxa" w:w="4680"/>
            <w:tcMar>
              <w:top w:type="dxa" w:w="60"/>
              <w:left w:type="dxa" w:w="100"/>
              <w:bottom w:type="dxa" w:w="60"/>
              <w:right w:type="dxa" w:w="100"/>
            </w:tcMar>
          </w:tcPr>
          <w:p>
            <w:r>
              <w:rPr>
                <w:b w:val="false"/>
                <w:bCs w:val="false"/>
                <w:sz w:val="18"/>
                <w:szCs w:val="18"/>
              </w:rPr>
              <w:t xml:space="preserve">PIPEDA s 4(1)(a)-(b); Law 25 ss 103 (3.1, 3.3), 110 (12, 13), 111 (17), 159 (90.1), 160 (penal fines)</w:t>
            </w:r>
          </w:p>
        </w:tc>
      </w:tr>
      <w:tr>
        <w:trPr>
          <w:tblHeader w:val="false"/>
        </w:trPr>
        <w:tc>
          <w:tcPr>
            <w:tcW w:type="dxa" w:w="4680"/>
            <w:tcMar>
              <w:top w:type="dxa" w:w="60"/>
              <w:left w:type="dxa" w:w="100"/>
              <w:bottom w:type="dxa" w:w="60"/>
              <w:right w:type="dxa" w:w="100"/>
            </w:tcMar>
          </w:tcPr>
          <w:p>
            <w:r>
              <w:rPr>
                <w:b w:val="false"/>
                <w:bCs w:val="false"/>
                <w:sz w:val="18"/>
                <w:szCs w:val="18"/>
              </w:rPr>
              <w:t xml:space="preserve">1.3</w:t>
            </w:r>
          </w:p>
        </w:tc>
        <w:tc>
          <w:tcPr>
            <w:tcW w:type="dxa" w:w="4680"/>
            <w:tcMar>
              <w:top w:type="dxa" w:w="60"/>
              <w:left w:type="dxa" w:w="100"/>
              <w:bottom w:type="dxa" w:w="60"/>
              <w:right w:type="dxa" w:w="100"/>
            </w:tcMar>
          </w:tcPr>
          <w:p>
            <w:r>
              <w:rPr>
                <w:b w:val="false"/>
                <w:bCs w:val="false"/>
                <w:sz w:val="18"/>
                <w:szCs w:val="18"/>
              </w:rPr>
              <w:t xml:space="preserve">Law 25 s 110 (s 12.1); s 159 (s 90.1(5)); s 175</w:t>
            </w:r>
          </w:p>
        </w:tc>
      </w:tr>
      <w:tr>
        <w:trPr>
          <w:tblHeader w:val="false"/>
        </w:trPr>
        <w:tc>
          <w:tcPr>
            <w:tcW w:type="dxa" w:w="4680"/>
            <w:tcMar>
              <w:top w:type="dxa" w:w="60"/>
              <w:left w:type="dxa" w:w="100"/>
              <w:bottom w:type="dxa" w:w="60"/>
              <w:right w:type="dxa" w:w="100"/>
            </w:tcMar>
          </w:tcPr>
          <w:p>
            <w:r>
              <w:rPr>
                <w:b w:val="false"/>
                <w:bCs w:val="false"/>
                <w:sz w:val="18"/>
                <w:szCs w:val="18"/>
              </w:rPr>
              <w:t xml:space="preserve">1.4</w:t>
            </w:r>
          </w:p>
        </w:tc>
        <w:tc>
          <w:tcPr>
            <w:tcW w:type="dxa" w:w="4680"/>
            <w:tcMar>
              <w:top w:type="dxa" w:w="60"/>
              <w:left w:type="dxa" w:w="100"/>
              <w:bottom w:type="dxa" w:w="60"/>
              <w:right w:type="dxa" w:w="100"/>
            </w:tcMar>
          </w:tcPr>
          <w:p>
            <w:r>
              <w:rPr>
                <w:b w:val="false"/>
                <w:bCs w:val="false"/>
                <w:sz w:val="18"/>
                <w:szCs w:val="18"/>
              </w:rPr>
              <w:t xml:space="preserve">Commissioners' principles, Legal Authority and Consent; Limiting Collection; PIPEDA s 7(1)(d)</w:t>
            </w:r>
          </w:p>
        </w:tc>
      </w:tr>
      <w:tr>
        <w:trPr>
          <w:tblHeader w:val="false"/>
        </w:trPr>
        <w:tc>
          <w:tcPr>
            <w:tcW w:type="dxa" w:w="4680"/>
            <w:tcMar>
              <w:top w:type="dxa" w:w="60"/>
              <w:left w:type="dxa" w:w="100"/>
              <w:bottom w:type="dxa" w:w="60"/>
              <w:right w:type="dxa" w:w="100"/>
            </w:tcMar>
          </w:tcPr>
          <w:p>
            <w:r>
              <w:rPr>
                <w:b w:val="false"/>
                <w:bCs w:val="false"/>
                <w:sz w:val="18"/>
                <w:szCs w:val="18"/>
              </w:rPr>
              <w:t xml:space="preserve">2.1.1</w:t>
            </w:r>
          </w:p>
        </w:tc>
        <w:tc>
          <w:tcPr>
            <w:tcW w:type="dxa" w:w="4680"/>
            <w:tcMar>
              <w:top w:type="dxa" w:w="60"/>
              <w:left w:type="dxa" w:w="100"/>
              <w:bottom w:type="dxa" w:w="60"/>
              <w:right w:type="dxa" w:w="100"/>
            </w:tcMar>
          </w:tcPr>
          <w:p>
            <w:r>
              <w:rPr>
                <w:b w:val="false"/>
                <w:bCs w:val="false"/>
                <w:sz w:val="18"/>
                <w:szCs w:val="18"/>
              </w:rPr>
              <w:t xml:space="preserve">PIPEDA s 4(1)(a), (b)</w:t>
            </w:r>
          </w:p>
        </w:tc>
      </w:tr>
      <w:tr>
        <w:trPr>
          <w:tblHeader w:val="false"/>
        </w:trPr>
        <w:tc>
          <w:tcPr>
            <w:tcW w:type="dxa" w:w="4680"/>
            <w:tcMar>
              <w:top w:type="dxa" w:w="60"/>
              <w:left w:type="dxa" w:w="100"/>
              <w:bottom w:type="dxa" w:w="60"/>
              <w:right w:type="dxa" w:w="100"/>
            </w:tcMar>
          </w:tcPr>
          <w:p>
            <w:r>
              <w:rPr>
                <w:b w:val="false"/>
                <w:bCs w:val="false"/>
                <w:sz w:val="18"/>
                <w:szCs w:val="18"/>
              </w:rPr>
              <w:t xml:space="preserve">2.1.2</w:t>
            </w:r>
          </w:p>
        </w:tc>
        <w:tc>
          <w:tcPr>
            <w:tcW w:type="dxa" w:w="4680"/>
            <w:tcMar>
              <w:top w:type="dxa" w:w="60"/>
              <w:left w:type="dxa" w:w="100"/>
              <w:bottom w:type="dxa" w:w="60"/>
              <w:right w:type="dxa" w:w="100"/>
            </w:tcMar>
          </w:tcPr>
          <w:p>
            <w:r>
              <w:rPr>
                <w:b w:val="false"/>
                <w:bCs w:val="false"/>
                <w:sz w:val="18"/>
                <w:szCs w:val="18"/>
              </w:rPr>
              <w:t xml:space="preserve">Law 25 s 103 (s 3.1 "any person carrying on an enterprise")</w:t>
            </w:r>
          </w:p>
        </w:tc>
      </w:tr>
      <w:tr>
        <w:trPr>
          <w:tblHeader w:val="false"/>
        </w:trPr>
        <w:tc>
          <w:tcPr>
            <w:tcW w:type="dxa" w:w="4680"/>
            <w:tcMar>
              <w:top w:type="dxa" w:w="60"/>
              <w:left w:type="dxa" w:w="100"/>
              <w:bottom w:type="dxa" w:w="60"/>
              <w:right w:type="dxa" w:w="100"/>
            </w:tcMar>
          </w:tcPr>
          <w:p>
            <w:r>
              <w:rPr>
                <w:b w:val="false"/>
                <w:bCs w:val="false"/>
                <w:sz w:val="18"/>
                <w:szCs w:val="18"/>
              </w:rPr>
              <w:t xml:space="preserve">2.1.3</w:t>
            </w:r>
          </w:p>
        </w:tc>
        <w:tc>
          <w:tcPr>
            <w:tcW w:type="dxa" w:w="4680"/>
            <w:tcMar>
              <w:top w:type="dxa" w:w="60"/>
              <w:left w:type="dxa" w:w="100"/>
              <w:bottom w:type="dxa" w:w="60"/>
              <w:right w:type="dxa" w:w="100"/>
            </w:tcMar>
          </w:tcPr>
          <w:p>
            <w:r>
              <w:rPr>
                <w:b w:val="false"/>
                <w:bCs w:val="false"/>
                <w:sz w:val="18"/>
                <w:szCs w:val="18"/>
              </w:rPr>
              <w:t xml:space="preserve">PIPEDA s 26(2)(b) (substantially similar provincial legislation) - named, the Acts not held</w:t>
            </w:r>
          </w:p>
        </w:tc>
      </w:tr>
      <w:tr>
        <w:trPr>
          <w:tblHeader w:val="false"/>
        </w:trPr>
        <w:tc>
          <w:tcPr>
            <w:tcW w:type="dxa" w:w="4680"/>
            <w:tcMar>
              <w:top w:type="dxa" w:w="60"/>
              <w:left w:type="dxa" w:w="100"/>
              <w:bottom w:type="dxa" w:w="60"/>
              <w:right w:type="dxa" w:w="100"/>
            </w:tcMar>
          </w:tcPr>
          <w:p>
            <w:r>
              <w:rPr>
                <w:b w:val="false"/>
                <w:bCs w:val="false"/>
                <w:sz w:val="18"/>
                <w:szCs w:val="18"/>
              </w:rPr>
              <w:t xml:space="preserve">2.1.4</w:t>
            </w:r>
          </w:p>
        </w:tc>
        <w:tc>
          <w:tcPr>
            <w:tcW w:type="dxa" w:w="4680"/>
            <w:tcMar>
              <w:top w:type="dxa" w:w="60"/>
              <w:left w:type="dxa" w:w="100"/>
              <w:bottom w:type="dxa" w:w="60"/>
              <w:right w:type="dxa" w:w="100"/>
            </w:tcMar>
          </w:tcPr>
          <w:p>
            <w:r>
              <w:rPr>
                <w:b w:val="false"/>
                <w:bCs w:val="false"/>
                <w:sz w:val="18"/>
                <w:szCs w:val="18"/>
              </w:rPr>
              <w:t xml:space="preserve">House decision; commissioners' principles, vulnerable groups (employment as a highly impactful context)</w:t>
            </w:r>
          </w:p>
        </w:tc>
      </w:tr>
      <w:tr>
        <w:trPr>
          <w:tblHeader w:val="false"/>
        </w:trPr>
        <w:tc>
          <w:tcPr>
            <w:tcW w:type="dxa" w:w="4680"/>
            <w:tcMar>
              <w:top w:type="dxa" w:w="60"/>
              <w:left w:type="dxa" w:w="100"/>
              <w:bottom w:type="dxa" w:w="60"/>
              <w:right w:type="dxa" w:w="100"/>
            </w:tcMar>
          </w:tcPr>
          <w:p>
            <w:r>
              <w:rPr>
                <w:b w:val="false"/>
                <w:bCs w:val="false"/>
                <w:sz w:val="18"/>
                <w:szCs w:val="18"/>
              </w:rPr>
              <w:t xml:space="preserve">3.1</w:t>
            </w:r>
          </w:p>
        </w:tc>
        <w:tc>
          <w:tcPr>
            <w:tcW w:type="dxa" w:w="4680"/>
            <w:tcMar>
              <w:top w:type="dxa" w:w="60"/>
              <w:left w:type="dxa" w:w="100"/>
              <w:bottom w:type="dxa" w:w="60"/>
              <w:right w:type="dxa" w:w="100"/>
            </w:tcMar>
          </w:tcPr>
          <w:p>
            <w:r>
              <w:rPr>
                <w:b w:val="false"/>
                <w:bCs w:val="false"/>
                <w:sz w:val="18"/>
                <w:szCs w:val="18"/>
              </w:rPr>
              <w:t xml:space="preserve">PIPEDA s 5(3); Law 25 s 104 (s 4: serious and legitimate reason; purposes determined before collection)</w:t>
            </w:r>
          </w:p>
        </w:tc>
      </w:tr>
      <w:tr>
        <w:trPr>
          <w:tblHeader w:val="false"/>
        </w:trPr>
        <w:tc>
          <w:tcPr>
            <w:tcW w:type="dxa" w:w="4680"/>
            <w:tcMar>
              <w:top w:type="dxa" w:w="60"/>
              <w:left w:type="dxa" w:w="100"/>
              <w:bottom w:type="dxa" w:w="60"/>
              <w:right w:type="dxa" w:w="100"/>
            </w:tcMar>
          </w:tcPr>
          <w:p>
            <w:r>
              <w:rPr>
                <w:b w:val="false"/>
                <w:bCs w:val="false"/>
                <w:sz w:val="18"/>
                <w:szCs w:val="18"/>
              </w:rPr>
              <w:t xml:space="preserve">3.2</w:t>
            </w:r>
          </w:p>
        </w:tc>
        <w:tc>
          <w:tcPr>
            <w:tcW w:type="dxa" w:w="4680"/>
            <w:tcMar>
              <w:top w:type="dxa" w:w="60"/>
              <w:left w:type="dxa" w:w="100"/>
              <w:bottom w:type="dxa" w:w="60"/>
              <w:right w:type="dxa" w:w="100"/>
            </w:tcMar>
          </w:tcPr>
          <w:p>
            <w:r>
              <w:rPr>
                <w:b w:val="false"/>
                <w:bCs w:val="false"/>
                <w:sz w:val="18"/>
                <w:szCs w:val="18"/>
              </w:rPr>
              <w:t xml:space="preserve">PIPEDA Sch 1 cl 4.3, s 6.1; Law 25 s 110 (s 12 first paragraph, s 13, s 14)</w:t>
            </w:r>
          </w:p>
        </w:tc>
      </w:tr>
      <w:tr>
        <w:trPr>
          <w:tblHeader w:val="false"/>
        </w:trPr>
        <w:tc>
          <w:tcPr>
            <w:tcW w:type="dxa" w:w="4680"/>
            <w:tcMar>
              <w:top w:type="dxa" w:w="60"/>
              <w:left w:type="dxa" w:w="100"/>
              <w:bottom w:type="dxa" w:w="60"/>
              <w:right w:type="dxa" w:w="100"/>
            </w:tcMar>
          </w:tcPr>
          <w:p>
            <w:r>
              <w:rPr>
                <w:b w:val="false"/>
                <w:bCs w:val="false"/>
                <w:sz w:val="18"/>
                <w:szCs w:val="18"/>
              </w:rPr>
              <w:t xml:space="preserve">3.3</w:t>
            </w:r>
          </w:p>
        </w:tc>
        <w:tc>
          <w:tcPr>
            <w:tcW w:type="dxa" w:w="4680"/>
            <w:tcMar>
              <w:top w:type="dxa" w:w="60"/>
              <w:left w:type="dxa" w:w="100"/>
              <w:bottom w:type="dxa" w:w="60"/>
              <w:right w:type="dxa" w:w="100"/>
            </w:tcMar>
          </w:tcPr>
          <w:p>
            <w:r>
              <w:rPr>
                <w:b w:val="false"/>
                <w:bCs w:val="false"/>
                <w:sz w:val="18"/>
                <w:szCs w:val="18"/>
              </w:rPr>
              <w:t xml:space="preserve">PIPEDA Sch 1 cl 4.5, 4.5.1; Law 25 s 110 (s 12 second and third paragraphs)</w:t>
            </w:r>
          </w:p>
        </w:tc>
      </w:tr>
      <w:tr>
        <w:trPr>
          <w:tblHeader w:val="false"/>
        </w:trPr>
        <w:tc>
          <w:tcPr>
            <w:tcW w:type="dxa" w:w="4680"/>
            <w:tcMar>
              <w:top w:type="dxa" w:w="60"/>
              <w:left w:type="dxa" w:w="100"/>
              <w:bottom w:type="dxa" w:w="60"/>
              <w:right w:type="dxa" w:w="100"/>
            </w:tcMar>
          </w:tcPr>
          <w:p>
            <w:r>
              <w:rPr>
                <w:b w:val="false"/>
                <w:bCs w:val="false"/>
                <w:sz w:val="18"/>
                <w:szCs w:val="18"/>
              </w:rPr>
              <w:t xml:space="preserve">3.4</w:t>
            </w:r>
          </w:p>
        </w:tc>
        <w:tc>
          <w:tcPr>
            <w:tcW w:type="dxa" w:w="4680"/>
            <w:tcMar>
              <w:top w:type="dxa" w:w="60"/>
              <w:left w:type="dxa" w:w="100"/>
              <w:bottom w:type="dxa" w:w="60"/>
              <w:right w:type="dxa" w:w="100"/>
            </w:tcMar>
          </w:tcPr>
          <w:p>
            <w:r>
              <w:rPr>
                <w:b w:val="false"/>
                <w:bCs w:val="false"/>
                <w:sz w:val="18"/>
                <w:szCs w:val="18"/>
              </w:rPr>
              <w:t xml:space="preserve">Law 25 s 103 (s 3.3), s 111 (s 17); commissioners' principles, Accountability (PIAs and AIAs)</w:t>
            </w:r>
          </w:p>
        </w:tc>
      </w:tr>
      <w:tr>
        <w:trPr>
          <w:tblHeader w:val="false"/>
        </w:trPr>
        <w:tc>
          <w:tcPr>
            <w:tcW w:type="dxa" w:w="4680"/>
            <w:tcMar>
              <w:top w:type="dxa" w:w="60"/>
              <w:left w:type="dxa" w:w="100"/>
              <w:bottom w:type="dxa" w:w="60"/>
              <w:right w:type="dxa" w:w="100"/>
            </w:tcMar>
          </w:tcPr>
          <w:p>
            <w:r>
              <w:rPr>
                <w:b w:val="false"/>
                <w:bCs w:val="false"/>
                <w:sz w:val="18"/>
                <w:szCs w:val="18"/>
              </w:rPr>
              <w:t xml:space="preserve">3.5</w:t>
            </w:r>
          </w:p>
        </w:tc>
        <w:tc>
          <w:tcPr>
            <w:tcW w:type="dxa" w:w="4680"/>
            <w:tcMar>
              <w:top w:type="dxa" w:w="60"/>
              <w:left w:type="dxa" w:w="100"/>
              <w:bottom w:type="dxa" w:w="60"/>
              <w:right w:type="dxa" w:w="100"/>
            </w:tcMar>
          </w:tcPr>
          <w:p>
            <w:r>
              <w:rPr>
                <w:b w:val="false"/>
                <w:bCs w:val="false"/>
                <w:sz w:val="18"/>
                <w:szCs w:val="18"/>
              </w:rPr>
              <w:t xml:space="preserve">Law 25 s 110 (s 12.1); finding 2.2</w:t>
            </w:r>
          </w:p>
        </w:tc>
      </w:tr>
      <w:tr>
        <w:trPr>
          <w:tblHeader w:val="false"/>
        </w:trPr>
        <w:tc>
          <w:tcPr>
            <w:tcW w:type="dxa" w:w="4680"/>
            <w:tcMar>
              <w:top w:type="dxa" w:w="60"/>
              <w:left w:type="dxa" w:w="100"/>
              <w:bottom w:type="dxa" w:w="60"/>
              <w:right w:type="dxa" w:w="100"/>
            </w:tcMar>
          </w:tcPr>
          <w:p>
            <w:r>
              <w:rPr>
                <w:b w:val="false"/>
                <w:bCs w:val="false"/>
                <w:sz w:val="18"/>
                <w:szCs w:val="18"/>
              </w:rPr>
              <w:t xml:space="preserve">3.6</w:t>
            </w:r>
          </w:p>
        </w:tc>
        <w:tc>
          <w:tcPr>
            <w:tcW w:type="dxa" w:w="4680"/>
            <w:tcMar>
              <w:top w:type="dxa" w:w="60"/>
              <w:left w:type="dxa" w:w="100"/>
              <w:bottom w:type="dxa" w:w="60"/>
              <w:right w:type="dxa" w:w="100"/>
            </w:tcMar>
          </w:tcPr>
          <w:p>
            <w:r>
              <w:rPr>
                <w:b w:val="false"/>
                <w:bCs w:val="false"/>
                <w:sz w:val="18"/>
                <w:szCs w:val="18"/>
              </w:rPr>
              <w:t xml:space="preserve">PIPEDA ss 10.1, 10.3; Law 25 s 103 (ss 3.5-3.8)</w:t>
            </w:r>
          </w:p>
        </w:tc>
      </w:tr>
      <w:tr>
        <w:trPr>
          <w:tblHeader w:val="false"/>
        </w:trPr>
        <w:tc>
          <w:tcPr>
            <w:tcW w:type="dxa" w:w="4680"/>
            <w:tcMar>
              <w:top w:type="dxa" w:w="60"/>
              <w:left w:type="dxa" w:w="100"/>
              <w:bottom w:type="dxa" w:w="60"/>
              <w:right w:type="dxa" w:w="100"/>
            </w:tcMar>
          </w:tcPr>
          <w:p>
            <w:r>
              <w:rPr>
                <w:b w:val="false"/>
                <w:bCs w:val="false"/>
                <w:sz w:val="18"/>
                <w:szCs w:val="18"/>
              </w:rPr>
              <w:t xml:space="preserve">4.1</w:t>
            </w:r>
          </w:p>
        </w:tc>
        <w:tc>
          <w:tcPr>
            <w:tcW w:type="dxa" w:w="4680"/>
            <w:tcMar>
              <w:top w:type="dxa" w:w="60"/>
              <w:left w:type="dxa" w:w="100"/>
              <w:bottom w:type="dxa" w:w="60"/>
              <w:right w:type="dxa" w:w="100"/>
            </w:tcMar>
          </w:tcPr>
          <w:p>
            <w:r>
              <w:rPr>
                <w:b w:val="false"/>
                <w:bCs w:val="false"/>
                <w:sz w:val="18"/>
                <w:szCs w:val="18"/>
              </w:rPr>
              <w:t xml:space="preserve">Law 25 s 175(2), default date, s 175(3)</w:t>
            </w:r>
          </w:p>
        </w:tc>
      </w:tr>
      <w:tr>
        <w:trPr>
          <w:tblHeader w:val="false"/>
        </w:trPr>
        <w:tc>
          <w:tcPr>
            <w:tcW w:type="dxa" w:w="4680"/>
            <w:tcMar>
              <w:top w:type="dxa" w:w="60"/>
              <w:left w:type="dxa" w:w="100"/>
              <w:bottom w:type="dxa" w:w="60"/>
              <w:right w:type="dxa" w:w="100"/>
            </w:tcMar>
          </w:tcPr>
          <w:p>
            <w:r>
              <w:rPr>
                <w:b w:val="false"/>
                <w:bCs w:val="false"/>
                <w:sz w:val="18"/>
                <w:szCs w:val="18"/>
              </w:rPr>
              <w:t xml:space="preserve">4.2</w:t>
            </w:r>
          </w:p>
        </w:tc>
        <w:tc>
          <w:tcPr>
            <w:tcW w:type="dxa" w:w="4680"/>
            <w:tcMar>
              <w:top w:type="dxa" w:w="60"/>
              <w:left w:type="dxa" w:w="100"/>
              <w:bottom w:type="dxa" w:w="60"/>
              <w:right w:type="dxa" w:w="100"/>
            </w:tcMar>
          </w:tcPr>
          <w:p>
            <w:r>
              <w:rPr>
                <w:b w:val="false"/>
                <w:bCs w:val="false"/>
                <w:sz w:val="18"/>
                <w:szCs w:val="18"/>
              </w:rPr>
              <w:t xml:space="preserve">Bill C-36 ss 2, 12(2), 62(1)(c), 63(4)-(6); Summary</w:t>
            </w:r>
          </w:p>
        </w:tc>
      </w:tr>
      <w:tr>
        <w:trPr>
          <w:tblHeader w:val="false"/>
        </w:trPr>
        <w:tc>
          <w:tcPr>
            <w:tcW w:type="dxa" w:w="4680"/>
            <w:tcMar>
              <w:top w:type="dxa" w:w="60"/>
              <w:left w:type="dxa" w:w="100"/>
              <w:bottom w:type="dxa" w:w="60"/>
              <w:right w:type="dxa" w:w="100"/>
            </w:tcMar>
          </w:tcPr>
          <w:p>
            <w:r>
              <w:rPr>
                <w:b w:val="false"/>
                <w:bCs w:val="false"/>
                <w:sz w:val="18"/>
                <w:szCs w:val="18"/>
              </w:rPr>
              <w:t xml:space="preserve">4.3</w:t>
            </w:r>
          </w:p>
        </w:tc>
        <w:tc>
          <w:tcPr>
            <w:tcW w:type="dxa" w:w="4680"/>
            <w:tcMar>
              <w:top w:type="dxa" w:w="60"/>
              <w:left w:type="dxa" w:w="100"/>
              <w:bottom w:type="dxa" w:w="60"/>
              <w:right w:type="dxa" w:w="100"/>
            </w:tcMar>
          </w:tcPr>
          <w:p>
            <w:r>
              <w:rPr>
                <w:b w:val="false"/>
                <w:bCs w:val="false"/>
                <w:sz w:val="18"/>
                <w:szCs w:val="18"/>
              </w:rPr>
              <w:t xml:space="preserve">Commissioners' principles, "About this document" ("many of the considerations listed will be required")</w:t>
            </w:r>
          </w:p>
        </w:tc>
      </w:tr>
      <w:tr>
        <w:trPr>
          <w:tblHeader w:val="false"/>
        </w:trPr>
        <w:tc>
          <w:tcPr>
            <w:tcW w:type="dxa" w:w="4680"/>
            <w:tcMar>
              <w:top w:type="dxa" w:w="60"/>
              <w:left w:type="dxa" w:w="100"/>
              <w:bottom w:type="dxa" w:w="60"/>
              <w:right w:type="dxa" w:w="100"/>
            </w:tcMar>
          </w:tcPr>
          <w:p>
            <w:r>
              <w:rPr>
                <w:b w:val="false"/>
                <w:bCs w:val="false"/>
                <w:sz w:val="18"/>
                <w:szCs w:val="18"/>
              </w:rPr>
              <w:t xml:space="preserve">5</w:t>
            </w:r>
          </w:p>
        </w:tc>
        <w:tc>
          <w:tcPr>
            <w:tcW w:type="dxa" w:w="4680"/>
            <w:tcMar>
              <w:top w:type="dxa" w:w="60"/>
              <w:left w:type="dxa" w:w="100"/>
              <w:bottom w:type="dxa" w:w="60"/>
              <w:right w:type="dxa" w:w="100"/>
            </w:tcMar>
          </w:tcPr>
          <w:p>
            <w:r>
              <w:rPr>
                <w:b w:val="false"/>
                <w:bCs w:val="false"/>
                <w:sz w:val="18"/>
                <w:szCs w:val="18"/>
              </w:rPr>
              <w:t xml:space="preserve">House classification; sensitivity definition from Law 25 s 110 (s 12, fourth paragraph (2))</w:t>
            </w:r>
          </w:p>
        </w:tc>
      </w:tr>
      <w:tr>
        <w:trPr>
          <w:tblHeader w:val="false"/>
        </w:trPr>
        <w:tc>
          <w:tcPr>
            <w:tcW w:type="dxa" w:w="4680"/>
            <w:tcMar>
              <w:top w:type="dxa" w:w="60"/>
              <w:left w:type="dxa" w:w="100"/>
              <w:bottom w:type="dxa" w:w="60"/>
              <w:right w:type="dxa" w:w="100"/>
            </w:tcMar>
          </w:tcPr>
          <w:p>
            <w:r>
              <w:rPr>
                <w:b w:val="false"/>
                <w:bCs w:val="false"/>
                <w:sz w:val="18"/>
                <w:szCs w:val="18"/>
              </w:rPr>
              <w:t xml:space="preserve">6.2</w:t>
            </w:r>
          </w:p>
        </w:tc>
        <w:tc>
          <w:tcPr>
            <w:tcW w:type="dxa" w:w="4680"/>
            <w:tcMar>
              <w:top w:type="dxa" w:w="60"/>
              <w:left w:type="dxa" w:w="100"/>
              <w:bottom w:type="dxa" w:w="60"/>
              <w:right w:type="dxa" w:w="100"/>
            </w:tcMar>
          </w:tcPr>
          <w:p>
            <w:r>
              <w:rPr>
                <w:b w:val="false"/>
                <w:bCs w:val="false"/>
                <w:sz w:val="18"/>
                <w:szCs w:val="18"/>
              </w:rPr>
              <w:t xml:space="preserve">Commissioners' principles: Appropriate Purposes (no-go zones; cease the activity), "Potential emerging no-go zones" (deep fakes, authentication bypass, intimate images, conversational bots nudging, false or defamatory information); Limiting Collection (avoid re-identification prompts)</w:t>
            </w:r>
          </w:p>
        </w:tc>
      </w:tr>
      <w:tr>
        <w:trPr>
          <w:tblHeader w:val="false"/>
        </w:trPr>
        <w:tc>
          <w:tcPr>
            <w:tcW w:type="dxa" w:w="4680"/>
            <w:tcMar>
              <w:top w:type="dxa" w:w="60"/>
              <w:left w:type="dxa" w:w="100"/>
              <w:bottom w:type="dxa" w:w="60"/>
              <w:right w:type="dxa" w:w="100"/>
            </w:tcMar>
          </w:tcPr>
          <w:p>
            <w:r>
              <w:rPr>
                <w:b w:val="false"/>
                <w:bCs w:val="false"/>
                <w:sz w:val="18"/>
                <w:szCs w:val="18"/>
              </w:rPr>
              <w:t xml:space="preserve">7.1.1</w:t>
            </w:r>
          </w:p>
        </w:tc>
        <w:tc>
          <w:tcPr>
            <w:tcW w:type="dxa" w:w="4680"/>
            <w:tcMar>
              <w:top w:type="dxa" w:w="60"/>
              <w:left w:type="dxa" w:w="100"/>
              <w:bottom w:type="dxa" w:w="60"/>
              <w:right w:type="dxa" w:w="100"/>
            </w:tcMar>
          </w:tcPr>
          <w:p>
            <w:r>
              <w:rPr>
                <w:b w:val="false"/>
                <w:bCs w:val="false"/>
                <w:sz w:val="18"/>
                <w:szCs w:val="18"/>
              </w:rPr>
              <w:t xml:space="preserve">PIPEDA Sch 1 cl 4.3, 4.5; Law 25 s 110 (ss 12, 13)</w:t>
            </w:r>
          </w:p>
        </w:tc>
      </w:tr>
      <w:tr>
        <w:trPr>
          <w:tblHeader w:val="false"/>
        </w:trPr>
        <w:tc>
          <w:tcPr>
            <w:tcW w:type="dxa" w:w="4680"/>
            <w:tcMar>
              <w:top w:type="dxa" w:w="60"/>
              <w:left w:type="dxa" w:w="100"/>
              <w:bottom w:type="dxa" w:w="60"/>
              <w:right w:type="dxa" w:w="100"/>
            </w:tcMar>
          </w:tcPr>
          <w:p>
            <w:r>
              <w:rPr>
                <w:b w:val="false"/>
                <w:bCs w:val="false"/>
                <w:sz w:val="18"/>
                <w:szCs w:val="18"/>
              </w:rPr>
              <w:t xml:space="preserve">7.1.2</w:t>
            </w:r>
          </w:p>
        </w:tc>
        <w:tc>
          <w:tcPr>
            <w:tcW w:type="dxa" w:w="4680"/>
            <w:tcMar>
              <w:top w:type="dxa" w:w="60"/>
              <w:left w:type="dxa" w:w="100"/>
              <w:bottom w:type="dxa" w:w="60"/>
              <w:right w:type="dxa" w:w="100"/>
            </w:tcMar>
          </w:tcPr>
          <w:p>
            <w:r>
              <w:rPr>
                <w:b w:val="false"/>
                <w:bCs w:val="false"/>
                <w:sz w:val="18"/>
                <w:szCs w:val="18"/>
              </w:rPr>
              <w:t xml:space="preserve">PIPEDA Sch 1 cl 4.5.1; Law 25 s 110 (s 12 second and third paragraphs)</w:t>
            </w:r>
          </w:p>
        </w:tc>
      </w:tr>
      <w:tr>
        <w:trPr>
          <w:tblHeader w:val="false"/>
        </w:trPr>
        <w:tc>
          <w:tcPr>
            <w:tcW w:type="dxa" w:w="4680"/>
            <w:tcMar>
              <w:top w:type="dxa" w:w="60"/>
              <w:left w:type="dxa" w:w="100"/>
              <w:bottom w:type="dxa" w:w="60"/>
              <w:right w:type="dxa" w:w="100"/>
            </w:tcMar>
          </w:tcPr>
          <w:p>
            <w:r>
              <w:rPr>
                <w:b w:val="false"/>
                <w:bCs w:val="false"/>
                <w:sz w:val="18"/>
                <w:szCs w:val="18"/>
              </w:rPr>
              <w:t xml:space="preserve">7.1.3</w:t>
            </w:r>
          </w:p>
        </w:tc>
        <w:tc>
          <w:tcPr>
            <w:tcW w:type="dxa" w:w="4680"/>
            <w:tcMar>
              <w:top w:type="dxa" w:w="60"/>
              <w:left w:type="dxa" w:w="100"/>
              <w:bottom w:type="dxa" w:w="60"/>
              <w:right w:type="dxa" w:w="100"/>
            </w:tcMar>
          </w:tcPr>
          <w:p>
            <w:r>
              <w:rPr>
                <w:b w:val="false"/>
                <w:bCs w:val="false"/>
                <w:sz w:val="18"/>
                <w:szCs w:val="18"/>
              </w:rPr>
              <w:t xml:space="preserve">Commissioners' principles, Limiting Collection (anonymised or de-identified in prompts; prompts not retained or used for secondary purposes)</w:t>
            </w:r>
          </w:p>
        </w:tc>
      </w:tr>
      <w:tr>
        <w:trPr>
          <w:tblHeader w:val="false"/>
        </w:trPr>
        <w:tc>
          <w:tcPr>
            <w:tcW w:type="dxa" w:w="4680"/>
            <w:tcMar>
              <w:top w:type="dxa" w:w="60"/>
              <w:left w:type="dxa" w:w="100"/>
              <w:bottom w:type="dxa" w:w="60"/>
              <w:right w:type="dxa" w:w="100"/>
            </w:tcMar>
          </w:tcPr>
          <w:p>
            <w:r>
              <w:rPr>
                <w:b w:val="false"/>
                <w:bCs w:val="false"/>
                <w:sz w:val="18"/>
                <w:szCs w:val="18"/>
              </w:rPr>
              <w:t xml:space="preserve">7.1.4</w:t>
            </w:r>
          </w:p>
        </w:tc>
        <w:tc>
          <w:tcPr>
            <w:tcW w:type="dxa" w:w="4680"/>
            <w:tcMar>
              <w:top w:type="dxa" w:w="60"/>
              <w:left w:type="dxa" w:w="100"/>
              <w:bottom w:type="dxa" w:w="60"/>
              <w:right w:type="dxa" w:w="100"/>
            </w:tcMar>
          </w:tcPr>
          <w:p>
            <w:r>
              <w:rPr>
                <w:b w:val="false"/>
                <w:bCs w:val="false"/>
                <w:sz w:val="18"/>
                <w:szCs w:val="18"/>
              </w:rPr>
              <w:t xml:space="preserve">PIPEDA Sch 1 cl 4.3.3</w:t>
            </w:r>
          </w:p>
        </w:tc>
      </w:tr>
      <w:tr>
        <w:trPr>
          <w:tblHeader w:val="false"/>
        </w:trPr>
        <w:tc>
          <w:tcPr>
            <w:tcW w:type="dxa" w:w="4680"/>
            <w:tcMar>
              <w:top w:type="dxa" w:w="60"/>
              <w:left w:type="dxa" w:w="100"/>
              <w:bottom w:type="dxa" w:w="60"/>
              <w:right w:type="dxa" w:w="100"/>
            </w:tcMar>
          </w:tcPr>
          <w:p>
            <w:r>
              <w:rPr>
                <w:b w:val="false"/>
                <w:bCs w:val="false"/>
                <w:sz w:val="18"/>
                <w:szCs w:val="18"/>
              </w:rPr>
              <w:t xml:space="preserve">7.2.1</w:t>
            </w:r>
          </w:p>
        </w:tc>
        <w:tc>
          <w:tcPr>
            <w:tcW w:type="dxa" w:w="4680"/>
            <w:tcMar>
              <w:top w:type="dxa" w:w="60"/>
              <w:left w:type="dxa" w:w="100"/>
              <w:bottom w:type="dxa" w:w="60"/>
              <w:right w:type="dxa" w:w="100"/>
            </w:tcMar>
          </w:tcPr>
          <w:p>
            <w:r>
              <w:rPr>
                <w:b w:val="false"/>
                <w:bCs w:val="false"/>
                <w:sz w:val="18"/>
                <w:szCs w:val="18"/>
              </w:rPr>
              <w:t xml:space="preserve">Commissioners' principles, Legal Authority and Consent; Limiting Collection (inferences for specified purposes; treat inferences as personal information)</w:t>
            </w:r>
          </w:p>
        </w:tc>
      </w:tr>
      <w:tr>
        <w:trPr>
          <w:tblHeader w:val="false"/>
        </w:trPr>
        <w:tc>
          <w:tcPr>
            <w:tcW w:type="dxa" w:w="4680"/>
            <w:tcMar>
              <w:top w:type="dxa" w:w="60"/>
              <w:left w:type="dxa" w:w="100"/>
              <w:bottom w:type="dxa" w:w="60"/>
              <w:right w:type="dxa" w:w="100"/>
            </w:tcMar>
          </w:tcPr>
          <w:p>
            <w:r>
              <w:rPr>
                <w:b w:val="false"/>
                <w:bCs w:val="false"/>
                <w:sz w:val="18"/>
                <w:szCs w:val="18"/>
              </w:rPr>
              <w:t xml:space="preserve">7.2.3</w:t>
            </w:r>
          </w:p>
        </w:tc>
        <w:tc>
          <w:tcPr>
            <w:tcW w:type="dxa" w:w="4680"/>
            <w:tcMar>
              <w:top w:type="dxa" w:w="60"/>
              <w:left w:type="dxa" w:w="100"/>
              <w:bottom w:type="dxa" w:w="60"/>
              <w:right w:type="dxa" w:w="100"/>
            </w:tcMar>
          </w:tcPr>
          <w:p>
            <w:r>
              <w:rPr>
                <w:b w:val="false"/>
                <w:bCs w:val="false"/>
                <w:sz w:val="18"/>
                <w:szCs w:val="18"/>
              </w:rPr>
              <w:t xml:space="preserve">PIPEDA s 2 "personal information"; commissioners' principles, no-go zones (false or defamatory information)</w:t>
            </w:r>
          </w:p>
        </w:tc>
      </w:tr>
      <w:tr>
        <w:trPr>
          <w:tblHeader w:val="false"/>
        </w:trPr>
        <w:tc>
          <w:tcPr>
            <w:tcW w:type="dxa" w:w="4680"/>
            <w:tcMar>
              <w:top w:type="dxa" w:w="60"/>
              <w:left w:type="dxa" w:w="100"/>
              <w:bottom w:type="dxa" w:w="60"/>
              <w:right w:type="dxa" w:w="100"/>
            </w:tcMar>
          </w:tcPr>
          <w:p>
            <w:r>
              <w:rPr>
                <w:b w:val="false"/>
                <w:bCs w:val="false"/>
                <w:sz w:val="18"/>
                <w:szCs w:val="18"/>
              </w:rPr>
              <w:t xml:space="preserve">7.3.1</w:t>
            </w:r>
          </w:p>
        </w:tc>
        <w:tc>
          <w:tcPr>
            <w:tcW w:type="dxa" w:w="4680"/>
            <w:tcMar>
              <w:top w:type="dxa" w:w="60"/>
              <w:left w:type="dxa" w:w="100"/>
              <w:bottom w:type="dxa" w:w="60"/>
              <w:right w:type="dxa" w:w="100"/>
            </w:tcMar>
          </w:tcPr>
          <w:p>
            <w:r>
              <w:rPr>
                <w:b w:val="false"/>
                <w:bCs w:val="false"/>
                <w:sz w:val="18"/>
                <w:szCs w:val="18"/>
              </w:rPr>
              <w:t xml:space="preserve">PIPEDA Sch 1 cl 4.3.4, 4.3.6; Law 25 s 110 (s 12 first paragraph; sensitivity definition; s 13 second paragraph)</w:t>
            </w:r>
          </w:p>
        </w:tc>
      </w:tr>
      <w:tr>
        <w:trPr>
          <w:tblHeader w:val="false"/>
        </w:trPr>
        <w:tc>
          <w:tcPr>
            <w:tcW w:type="dxa" w:w="4680"/>
            <w:tcMar>
              <w:top w:type="dxa" w:w="60"/>
              <w:left w:type="dxa" w:w="100"/>
              <w:bottom w:type="dxa" w:w="60"/>
              <w:right w:type="dxa" w:w="100"/>
            </w:tcMar>
          </w:tcPr>
          <w:p>
            <w:r>
              <w:rPr>
                <w:b w:val="false"/>
                <w:bCs w:val="false"/>
                <w:sz w:val="18"/>
                <w:szCs w:val="18"/>
              </w:rPr>
              <w:t xml:space="preserve">7.3.2</w:t>
            </w:r>
          </w:p>
        </w:tc>
        <w:tc>
          <w:tcPr>
            <w:tcW w:type="dxa" w:w="4680"/>
            <w:tcMar>
              <w:top w:type="dxa" w:w="60"/>
              <w:left w:type="dxa" w:w="100"/>
              <w:bottom w:type="dxa" w:w="60"/>
              <w:right w:type="dxa" w:w="100"/>
            </w:tcMar>
          </w:tcPr>
          <w:p>
            <w:r>
              <w:rPr>
                <w:b w:val="false"/>
                <w:bCs w:val="false"/>
                <w:sz w:val="18"/>
                <w:szCs w:val="18"/>
              </w:rPr>
              <w:t xml:space="preserve">Commissioners' principles, Legal Authority and Consent (separate review with independent oversight where consent inadequate)</w:t>
            </w:r>
          </w:p>
        </w:tc>
      </w:tr>
      <w:tr>
        <w:trPr>
          <w:tblHeader w:val="false"/>
        </w:trPr>
        <w:tc>
          <w:tcPr>
            <w:tcW w:type="dxa" w:w="4680"/>
            <w:tcMar>
              <w:top w:type="dxa" w:w="60"/>
              <w:left w:type="dxa" w:w="100"/>
              <w:bottom w:type="dxa" w:w="60"/>
              <w:right w:type="dxa" w:w="100"/>
            </w:tcMar>
          </w:tcPr>
          <w:p>
            <w:r>
              <w:rPr>
                <w:b w:val="false"/>
                <w:bCs w:val="false"/>
                <w:sz w:val="18"/>
                <w:szCs w:val="18"/>
              </w:rPr>
              <w:t xml:space="preserve">7.4</w:t>
            </w:r>
          </w:p>
        </w:tc>
        <w:tc>
          <w:tcPr>
            <w:tcW w:type="dxa" w:w="4680"/>
            <w:tcMar>
              <w:top w:type="dxa" w:w="60"/>
              <w:left w:type="dxa" w:w="100"/>
              <w:bottom w:type="dxa" w:w="60"/>
              <w:right w:type="dxa" w:w="100"/>
            </w:tcMar>
          </w:tcPr>
          <w:p>
            <w:r>
              <w:rPr>
                <w:b w:val="false"/>
                <w:bCs w:val="false"/>
                <w:sz w:val="18"/>
                <w:szCs w:val="18"/>
              </w:rPr>
              <w:t xml:space="preserve">Commissioners' principles, vulnerable groups (employment); house standard</w:t>
            </w:r>
          </w:p>
        </w:tc>
      </w:tr>
      <w:tr>
        <w:trPr>
          <w:tblHeader w:val="false"/>
        </w:trPr>
        <w:tc>
          <w:tcPr>
            <w:tcW w:type="dxa" w:w="4680"/>
            <w:tcMar>
              <w:top w:type="dxa" w:w="60"/>
              <w:left w:type="dxa" w:w="100"/>
              <w:bottom w:type="dxa" w:w="60"/>
              <w:right w:type="dxa" w:w="100"/>
            </w:tcMar>
          </w:tcPr>
          <w:p>
            <w:r>
              <w:rPr>
                <w:b w:val="false"/>
                <w:bCs w:val="false"/>
                <w:sz w:val="18"/>
                <w:szCs w:val="18"/>
              </w:rPr>
              <w:t xml:space="preserve">7.5.1</w:t>
            </w:r>
          </w:p>
        </w:tc>
        <w:tc>
          <w:tcPr>
            <w:tcW w:type="dxa" w:w="4680"/>
            <w:tcMar>
              <w:top w:type="dxa" w:w="60"/>
              <w:left w:type="dxa" w:w="100"/>
              <w:bottom w:type="dxa" w:w="60"/>
              <w:right w:type="dxa" w:w="100"/>
            </w:tcMar>
          </w:tcPr>
          <w:p>
            <w:r>
              <w:rPr>
                <w:b w:val="false"/>
                <w:bCs w:val="false"/>
                <w:sz w:val="18"/>
                <w:szCs w:val="18"/>
              </w:rPr>
              <w:t xml:space="preserve">Commissioners' principles, Limiting Collection; PIPEDA s 7(1)(d)</w:t>
            </w:r>
          </w:p>
        </w:tc>
      </w:tr>
      <w:tr>
        <w:trPr>
          <w:tblHeader w:val="false"/>
        </w:trPr>
        <w:tc>
          <w:tcPr>
            <w:tcW w:type="dxa" w:w="4680"/>
            <w:tcMar>
              <w:top w:type="dxa" w:w="60"/>
              <w:left w:type="dxa" w:w="100"/>
              <w:bottom w:type="dxa" w:w="60"/>
              <w:right w:type="dxa" w:w="100"/>
            </w:tcMar>
          </w:tcPr>
          <w:p>
            <w:r>
              <w:rPr>
                <w:b w:val="false"/>
                <w:bCs w:val="false"/>
                <w:sz w:val="18"/>
                <w:szCs w:val="18"/>
              </w:rPr>
              <w:t xml:space="preserve">7.5.2</w:t>
            </w:r>
          </w:p>
        </w:tc>
        <w:tc>
          <w:tcPr>
            <w:tcW w:type="dxa" w:w="4680"/>
            <w:tcMar>
              <w:top w:type="dxa" w:w="60"/>
              <w:left w:type="dxa" w:w="100"/>
              <w:bottom w:type="dxa" w:w="60"/>
              <w:right w:type="dxa" w:w="100"/>
            </w:tcMar>
          </w:tcPr>
          <w:p>
            <w:r>
              <w:rPr>
                <w:b w:val="false"/>
                <w:bCs w:val="false"/>
                <w:sz w:val="18"/>
                <w:szCs w:val="18"/>
              </w:rPr>
              <w:t xml:space="preserve">Commissioners' principles, Legal Authority and Consent (third parties collected lawfully and have authority to disclose)</w:t>
            </w:r>
          </w:p>
        </w:tc>
      </w:tr>
      <w:tr>
        <w:trPr>
          <w:tblHeader w:val="false"/>
        </w:trPr>
        <w:tc>
          <w:tcPr>
            <w:tcW w:type="dxa" w:w="4680"/>
            <w:tcMar>
              <w:top w:type="dxa" w:w="60"/>
              <w:left w:type="dxa" w:w="100"/>
              <w:bottom w:type="dxa" w:w="60"/>
              <w:right w:type="dxa" w:w="100"/>
            </w:tcMar>
          </w:tcPr>
          <w:p>
            <w:r>
              <w:rPr>
                <w:b w:val="false"/>
                <w:bCs w:val="false"/>
                <w:sz w:val="18"/>
                <w:szCs w:val="18"/>
              </w:rPr>
              <w:t xml:space="preserve">7.6</w:t>
            </w:r>
          </w:p>
        </w:tc>
        <w:tc>
          <w:tcPr>
            <w:tcW w:type="dxa" w:w="4680"/>
            <w:tcMar>
              <w:top w:type="dxa" w:w="60"/>
              <w:left w:type="dxa" w:w="100"/>
              <w:bottom w:type="dxa" w:w="60"/>
              <w:right w:type="dxa" w:w="100"/>
            </w:tcMar>
          </w:tcPr>
          <w:p>
            <w:r>
              <w:rPr>
                <w:b w:val="false"/>
                <w:bCs w:val="false"/>
                <w:sz w:val="18"/>
                <w:szCs w:val="18"/>
              </w:rPr>
              <w:t xml:space="preserve">PIPEDA Sch 1 cl 4.3, 4.4; house</w:t>
            </w:r>
          </w:p>
        </w:tc>
      </w:tr>
      <w:tr>
        <w:trPr>
          <w:tblHeader w:val="false"/>
        </w:trPr>
        <w:tc>
          <w:tcPr>
            <w:tcW w:type="dxa" w:w="4680"/>
            <w:tcMar>
              <w:top w:type="dxa" w:w="60"/>
              <w:left w:type="dxa" w:w="100"/>
              <w:bottom w:type="dxa" w:w="60"/>
              <w:right w:type="dxa" w:w="100"/>
            </w:tcMar>
          </w:tcPr>
          <w:p>
            <w:r>
              <w:rPr>
                <w:b w:val="false"/>
                <w:bCs w:val="false"/>
                <w:sz w:val="18"/>
                <w:szCs w:val="18"/>
              </w:rPr>
              <w:t xml:space="preserve">8.1</w:t>
            </w:r>
          </w:p>
        </w:tc>
        <w:tc>
          <w:tcPr>
            <w:tcW w:type="dxa" w:w="4680"/>
            <w:tcMar>
              <w:top w:type="dxa" w:w="60"/>
              <w:left w:type="dxa" w:w="100"/>
              <w:bottom w:type="dxa" w:w="60"/>
              <w:right w:type="dxa" w:w="100"/>
            </w:tcMar>
          </w:tcPr>
          <w:p>
            <w:r>
              <w:rPr>
                <w:b w:val="false"/>
                <w:bCs w:val="false"/>
                <w:sz w:val="18"/>
                <w:szCs w:val="18"/>
              </w:rPr>
              <w:t xml:space="preserve">PIPEDA Sch 1 cl 4.8, 4.8.2; Law 25 s 107 (s 8.2 confidentiality policy in clear and simple language)</w:t>
            </w:r>
          </w:p>
        </w:tc>
      </w:tr>
      <w:tr>
        <w:trPr>
          <w:tblHeader w:val="false"/>
        </w:trPr>
        <w:tc>
          <w:tcPr>
            <w:tcW w:type="dxa" w:w="4680"/>
            <w:tcMar>
              <w:top w:type="dxa" w:w="60"/>
              <w:left w:type="dxa" w:w="100"/>
              <w:bottom w:type="dxa" w:w="60"/>
              <w:right w:type="dxa" w:w="100"/>
            </w:tcMar>
          </w:tcPr>
          <w:p>
            <w:r>
              <w:rPr>
                <w:b w:val="false"/>
                <w:bCs w:val="false"/>
                <w:sz w:val="18"/>
                <w:szCs w:val="18"/>
              </w:rPr>
              <w:t xml:space="preserve">8.2</w:t>
            </w:r>
          </w:p>
        </w:tc>
        <w:tc>
          <w:tcPr>
            <w:tcW w:type="dxa" w:w="4680"/>
            <w:tcMar>
              <w:top w:type="dxa" w:w="60"/>
              <w:left w:type="dxa" w:w="100"/>
              <w:bottom w:type="dxa" w:w="60"/>
              <w:right w:type="dxa" w:w="100"/>
            </w:tcMar>
          </w:tcPr>
          <w:p>
            <w:r>
              <w:rPr>
                <w:b w:val="false"/>
                <w:bCs w:val="false"/>
                <w:sz w:val="18"/>
                <w:szCs w:val="18"/>
              </w:rPr>
              <w:t xml:space="preserve">Commissioners' principles, Openness (all parties; organisations using: describe personal information used to re-train)</w:t>
            </w:r>
          </w:p>
        </w:tc>
      </w:tr>
      <w:tr>
        <w:trPr>
          <w:tblHeader w:val="false"/>
        </w:trPr>
        <w:tc>
          <w:tcPr>
            <w:tcW w:type="dxa" w:w="4680"/>
            <w:tcMar>
              <w:top w:type="dxa" w:w="60"/>
              <w:left w:type="dxa" w:w="100"/>
              <w:bottom w:type="dxa" w:w="60"/>
              <w:right w:type="dxa" w:w="100"/>
            </w:tcMar>
          </w:tcPr>
          <w:p>
            <w:r>
              <w:rPr>
                <w:b w:val="false"/>
                <w:bCs w:val="false"/>
                <w:sz w:val="18"/>
                <w:szCs w:val="18"/>
              </w:rPr>
              <w:t xml:space="preserve">8.3</w:t>
            </w:r>
          </w:p>
        </w:tc>
        <w:tc>
          <w:tcPr>
            <w:tcW w:type="dxa" w:w="4680"/>
            <w:tcMar>
              <w:top w:type="dxa" w:w="60"/>
              <w:left w:type="dxa" w:w="100"/>
              <w:bottom w:type="dxa" w:w="60"/>
              <w:right w:type="dxa" w:w="100"/>
            </w:tcMar>
          </w:tcPr>
          <w:p>
            <w:r>
              <w:rPr>
                <w:b w:val="false"/>
                <w:bCs w:val="false"/>
                <w:sz w:val="18"/>
                <w:szCs w:val="18"/>
              </w:rPr>
              <w:t xml:space="preserve">Commissioners' principles, Openness (organisations using generative AI: decision-making disclosure)</w:t>
            </w:r>
          </w:p>
        </w:tc>
      </w:tr>
      <w:tr>
        <w:trPr>
          <w:tblHeader w:val="false"/>
        </w:trPr>
        <w:tc>
          <w:tcPr>
            <w:tcW w:type="dxa" w:w="4680"/>
            <w:tcMar>
              <w:top w:type="dxa" w:w="60"/>
              <w:left w:type="dxa" w:w="100"/>
              <w:bottom w:type="dxa" w:w="60"/>
              <w:right w:type="dxa" w:w="100"/>
            </w:tcMar>
          </w:tcPr>
          <w:p>
            <w:r>
              <w:rPr>
                <w:b w:val="false"/>
                <w:bCs w:val="false"/>
                <w:sz w:val="18"/>
                <w:szCs w:val="18"/>
              </w:rPr>
              <w:t xml:space="preserve">8.4</w:t>
            </w:r>
          </w:p>
        </w:tc>
        <w:tc>
          <w:tcPr>
            <w:tcW w:type="dxa" w:w="4680"/>
            <w:tcMar>
              <w:top w:type="dxa" w:w="60"/>
              <w:left w:type="dxa" w:w="100"/>
              <w:bottom w:type="dxa" w:w="60"/>
              <w:right w:type="dxa" w:w="100"/>
            </w:tcMar>
          </w:tcPr>
          <w:p>
            <w:r>
              <w:rPr>
                <w:b w:val="false"/>
                <w:bCs w:val="false"/>
                <w:sz w:val="18"/>
                <w:szCs w:val="18"/>
              </w:rPr>
              <w:t xml:space="preserve">Law 25 s 107 (s 8.1 and the definition of profiling)</w:t>
            </w:r>
          </w:p>
        </w:tc>
      </w:tr>
      <w:tr>
        <w:trPr>
          <w:tblHeader w:val="false"/>
        </w:trPr>
        <w:tc>
          <w:tcPr>
            <w:tcW w:type="dxa" w:w="4680"/>
            <w:tcMar>
              <w:top w:type="dxa" w:w="60"/>
              <w:left w:type="dxa" w:w="100"/>
              <w:bottom w:type="dxa" w:w="60"/>
              <w:right w:type="dxa" w:w="100"/>
            </w:tcMar>
          </w:tcPr>
          <w:p>
            <w:r>
              <w:rPr>
                <w:b w:val="false"/>
                <w:bCs w:val="false"/>
                <w:sz w:val="18"/>
                <w:szCs w:val="18"/>
              </w:rPr>
              <w:t xml:space="preserve">9.1</w:t>
            </w:r>
          </w:p>
        </w:tc>
        <w:tc>
          <w:tcPr>
            <w:tcW w:type="dxa" w:w="4680"/>
            <w:tcMar>
              <w:top w:type="dxa" w:w="60"/>
              <w:left w:type="dxa" w:w="100"/>
              <w:bottom w:type="dxa" w:w="60"/>
              <w:right w:type="dxa" w:w="100"/>
            </w:tcMar>
          </w:tcPr>
          <w:p>
            <w:r>
              <w:rPr>
                <w:b w:val="false"/>
                <w:bCs w:val="false"/>
                <w:sz w:val="18"/>
                <w:szCs w:val="18"/>
              </w:rPr>
              <w:t xml:space="preserve">PIPEDA Sch 1 cl 4.7, 4.7.1-4.7.3</w:t>
            </w:r>
          </w:p>
        </w:tc>
      </w:tr>
      <w:tr>
        <w:trPr>
          <w:tblHeader w:val="false"/>
        </w:trPr>
        <w:tc>
          <w:tcPr>
            <w:tcW w:type="dxa" w:w="4680"/>
            <w:tcMar>
              <w:top w:type="dxa" w:w="60"/>
              <w:left w:type="dxa" w:w="100"/>
              <w:bottom w:type="dxa" w:w="60"/>
              <w:right w:type="dxa" w:w="100"/>
            </w:tcMar>
          </w:tcPr>
          <w:p>
            <w:r>
              <w:rPr>
                <w:b w:val="false"/>
                <w:bCs w:val="false"/>
                <w:sz w:val="18"/>
                <w:szCs w:val="18"/>
              </w:rPr>
              <w:t xml:space="preserve">9.2</w:t>
            </w:r>
          </w:p>
        </w:tc>
        <w:tc>
          <w:tcPr>
            <w:tcW w:type="dxa" w:w="4680"/>
            <w:tcMar>
              <w:top w:type="dxa" w:w="60"/>
              <w:left w:type="dxa" w:w="100"/>
              <w:bottom w:type="dxa" w:w="60"/>
              <w:right w:type="dxa" w:w="100"/>
            </w:tcMar>
          </w:tcPr>
          <w:p>
            <w:r>
              <w:rPr>
                <w:b w:val="false"/>
                <w:bCs w:val="false"/>
                <w:sz w:val="18"/>
                <w:szCs w:val="18"/>
              </w:rPr>
              <w:t xml:space="preserve">Commissioners' principles, Safeguards (prompt injection, model inversion, jailbreaking)</w:t>
            </w:r>
          </w:p>
        </w:tc>
      </w:tr>
      <w:tr>
        <w:trPr>
          <w:tblHeader w:val="false"/>
        </w:trPr>
        <w:tc>
          <w:tcPr>
            <w:tcW w:type="dxa" w:w="4680"/>
            <w:tcMar>
              <w:top w:type="dxa" w:w="60"/>
              <w:left w:type="dxa" w:w="100"/>
              <w:bottom w:type="dxa" w:w="60"/>
              <w:right w:type="dxa" w:w="100"/>
            </w:tcMar>
          </w:tcPr>
          <w:p>
            <w:r>
              <w:rPr>
                <w:b w:val="false"/>
                <w:bCs w:val="false"/>
                <w:sz w:val="18"/>
                <w:szCs w:val="18"/>
              </w:rPr>
              <w:t xml:space="preserve">9.3</w:t>
            </w:r>
          </w:p>
        </w:tc>
        <w:tc>
          <w:tcPr>
            <w:tcW w:type="dxa" w:w="4680"/>
            <w:tcMar>
              <w:top w:type="dxa" w:w="60"/>
              <w:left w:type="dxa" w:w="100"/>
              <w:bottom w:type="dxa" w:w="60"/>
              <w:right w:type="dxa" w:w="100"/>
            </w:tcMar>
          </w:tcPr>
          <w:p>
            <w:r>
              <w:rPr>
                <w:b w:val="false"/>
                <w:bCs w:val="false"/>
                <w:sz w:val="18"/>
                <w:szCs w:val="18"/>
              </w:rPr>
              <w:t xml:space="preserve">PIPEDA Sch 1 cl 4.5, 4.5.2, 4.5.3; commissioners' principles, Limiting Collection (retention schedules)</w:t>
            </w:r>
          </w:p>
        </w:tc>
      </w:tr>
      <w:tr>
        <w:trPr>
          <w:tblHeader w:val="false"/>
        </w:trPr>
        <w:tc>
          <w:tcPr>
            <w:tcW w:type="dxa" w:w="4680"/>
            <w:tcMar>
              <w:top w:type="dxa" w:w="60"/>
              <w:left w:type="dxa" w:w="100"/>
              <w:bottom w:type="dxa" w:w="60"/>
              <w:right w:type="dxa" w:w="100"/>
            </w:tcMar>
          </w:tcPr>
          <w:p>
            <w:r>
              <w:rPr>
                <w:b w:val="false"/>
                <w:bCs w:val="false"/>
                <w:sz w:val="18"/>
                <w:szCs w:val="18"/>
              </w:rPr>
              <w:t xml:space="preserve">9.4</w:t>
            </w:r>
          </w:p>
        </w:tc>
        <w:tc>
          <w:tcPr>
            <w:tcW w:type="dxa" w:w="4680"/>
            <w:tcMar>
              <w:top w:type="dxa" w:w="60"/>
              <w:left w:type="dxa" w:w="100"/>
              <w:bottom w:type="dxa" w:w="60"/>
              <w:right w:type="dxa" w:w="100"/>
            </w:tcMar>
          </w:tcPr>
          <w:p>
            <w:r>
              <w:rPr>
                <w:b w:val="false"/>
                <w:bCs w:val="false"/>
                <w:sz w:val="18"/>
                <w:szCs w:val="18"/>
              </w:rPr>
              <w:t xml:space="preserve">Law 25 s 111 (s 17); PIPEDA Sch 1 cl 4.1.3</w:t>
            </w:r>
          </w:p>
        </w:tc>
      </w:tr>
      <w:tr>
        <w:trPr>
          <w:tblHeader w:val="false"/>
        </w:trPr>
        <w:tc>
          <w:tcPr>
            <w:tcW w:type="dxa" w:w="4680"/>
            <w:tcMar>
              <w:top w:type="dxa" w:w="60"/>
              <w:left w:type="dxa" w:w="100"/>
              <w:bottom w:type="dxa" w:w="60"/>
              <w:right w:type="dxa" w:w="100"/>
            </w:tcMar>
          </w:tcPr>
          <w:p>
            <w:r>
              <w:rPr>
                <w:b w:val="false"/>
                <w:bCs w:val="false"/>
                <w:sz w:val="18"/>
                <w:szCs w:val="18"/>
              </w:rPr>
              <w:t xml:space="preserve">10</w:t>
            </w:r>
          </w:p>
        </w:tc>
        <w:tc>
          <w:tcPr>
            <w:tcW w:type="dxa" w:w="4680"/>
            <w:tcMar>
              <w:top w:type="dxa" w:w="60"/>
              <w:left w:type="dxa" w:w="100"/>
              <w:bottom w:type="dxa" w:w="60"/>
              <w:right w:type="dxa" w:w="100"/>
            </w:tcMar>
          </w:tcPr>
          <w:p>
            <w:r>
              <w:rPr>
                <w:b w:val="false"/>
                <w:bCs w:val="false"/>
                <w:sz w:val="18"/>
                <w:szCs w:val="18"/>
              </w:rPr>
              <w:t xml:space="preserve">House standard; commissioners' principles, Openness (outputs with significant impact identified as AI-generated), Accountability (if not explainable, consider whether appropriate)</w:t>
            </w:r>
          </w:p>
        </w:tc>
      </w:tr>
      <w:tr>
        <w:trPr>
          <w:tblHeader w:val="false"/>
        </w:trPr>
        <w:tc>
          <w:tcPr>
            <w:tcW w:type="dxa" w:w="4680"/>
            <w:tcMar>
              <w:top w:type="dxa" w:w="60"/>
              <w:left w:type="dxa" w:w="100"/>
              <w:bottom w:type="dxa" w:w="60"/>
              <w:right w:type="dxa" w:w="100"/>
            </w:tcMar>
          </w:tcPr>
          <w:p>
            <w:r>
              <w:rPr>
                <w:b w:val="false"/>
                <w:bCs w:val="false"/>
                <w:sz w:val="18"/>
                <w:szCs w:val="18"/>
              </w:rPr>
              <w:t xml:space="preserve">11.1</w:t>
            </w:r>
          </w:p>
        </w:tc>
        <w:tc>
          <w:tcPr>
            <w:tcW w:type="dxa" w:w="4680"/>
            <w:tcMar>
              <w:top w:type="dxa" w:w="60"/>
              <w:left w:type="dxa" w:w="100"/>
              <w:bottom w:type="dxa" w:w="60"/>
              <w:right w:type="dxa" w:w="100"/>
            </w:tcMar>
          </w:tcPr>
          <w:p>
            <w:r>
              <w:rPr>
                <w:b w:val="false"/>
                <w:bCs w:val="false"/>
                <w:sz w:val="18"/>
                <w:szCs w:val="18"/>
              </w:rPr>
              <w:t xml:space="preserve">PIPEDA Sch 1 cl 4.6, 4.6.1</w:t>
            </w:r>
          </w:p>
        </w:tc>
      </w:tr>
      <w:tr>
        <w:trPr>
          <w:tblHeader w:val="false"/>
        </w:trPr>
        <w:tc>
          <w:tcPr>
            <w:tcW w:type="dxa" w:w="4680"/>
            <w:tcMar>
              <w:top w:type="dxa" w:w="60"/>
              <w:left w:type="dxa" w:w="100"/>
              <w:bottom w:type="dxa" w:w="60"/>
              <w:right w:type="dxa" w:w="100"/>
            </w:tcMar>
          </w:tcPr>
          <w:p>
            <w:r>
              <w:rPr>
                <w:b w:val="false"/>
                <w:bCs w:val="false"/>
                <w:sz w:val="18"/>
                <w:szCs w:val="18"/>
              </w:rPr>
              <w:t xml:space="preserve">11.2</w:t>
            </w:r>
          </w:p>
        </w:tc>
        <w:tc>
          <w:tcPr>
            <w:tcW w:type="dxa" w:w="4680"/>
            <w:tcMar>
              <w:top w:type="dxa" w:w="60"/>
              <w:left w:type="dxa" w:w="100"/>
              <w:bottom w:type="dxa" w:w="60"/>
              <w:right w:type="dxa" w:w="100"/>
            </w:tcMar>
          </w:tcPr>
          <w:p>
            <w:r>
              <w:rPr>
                <w:b w:val="false"/>
                <w:bCs w:val="false"/>
                <w:sz w:val="18"/>
                <w:szCs w:val="18"/>
              </w:rPr>
              <w:t xml:space="preserve">Commissioners' principles, Necessity and proportionality (validity and reliability); Accuracy (evaluate disclosed limitations)</w:t>
            </w:r>
          </w:p>
        </w:tc>
      </w:tr>
      <w:tr>
        <w:trPr>
          <w:tblHeader w:val="false"/>
        </w:trPr>
        <w:tc>
          <w:tcPr>
            <w:tcW w:type="dxa" w:w="4680"/>
            <w:tcMar>
              <w:top w:type="dxa" w:w="60"/>
              <w:left w:type="dxa" w:w="100"/>
              <w:bottom w:type="dxa" w:w="60"/>
              <w:right w:type="dxa" w:w="100"/>
            </w:tcMar>
          </w:tcPr>
          <w:p>
            <w:r>
              <w:rPr>
                <w:b w:val="false"/>
                <w:bCs w:val="false"/>
                <w:sz w:val="18"/>
                <w:szCs w:val="18"/>
              </w:rPr>
              <w:t xml:space="preserve">11.3</w:t>
            </w:r>
          </w:p>
        </w:tc>
        <w:tc>
          <w:tcPr>
            <w:tcW w:type="dxa" w:w="4680"/>
            <w:tcMar>
              <w:top w:type="dxa" w:w="60"/>
              <w:left w:type="dxa" w:w="100"/>
              <w:bottom w:type="dxa" w:w="60"/>
              <w:right w:type="dxa" w:w="100"/>
            </w:tcMar>
          </w:tcPr>
          <w:p>
            <w:r>
              <w:rPr>
                <w:b w:val="false"/>
                <w:bCs w:val="false"/>
                <w:sz w:val="18"/>
                <w:szCs w:val="18"/>
              </w:rPr>
              <w:t xml:space="preserve">Commissioners' principles, Accuracy (specific group represented); Accountability (accountability rests with the organisation)</w:t>
            </w:r>
          </w:p>
        </w:tc>
      </w:tr>
      <w:tr>
        <w:trPr>
          <w:tblHeader w:val="false"/>
        </w:trPr>
        <w:tc>
          <w:tcPr>
            <w:tcW w:type="dxa" w:w="4680"/>
            <w:tcMar>
              <w:top w:type="dxa" w:w="60"/>
              <w:left w:type="dxa" w:w="100"/>
              <w:bottom w:type="dxa" w:w="60"/>
              <w:right w:type="dxa" w:w="100"/>
            </w:tcMar>
          </w:tcPr>
          <w:p>
            <w:r>
              <w:rPr>
                <w:b w:val="false"/>
                <w:bCs w:val="false"/>
                <w:sz w:val="18"/>
                <w:szCs w:val="18"/>
              </w:rPr>
              <w:t xml:space="preserve">11.4</w:t>
            </w:r>
          </w:p>
        </w:tc>
        <w:tc>
          <w:tcPr>
            <w:tcW w:type="dxa" w:w="4680"/>
            <w:tcMar>
              <w:top w:type="dxa" w:w="60"/>
              <w:left w:type="dxa" w:w="100"/>
              <w:bottom w:type="dxa" w:w="60"/>
              <w:right w:type="dxa" w:w="100"/>
            </w:tcMar>
          </w:tcPr>
          <w:p>
            <w:r>
              <w:rPr>
                <w:b w:val="false"/>
                <w:bCs w:val="false"/>
                <w:sz w:val="18"/>
                <w:szCs w:val="18"/>
              </w:rPr>
              <w:t xml:space="preserve">PIPEDA Sch 1 cl 4.9, 4.9.5, 4.9.6; s 8(3)-(4)</w:t>
            </w:r>
          </w:p>
        </w:tc>
      </w:tr>
      <w:tr>
        <w:trPr>
          <w:tblHeader w:val="false"/>
        </w:trPr>
        <w:tc>
          <w:tcPr>
            <w:tcW w:type="dxa" w:w="4680"/>
            <w:tcMar>
              <w:top w:type="dxa" w:w="60"/>
              <w:left w:type="dxa" w:w="100"/>
              <w:bottom w:type="dxa" w:w="60"/>
              <w:right w:type="dxa" w:w="100"/>
            </w:tcMar>
          </w:tcPr>
          <w:p>
            <w:r>
              <w:rPr>
                <w:b w:val="false"/>
                <w:bCs w:val="false"/>
                <w:sz w:val="18"/>
                <w:szCs w:val="18"/>
              </w:rPr>
              <w:t xml:space="preserve">12</w:t>
            </w:r>
          </w:p>
        </w:tc>
        <w:tc>
          <w:tcPr>
            <w:tcW w:type="dxa" w:w="4680"/>
            <w:tcMar>
              <w:top w:type="dxa" w:w="60"/>
              <w:left w:type="dxa" w:w="100"/>
              <w:bottom w:type="dxa" w:w="60"/>
              <w:right w:type="dxa" w:w="100"/>
            </w:tcMar>
          </w:tcPr>
          <w:p>
            <w:r>
              <w:rPr>
                <w:b w:val="false"/>
                <w:bCs w:val="false"/>
                <w:sz w:val="18"/>
                <w:szCs w:val="18"/>
              </w:rPr>
              <w:t xml:space="preserve">Law 25 s 110 (s 12.1 "based exclusively"); house two-limb design; finding 2.2</w:t>
            </w:r>
          </w:p>
        </w:tc>
      </w:tr>
      <w:tr>
        <w:trPr>
          <w:tblHeader w:val="false"/>
        </w:trPr>
        <w:tc>
          <w:tcPr>
            <w:tcW w:type="dxa" w:w="4680"/>
            <w:tcMar>
              <w:top w:type="dxa" w:w="60"/>
              <w:left w:type="dxa" w:w="100"/>
              <w:bottom w:type="dxa" w:w="60"/>
              <w:right w:type="dxa" w:w="100"/>
            </w:tcMar>
          </w:tcPr>
          <w:p>
            <w:r>
              <w:rPr>
                <w:b w:val="false"/>
                <w:bCs w:val="false"/>
                <w:sz w:val="18"/>
                <w:szCs w:val="18"/>
              </w:rPr>
              <w:t xml:space="preserve">13.1</w:t>
            </w:r>
          </w:p>
        </w:tc>
        <w:tc>
          <w:tcPr>
            <w:tcW w:type="dxa" w:w="4680"/>
            <w:tcMar>
              <w:top w:type="dxa" w:w="60"/>
              <w:left w:type="dxa" w:w="100"/>
              <w:bottom w:type="dxa" w:w="60"/>
              <w:right w:type="dxa" w:w="100"/>
            </w:tcMar>
          </w:tcPr>
          <w:p>
            <w:r>
              <w:rPr>
                <w:b w:val="false"/>
                <w:bCs w:val="false"/>
                <w:sz w:val="18"/>
                <w:szCs w:val="18"/>
              </w:rPr>
              <w:t xml:space="preserve">Law 25 s 110 (s 12.1 first to third paragraphs)</w:t>
            </w:r>
          </w:p>
        </w:tc>
      </w:tr>
      <w:tr>
        <w:trPr>
          <w:tblHeader w:val="false"/>
        </w:trPr>
        <w:tc>
          <w:tcPr>
            <w:tcW w:type="dxa" w:w="4680"/>
            <w:tcMar>
              <w:top w:type="dxa" w:w="60"/>
              <w:left w:type="dxa" w:w="100"/>
              <w:bottom w:type="dxa" w:w="60"/>
              <w:right w:type="dxa" w:w="100"/>
            </w:tcMar>
          </w:tcPr>
          <w:p>
            <w:r>
              <w:rPr>
                <w:b w:val="false"/>
                <w:bCs w:val="false"/>
                <w:sz w:val="18"/>
                <w:szCs w:val="18"/>
              </w:rPr>
              <w:t xml:space="preserve">13.2</w:t>
            </w:r>
          </w:p>
        </w:tc>
        <w:tc>
          <w:tcPr>
            <w:tcW w:type="dxa" w:w="4680"/>
            <w:tcMar>
              <w:top w:type="dxa" w:w="60"/>
              <w:left w:type="dxa" w:w="100"/>
              <w:bottom w:type="dxa" w:w="60"/>
              <w:right w:type="dxa" w:w="100"/>
            </w:tcMar>
          </w:tcPr>
          <w:p>
            <w:r>
              <w:rPr>
                <w:b w:val="false"/>
                <w:bCs w:val="false"/>
                <w:sz w:val="18"/>
                <w:szCs w:val="18"/>
              </w:rPr>
              <w:t xml:space="preserve">House standard; commissioners' principles, Accountability (effective challenge mechanism; human review); Bill C-36 s 63(4)-(6) as the pending shape</w:t>
            </w:r>
          </w:p>
        </w:tc>
      </w:tr>
      <w:tr>
        <w:trPr>
          <w:tblHeader w:val="false"/>
        </w:trPr>
        <w:tc>
          <w:tcPr>
            <w:tcW w:type="dxa" w:w="4680"/>
            <w:tcMar>
              <w:top w:type="dxa" w:w="60"/>
              <w:left w:type="dxa" w:w="100"/>
              <w:bottom w:type="dxa" w:w="60"/>
              <w:right w:type="dxa" w:w="100"/>
            </w:tcMar>
          </w:tcPr>
          <w:p>
            <w:r>
              <w:rPr>
                <w:b w:val="false"/>
                <w:bCs w:val="false"/>
                <w:sz w:val="18"/>
                <w:szCs w:val="18"/>
              </w:rPr>
              <w:t xml:space="preserve">14</w:t>
            </w:r>
          </w:p>
        </w:tc>
        <w:tc>
          <w:tcPr>
            <w:tcW w:type="dxa" w:w="4680"/>
            <w:tcMar>
              <w:top w:type="dxa" w:w="60"/>
              <w:left w:type="dxa" w:w="100"/>
              <w:bottom w:type="dxa" w:w="60"/>
              <w:right w:type="dxa" w:w="100"/>
            </w:tcMar>
          </w:tcPr>
          <w:p>
            <w:r>
              <w:rPr>
                <w:b w:val="false"/>
                <w:bCs w:val="false"/>
                <w:sz w:val="18"/>
                <w:szCs w:val="18"/>
              </w:rPr>
              <w:t xml:space="preserve">Commissioners' principles, Accountability ("accountability for decisions rests with the organization, and not with any kind of automated system")</w:t>
            </w:r>
          </w:p>
        </w:tc>
      </w:tr>
      <w:tr>
        <w:trPr>
          <w:tblHeader w:val="false"/>
        </w:trPr>
        <w:tc>
          <w:tcPr>
            <w:tcW w:type="dxa" w:w="4680"/>
            <w:tcMar>
              <w:top w:type="dxa" w:w="60"/>
              <w:left w:type="dxa" w:w="100"/>
              <w:bottom w:type="dxa" w:w="60"/>
              <w:right w:type="dxa" w:w="100"/>
            </w:tcMar>
          </w:tcPr>
          <w:p>
            <w:r>
              <w:rPr>
                <w:b w:val="false"/>
                <w:bCs w:val="false"/>
                <w:sz w:val="18"/>
                <w:szCs w:val="18"/>
              </w:rPr>
              <w:t xml:space="preserve">15.1</w:t>
            </w:r>
          </w:p>
        </w:tc>
        <w:tc>
          <w:tcPr>
            <w:tcW w:type="dxa" w:w="4680"/>
            <w:tcMar>
              <w:top w:type="dxa" w:w="60"/>
              <w:left w:type="dxa" w:w="100"/>
              <w:bottom w:type="dxa" w:w="60"/>
              <w:right w:type="dxa" w:w="100"/>
            </w:tcMar>
          </w:tcPr>
          <w:p>
            <w:r>
              <w:rPr>
                <w:b w:val="false"/>
                <w:bCs w:val="false"/>
                <w:sz w:val="18"/>
                <w:szCs w:val="18"/>
              </w:rPr>
              <w:t xml:space="preserve">Commissioners' principles, Openness (public-facing tools: aware they are interacting with generative AI; informed of privacy risks and mitigations)</w:t>
            </w:r>
          </w:p>
        </w:tc>
      </w:tr>
      <w:tr>
        <w:trPr>
          <w:tblHeader w:val="false"/>
        </w:trPr>
        <w:tc>
          <w:tcPr>
            <w:tcW w:type="dxa" w:w="4680"/>
            <w:tcMar>
              <w:top w:type="dxa" w:w="60"/>
              <w:left w:type="dxa" w:w="100"/>
              <w:bottom w:type="dxa" w:w="60"/>
              <w:right w:type="dxa" w:w="100"/>
            </w:tcMar>
          </w:tcPr>
          <w:p>
            <w:r>
              <w:rPr>
                <w:b w:val="false"/>
                <w:bCs w:val="false"/>
                <w:sz w:val="18"/>
                <w:szCs w:val="18"/>
              </w:rPr>
              <w:t xml:space="preserve">15.2</w:t>
            </w:r>
          </w:p>
        </w:tc>
        <w:tc>
          <w:tcPr>
            <w:tcW w:type="dxa" w:w="4680"/>
            <w:tcMar>
              <w:top w:type="dxa" w:w="60"/>
              <w:left w:type="dxa" w:w="100"/>
              <w:bottom w:type="dxa" w:w="60"/>
              <w:right w:type="dxa" w:w="100"/>
            </w:tcMar>
          </w:tcPr>
          <w:p>
            <w:r>
              <w:rPr>
                <w:b w:val="false"/>
                <w:bCs w:val="false"/>
                <w:sz w:val="18"/>
                <w:szCs w:val="18"/>
              </w:rPr>
              <w:t xml:space="preserve">PIPEDA s 5(3), s 6.1; commissioners' principles, no-go zones (conversational bots)</w:t>
            </w:r>
          </w:p>
        </w:tc>
      </w:tr>
      <w:tr>
        <w:trPr>
          <w:tblHeader w:val="false"/>
        </w:trPr>
        <w:tc>
          <w:tcPr>
            <w:tcW w:type="dxa" w:w="4680"/>
            <w:tcMar>
              <w:top w:type="dxa" w:w="60"/>
              <w:left w:type="dxa" w:w="100"/>
              <w:bottom w:type="dxa" w:w="60"/>
              <w:right w:type="dxa" w:w="100"/>
            </w:tcMar>
          </w:tcPr>
          <w:p>
            <w:r>
              <w:rPr>
                <w:b w:val="false"/>
                <w:bCs w:val="false"/>
                <w:sz w:val="18"/>
                <w:szCs w:val="18"/>
              </w:rPr>
              <w:t xml:space="preserve">16.1</w:t>
            </w:r>
          </w:p>
        </w:tc>
        <w:tc>
          <w:tcPr>
            <w:tcW w:type="dxa" w:w="4680"/>
            <w:tcMar>
              <w:top w:type="dxa" w:w="60"/>
              <w:left w:type="dxa" w:w="100"/>
              <w:bottom w:type="dxa" w:w="60"/>
              <w:right w:type="dxa" w:w="100"/>
            </w:tcMar>
          </w:tcPr>
          <w:p>
            <w:r>
              <w:rPr>
                <w:b w:val="false"/>
                <w:bCs w:val="false"/>
                <w:sz w:val="18"/>
                <w:szCs w:val="18"/>
              </w:rPr>
              <w:t xml:space="preserve">PIPEDA Sch 1 cl 4.5, 4.5.1; Law 25 s 110 (s 12 second paragraph (1), (5))</w:t>
            </w:r>
          </w:p>
        </w:tc>
      </w:tr>
      <w:tr>
        <w:trPr>
          <w:tblHeader w:val="false"/>
        </w:trPr>
        <w:tc>
          <w:tcPr>
            <w:tcW w:type="dxa" w:w="4680"/>
            <w:tcMar>
              <w:top w:type="dxa" w:w="60"/>
              <w:left w:type="dxa" w:w="100"/>
              <w:bottom w:type="dxa" w:w="60"/>
              <w:right w:type="dxa" w:w="100"/>
            </w:tcMar>
          </w:tcPr>
          <w:p>
            <w:r>
              <w:rPr>
                <w:b w:val="false"/>
                <w:bCs w:val="false"/>
                <w:sz w:val="18"/>
                <w:szCs w:val="18"/>
              </w:rPr>
              <w:t xml:space="preserve">16.2</w:t>
            </w:r>
          </w:p>
        </w:tc>
        <w:tc>
          <w:tcPr>
            <w:tcW w:type="dxa" w:w="4680"/>
            <w:tcMar>
              <w:top w:type="dxa" w:w="60"/>
              <w:left w:type="dxa" w:w="100"/>
              <w:bottom w:type="dxa" w:w="60"/>
              <w:right w:type="dxa" w:w="100"/>
            </w:tcMar>
          </w:tcPr>
          <w:p>
            <w:r>
              <w:rPr>
                <w:b w:val="false"/>
                <w:bCs w:val="false"/>
                <w:sz w:val="18"/>
                <w:szCs w:val="18"/>
              </w:rPr>
              <w:t xml:space="preserve">Law 25 s 110 (s 12, last paragraph: reasonable measures against re-identification); commissioners' principles, Limiting Collection</w:t>
            </w:r>
          </w:p>
        </w:tc>
      </w:tr>
      <w:tr>
        <w:trPr>
          <w:tblHeader w:val="false"/>
        </w:trPr>
        <w:tc>
          <w:tcPr>
            <w:tcW w:type="dxa" w:w="4680"/>
            <w:tcMar>
              <w:top w:type="dxa" w:w="60"/>
              <w:left w:type="dxa" w:w="100"/>
              <w:bottom w:type="dxa" w:w="60"/>
              <w:right w:type="dxa" w:w="100"/>
            </w:tcMar>
          </w:tcPr>
          <w:p>
            <w:r>
              <w:rPr>
                <w:b w:val="false"/>
                <w:bCs w:val="false"/>
                <w:sz w:val="18"/>
                <w:szCs w:val="18"/>
              </w:rPr>
              <w:t xml:space="preserve">17.1</w:t>
            </w:r>
          </w:p>
        </w:tc>
        <w:tc>
          <w:tcPr>
            <w:tcW w:type="dxa" w:w="4680"/>
            <w:tcMar>
              <w:top w:type="dxa" w:w="60"/>
              <w:left w:type="dxa" w:w="100"/>
              <w:bottom w:type="dxa" w:w="60"/>
              <w:right w:type="dxa" w:w="100"/>
            </w:tcMar>
          </w:tcPr>
          <w:p>
            <w:r>
              <w:rPr>
                <w:b w:val="false"/>
                <w:bCs w:val="false"/>
                <w:sz w:val="18"/>
                <w:szCs w:val="18"/>
              </w:rPr>
              <w:t xml:space="preserve">Commissioners' principles, Necessity and proportionality</w:t>
            </w:r>
          </w:p>
        </w:tc>
      </w:tr>
      <w:tr>
        <w:trPr>
          <w:tblHeader w:val="false"/>
        </w:trPr>
        <w:tc>
          <w:tcPr>
            <w:tcW w:type="dxa" w:w="4680"/>
            <w:tcMar>
              <w:top w:type="dxa" w:w="60"/>
              <w:left w:type="dxa" w:w="100"/>
              <w:bottom w:type="dxa" w:w="60"/>
              <w:right w:type="dxa" w:w="100"/>
            </w:tcMar>
          </w:tcPr>
          <w:p>
            <w:r>
              <w:rPr>
                <w:b w:val="false"/>
                <w:bCs w:val="false"/>
                <w:sz w:val="18"/>
                <w:szCs w:val="18"/>
              </w:rPr>
              <w:t xml:space="preserve">17.2</w:t>
            </w:r>
          </w:p>
        </w:tc>
        <w:tc>
          <w:tcPr>
            <w:tcW w:type="dxa" w:w="4680"/>
            <w:tcMar>
              <w:top w:type="dxa" w:w="60"/>
              <w:left w:type="dxa" w:w="100"/>
              <w:bottom w:type="dxa" w:w="60"/>
              <w:right w:type="dxa" w:w="100"/>
            </w:tcMar>
          </w:tcPr>
          <w:p>
            <w:r>
              <w:rPr>
                <w:b w:val="false"/>
                <w:bCs w:val="false"/>
                <w:sz w:val="18"/>
                <w:szCs w:val="18"/>
              </w:rPr>
              <w:t xml:space="preserve">Commissioners' principles, Appropriate Purposes (cease; notify developers of inappropriate uses)</w:t>
            </w:r>
          </w:p>
        </w:tc>
      </w:tr>
      <w:tr>
        <w:trPr>
          <w:tblHeader w:val="false"/>
        </w:trPr>
        <w:tc>
          <w:tcPr>
            <w:tcW w:type="dxa" w:w="4680"/>
            <w:tcMar>
              <w:top w:type="dxa" w:w="60"/>
              <w:left w:type="dxa" w:w="100"/>
              <w:bottom w:type="dxa" w:w="60"/>
              <w:right w:type="dxa" w:w="100"/>
            </w:tcMar>
          </w:tcPr>
          <w:p>
            <w:r>
              <w:rPr>
                <w:b w:val="false"/>
                <w:bCs w:val="false"/>
                <w:sz w:val="18"/>
                <w:szCs w:val="18"/>
              </w:rPr>
              <w:t xml:space="preserve">18.1</w:t>
            </w:r>
          </w:p>
        </w:tc>
        <w:tc>
          <w:tcPr>
            <w:tcW w:type="dxa" w:w="4680"/>
            <w:tcMar>
              <w:top w:type="dxa" w:w="60"/>
              <w:left w:type="dxa" w:w="100"/>
              <w:bottom w:type="dxa" w:w="60"/>
              <w:right w:type="dxa" w:w="100"/>
            </w:tcMar>
          </w:tcPr>
          <w:p>
            <w:r>
              <w:rPr>
                <w:b w:val="false"/>
                <w:bCs w:val="false"/>
                <w:sz w:val="18"/>
                <w:szCs w:val="18"/>
              </w:rPr>
              <w:t xml:space="preserve">PIPEDA Sch 1 cl 4.1, 4.1.2, 4.1.3; Law 25 s 103 (s 3.1)</w:t>
            </w:r>
          </w:p>
        </w:tc>
      </w:tr>
      <w:tr>
        <w:trPr>
          <w:tblHeader w:val="false"/>
        </w:trPr>
        <w:tc>
          <w:tcPr>
            <w:tcW w:type="dxa" w:w="4680"/>
            <w:tcMar>
              <w:top w:type="dxa" w:w="60"/>
              <w:left w:type="dxa" w:w="100"/>
              <w:bottom w:type="dxa" w:w="60"/>
              <w:right w:type="dxa" w:w="100"/>
            </w:tcMar>
          </w:tcPr>
          <w:p>
            <w:r>
              <w:rPr>
                <w:b w:val="false"/>
                <w:bCs w:val="false"/>
                <w:sz w:val="18"/>
                <w:szCs w:val="18"/>
              </w:rPr>
              <w:t xml:space="preserve">18.2</w:t>
            </w:r>
          </w:p>
        </w:tc>
        <w:tc>
          <w:tcPr>
            <w:tcW w:type="dxa" w:w="4680"/>
            <w:tcMar>
              <w:top w:type="dxa" w:w="60"/>
              <w:left w:type="dxa" w:w="100"/>
              <w:bottom w:type="dxa" w:w="60"/>
              <w:right w:type="dxa" w:w="100"/>
            </w:tcMar>
          </w:tcPr>
          <w:p>
            <w:r>
              <w:rPr>
                <w:b w:val="false"/>
                <w:bCs w:val="false"/>
                <w:sz w:val="18"/>
                <w:szCs w:val="18"/>
              </w:rPr>
              <w:t xml:space="preserve">PIPEDA Sch 1 cl 4.1.4</w:t>
            </w:r>
          </w:p>
        </w:tc>
      </w:tr>
      <w:tr>
        <w:trPr>
          <w:tblHeader w:val="false"/>
        </w:trPr>
        <w:tc>
          <w:tcPr>
            <w:tcW w:type="dxa" w:w="4680"/>
            <w:tcMar>
              <w:top w:type="dxa" w:w="60"/>
              <w:left w:type="dxa" w:w="100"/>
              <w:bottom w:type="dxa" w:w="60"/>
              <w:right w:type="dxa" w:w="100"/>
            </w:tcMar>
          </w:tcPr>
          <w:p>
            <w:r>
              <w:rPr>
                <w:b w:val="false"/>
                <w:bCs w:val="false"/>
                <w:sz w:val="18"/>
                <w:szCs w:val="18"/>
              </w:rPr>
              <w:t xml:space="preserve">18.3</w:t>
            </w:r>
          </w:p>
        </w:tc>
        <w:tc>
          <w:tcPr>
            <w:tcW w:type="dxa" w:w="4680"/>
            <w:tcMar>
              <w:top w:type="dxa" w:w="60"/>
              <w:left w:type="dxa" w:w="100"/>
              <w:bottom w:type="dxa" w:w="60"/>
              <w:right w:type="dxa" w:w="100"/>
            </w:tcMar>
          </w:tcPr>
          <w:p>
            <w:r>
              <w:rPr>
                <w:b w:val="false"/>
                <w:bCs w:val="false"/>
                <w:sz w:val="18"/>
                <w:szCs w:val="18"/>
              </w:rPr>
              <w:t xml:space="preserve">Commissioners' principles, Accountability (PIAs and/or AIAs; regularly re-visit including bias testing)</w:t>
            </w:r>
          </w:p>
        </w:tc>
      </w:tr>
      <w:tr>
        <w:trPr>
          <w:tblHeader w:val="false"/>
        </w:trPr>
        <w:tc>
          <w:tcPr>
            <w:tcW w:type="dxa" w:w="4680"/>
            <w:tcMar>
              <w:top w:type="dxa" w:w="60"/>
              <w:left w:type="dxa" w:w="100"/>
              <w:bottom w:type="dxa" w:w="60"/>
              <w:right w:type="dxa" w:w="100"/>
            </w:tcMar>
          </w:tcPr>
          <w:p>
            <w:r>
              <w:rPr>
                <w:b w:val="false"/>
                <w:bCs w:val="false"/>
                <w:sz w:val="18"/>
                <w:szCs w:val="18"/>
              </w:rPr>
              <w:t xml:space="preserve">19.1</w:t>
            </w:r>
          </w:p>
        </w:tc>
        <w:tc>
          <w:tcPr>
            <w:tcW w:type="dxa" w:w="4680"/>
            <w:tcMar>
              <w:top w:type="dxa" w:w="60"/>
              <w:left w:type="dxa" w:w="100"/>
              <w:bottom w:type="dxa" w:w="60"/>
              <w:right w:type="dxa" w:w="100"/>
            </w:tcMar>
          </w:tcPr>
          <w:p>
            <w:r>
              <w:rPr>
                <w:b w:val="false"/>
                <w:bCs w:val="false"/>
                <w:sz w:val="18"/>
                <w:szCs w:val="18"/>
              </w:rPr>
              <w:t xml:space="preserve">Commissioners' principles, "Special consideration: the unique impact on vulnerable groups" (children)</w:t>
            </w:r>
          </w:p>
        </w:tc>
      </w:tr>
      <w:tr>
        <w:trPr>
          <w:tblHeader w:val="false"/>
        </w:trPr>
        <w:tc>
          <w:tcPr>
            <w:tcW w:type="dxa" w:w="4680"/>
            <w:tcMar>
              <w:top w:type="dxa" w:w="60"/>
              <w:left w:type="dxa" w:w="100"/>
              <w:bottom w:type="dxa" w:w="60"/>
              <w:right w:type="dxa" w:w="100"/>
            </w:tcMar>
          </w:tcPr>
          <w:p>
            <w:r>
              <w:rPr>
                <w:b w:val="false"/>
                <w:bCs w:val="false"/>
                <w:sz w:val="18"/>
                <w:szCs w:val="18"/>
              </w:rPr>
              <w:t xml:space="preserve">20.5</w:t>
            </w:r>
          </w:p>
        </w:tc>
        <w:tc>
          <w:tcPr>
            <w:tcW w:type="dxa" w:w="4680"/>
            <w:tcMar>
              <w:top w:type="dxa" w:w="60"/>
              <w:left w:type="dxa" w:w="100"/>
              <w:bottom w:type="dxa" w:w="60"/>
              <w:right w:type="dxa" w:w="100"/>
            </w:tcMar>
          </w:tcPr>
          <w:p>
            <w:r>
              <w:rPr>
                <w:b w:val="false"/>
                <w:bCs w:val="false"/>
                <w:sz w:val="18"/>
                <w:szCs w:val="18"/>
              </w:rPr>
              <w:t xml:space="preserve">PIPEDA ss 10.1(1)-(8), 10.3; Law 25 s 103 (ss 3.5-3.8)</w:t>
            </w:r>
          </w:p>
        </w:tc>
      </w:tr>
      <w:tr>
        <w:trPr>
          <w:tblHeader w:val="false"/>
        </w:trPr>
        <w:tc>
          <w:tcPr>
            <w:tcW w:type="dxa" w:w="4680"/>
            <w:tcMar>
              <w:top w:type="dxa" w:w="60"/>
              <w:left w:type="dxa" w:w="100"/>
              <w:bottom w:type="dxa" w:w="60"/>
              <w:right w:type="dxa" w:w="100"/>
            </w:tcMar>
          </w:tcPr>
          <w:p>
            <w:r>
              <w:rPr>
                <w:b w:val="false"/>
                <w:bCs w:val="false"/>
                <w:sz w:val="18"/>
                <w:szCs w:val="18"/>
              </w:rPr>
              <w:t xml:space="preserve">20.6</w:t>
            </w:r>
          </w:p>
        </w:tc>
        <w:tc>
          <w:tcPr>
            <w:tcW w:type="dxa" w:w="4680"/>
            <w:tcMar>
              <w:top w:type="dxa" w:w="60"/>
              <w:left w:type="dxa" w:w="100"/>
              <w:bottom w:type="dxa" w:w="60"/>
              <w:right w:type="dxa" w:w="100"/>
            </w:tcMar>
          </w:tcPr>
          <w:p>
            <w:r>
              <w:rPr>
                <w:b w:val="false"/>
                <w:bCs w:val="false"/>
                <w:sz w:val="18"/>
                <w:szCs w:val="18"/>
              </w:rPr>
              <w:t xml:space="preserve">Commissioners' principles, Appropriate Purposes (red team testing; monitor and notify developers); Safeguards; house</w:t>
            </w:r>
          </w:p>
        </w:tc>
      </w:tr>
      <w:tr>
        <w:trPr>
          <w:tblHeader w:val="false"/>
        </w:trPr>
        <w:tc>
          <w:tcPr>
            <w:tcW w:type="dxa" w:w="4680"/>
            <w:tcMar>
              <w:top w:type="dxa" w:w="60"/>
              <w:left w:type="dxa" w:w="100"/>
              <w:bottom w:type="dxa" w:w="60"/>
              <w:right w:type="dxa" w:w="100"/>
            </w:tcMar>
          </w:tcPr>
          <w:p>
            <w:r>
              <w:rPr>
                <w:b w:val="false"/>
                <w:bCs w:val="false"/>
                <w:sz w:val="18"/>
                <w:szCs w:val="18"/>
              </w:rPr>
              <w:t xml:space="preserve">20.7</w:t>
            </w:r>
          </w:p>
        </w:tc>
        <w:tc>
          <w:tcPr>
            <w:tcW w:type="dxa" w:w="4680"/>
            <w:tcMar>
              <w:top w:type="dxa" w:w="60"/>
              <w:left w:type="dxa" w:w="100"/>
              <w:bottom w:type="dxa" w:w="60"/>
              <w:right w:type="dxa" w:w="100"/>
            </w:tcMar>
          </w:tcPr>
          <w:p>
            <w:r>
              <w:rPr>
                <w:b w:val="false"/>
                <w:bCs w:val="false"/>
                <w:sz w:val="18"/>
                <w:szCs w:val="18"/>
              </w:rPr>
              <w:t xml:space="preserve">PIPEDA Sch 1 cl 4.10; Law 25 s 103 (s 3.1 published contact)</w:t>
            </w:r>
          </w:p>
        </w:tc>
      </w:tr>
      <w:tr>
        <w:trPr>
          <w:tblHeader w:val="false"/>
        </w:trPr>
        <w:tc>
          <w:tcPr>
            <w:tcW w:type="dxa" w:w="4680"/>
            <w:tcMar>
              <w:top w:type="dxa" w:w="60"/>
              <w:left w:type="dxa" w:w="100"/>
              <w:bottom w:type="dxa" w:w="60"/>
              <w:right w:type="dxa" w:w="100"/>
            </w:tcMar>
          </w:tcPr>
          <w:p>
            <w:r>
              <w:rPr>
                <w:b w:val="false"/>
                <w:bCs w:val="false"/>
                <w:sz w:val="18"/>
                <w:szCs w:val="18"/>
              </w:rPr>
              <w:t xml:space="preserve">22</w:t>
            </w:r>
          </w:p>
        </w:tc>
        <w:tc>
          <w:tcPr>
            <w:tcW w:type="dxa" w:w="4680"/>
            <w:tcMar>
              <w:top w:type="dxa" w:w="60"/>
              <w:left w:type="dxa" w:w="100"/>
              <w:bottom w:type="dxa" w:w="60"/>
              <w:right w:type="dxa" w:w="100"/>
            </w:tcMar>
          </w:tcPr>
          <w:p>
            <w:r>
              <w:rPr>
                <w:b w:val="false"/>
                <w:bCs w:val="false"/>
                <w:sz w:val="18"/>
                <w:szCs w:val="18"/>
              </w:rPr>
              <w:t xml:space="preserve">Named regimes; PIPEDA s 26(2)(b); source register</w:t>
            </w:r>
          </w:p>
        </w:tc>
      </w:tr>
    </w:tbl>
    <w:p>
      <w:pPr>
        <w:spacing w:after="120"/>
      </w:pPr>
    </w:p>
    <w:p>
      <w:pPr>
        <w:pStyle w:val="Heading1"/>
        <w:spacing w:after="120" w:before="280"/>
      </w:pPr>
      <w:r>
        <w:rPr>
          <w:color w:val="2E74B5"/>
        </w:rPr>
        <w:t xml:space="preserve">4. Clause-by-clause basis - annex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EEAF6" w:color="auto" w:val="clear"/>
            <w:tcMar>
              <w:top w:type="dxa" w:w="60"/>
              <w:left w:type="dxa" w:w="100"/>
              <w:bottom w:type="dxa" w:w="60"/>
              <w:right w:type="dxa" w:w="100"/>
            </w:tcMar>
          </w:tcPr>
          <w:p>
            <w:r>
              <w:rPr>
                <w:b/>
                <w:bCs/>
                <w:sz w:val="18"/>
                <w:szCs w:val="18"/>
              </w:rPr>
              <w:t xml:space="preserve">Clause</w:t>
            </w:r>
          </w:p>
        </w:tc>
        <w:tc>
          <w:tcPr>
            <w:tcW w:type="dxa" w:w="4680"/>
            <w:shd w:fill="DEEAF6" w:color="auto" w:val="clear"/>
            <w:tcMar>
              <w:top w:type="dxa" w:w="60"/>
              <w:left w:type="dxa" w:w="100"/>
              <w:bottom w:type="dxa" w:w="60"/>
              <w:right w:type="dxa" w:w="100"/>
            </w:tcMar>
          </w:tcPr>
          <w:p>
            <w:r>
              <w:rPr>
                <w:b/>
                <w:bCs/>
                <w:sz w:val="18"/>
                <w:szCs w:val="18"/>
              </w:rPr>
              <w:t xml:space="preserve">Rests on</w:t>
            </w:r>
          </w:p>
        </w:tc>
      </w:tr>
      <w:tr>
        <w:trPr>
          <w:tblHeader w:val="false"/>
        </w:trPr>
        <w:tc>
          <w:tcPr>
            <w:tcW w:type="dxa" w:w="4680"/>
            <w:tcMar>
              <w:top w:type="dxa" w:w="60"/>
              <w:left w:type="dxa" w:w="100"/>
              <w:bottom w:type="dxa" w:w="60"/>
              <w:right w:type="dxa" w:w="100"/>
            </w:tcMar>
          </w:tcPr>
          <w:p>
            <w:r>
              <w:rPr>
                <w:b w:val="false"/>
                <w:bCs w:val="false"/>
                <w:sz w:val="18"/>
                <w:szCs w:val="18"/>
              </w:rPr>
              <w:t xml:space="preserve">A1</w:t>
            </w:r>
          </w:p>
        </w:tc>
        <w:tc>
          <w:tcPr>
            <w:tcW w:type="dxa" w:w="4680"/>
            <w:tcMar>
              <w:top w:type="dxa" w:w="60"/>
              <w:left w:type="dxa" w:w="100"/>
              <w:bottom w:type="dxa" w:w="60"/>
              <w:right w:type="dxa" w:w="100"/>
            </w:tcMar>
          </w:tcPr>
          <w:p>
            <w:r>
              <w:rPr>
                <w:b w:val="false"/>
                <w:bCs w:val="false"/>
                <w:sz w:val="18"/>
                <w:szCs w:val="18"/>
              </w:rPr>
              <w:t xml:space="preserve">PIPEDA Sch 1 cl 4.1, 4.1.1-4.1.4; Law 25 s 103 (s 3.1)</w:t>
            </w:r>
          </w:p>
        </w:tc>
      </w:tr>
      <w:tr>
        <w:trPr>
          <w:tblHeader w:val="false"/>
        </w:trPr>
        <w:tc>
          <w:tcPr>
            <w:tcW w:type="dxa" w:w="4680"/>
            <w:tcMar>
              <w:top w:type="dxa" w:w="60"/>
              <w:left w:type="dxa" w:w="100"/>
              <w:bottom w:type="dxa" w:w="60"/>
              <w:right w:type="dxa" w:w="100"/>
            </w:tcMar>
          </w:tcPr>
          <w:p>
            <w:r>
              <w:rPr>
                <w:b w:val="false"/>
                <w:bCs w:val="false"/>
                <w:sz w:val="18"/>
                <w:szCs w:val="18"/>
              </w:rPr>
              <w:t xml:space="preserve">A2</w:t>
            </w:r>
          </w:p>
        </w:tc>
        <w:tc>
          <w:tcPr>
            <w:tcW w:type="dxa" w:w="4680"/>
            <w:tcMar>
              <w:top w:type="dxa" w:w="60"/>
              <w:left w:type="dxa" w:w="100"/>
              <w:bottom w:type="dxa" w:w="60"/>
              <w:right w:type="dxa" w:w="100"/>
            </w:tcMar>
          </w:tcPr>
          <w:p>
            <w:r>
              <w:rPr>
                <w:b w:val="false"/>
                <w:bCs w:val="false"/>
                <w:sz w:val="18"/>
                <w:szCs w:val="18"/>
              </w:rPr>
              <w:t xml:space="preserve">House; PIPEDA Sch 1 cl 4.8.2(c); Law 25 s 107 (s 8.1)</w:t>
            </w:r>
          </w:p>
        </w:tc>
      </w:tr>
      <w:tr>
        <w:trPr>
          <w:tblHeader w:val="false"/>
        </w:trPr>
        <w:tc>
          <w:tcPr>
            <w:tcW w:type="dxa" w:w="4680"/>
            <w:tcMar>
              <w:top w:type="dxa" w:w="60"/>
              <w:left w:type="dxa" w:w="100"/>
              <w:bottom w:type="dxa" w:w="60"/>
              <w:right w:type="dxa" w:w="100"/>
            </w:tcMar>
          </w:tcPr>
          <w:p>
            <w:r>
              <w:rPr>
                <w:b w:val="false"/>
                <w:bCs w:val="false"/>
                <w:sz w:val="18"/>
                <w:szCs w:val="18"/>
              </w:rPr>
              <w:t xml:space="preserve">A3</w:t>
            </w:r>
          </w:p>
        </w:tc>
        <w:tc>
          <w:tcPr>
            <w:tcW w:type="dxa" w:w="4680"/>
            <w:tcMar>
              <w:top w:type="dxa" w:w="60"/>
              <w:left w:type="dxa" w:w="100"/>
              <w:bottom w:type="dxa" w:w="60"/>
              <w:right w:type="dxa" w:w="100"/>
            </w:tcMar>
          </w:tcPr>
          <w:p>
            <w:r>
              <w:rPr>
                <w:b w:val="false"/>
                <w:bCs w:val="false"/>
                <w:sz w:val="18"/>
                <w:szCs w:val="18"/>
              </w:rPr>
              <w:t xml:space="preserve">Bill C-36 ss 2, 12(2), 62(1)(c), 63(4)-(6); source register</w:t>
            </w:r>
          </w:p>
        </w:tc>
      </w:tr>
      <w:tr>
        <w:trPr>
          <w:tblHeader w:val="false"/>
        </w:trPr>
        <w:tc>
          <w:tcPr>
            <w:tcW w:type="dxa" w:w="4680"/>
            <w:tcMar>
              <w:top w:type="dxa" w:w="60"/>
              <w:left w:type="dxa" w:w="100"/>
              <w:bottom w:type="dxa" w:w="60"/>
              <w:right w:type="dxa" w:w="100"/>
            </w:tcMar>
          </w:tcPr>
          <w:p>
            <w:r>
              <w:rPr>
                <w:b w:val="false"/>
                <w:bCs w:val="false"/>
                <w:sz w:val="18"/>
                <w:szCs w:val="18"/>
              </w:rPr>
              <w:t xml:space="preserve">A4</w:t>
            </w:r>
          </w:p>
        </w:tc>
        <w:tc>
          <w:tcPr>
            <w:tcW w:type="dxa" w:w="4680"/>
            <w:tcMar>
              <w:top w:type="dxa" w:w="60"/>
              <w:left w:type="dxa" w:w="100"/>
              <w:bottom w:type="dxa" w:w="60"/>
              <w:right w:type="dxa" w:w="100"/>
            </w:tcMar>
          </w:tcPr>
          <w:p>
            <w:r>
              <w:rPr>
                <w:b w:val="false"/>
                <w:bCs w:val="false"/>
                <w:sz w:val="18"/>
                <w:szCs w:val="18"/>
              </w:rPr>
              <w:t xml:space="preserve">Law 25 s 110 (s 12.1); finding 2.2</w:t>
            </w:r>
          </w:p>
        </w:tc>
      </w:tr>
      <w:tr>
        <w:trPr>
          <w:tblHeader w:val="false"/>
        </w:trPr>
        <w:tc>
          <w:tcPr>
            <w:tcW w:type="dxa" w:w="4680"/>
            <w:tcMar>
              <w:top w:type="dxa" w:w="60"/>
              <w:left w:type="dxa" w:w="100"/>
              <w:bottom w:type="dxa" w:w="60"/>
              <w:right w:type="dxa" w:w="100"/>
            </w:tcMar>
          </w:tcPr>
          <w:p>
            <w:r>
              <w:rPr>
                <w:b w:val="false"/>
                <w:bCs w:val="false"/>
                <w:sz w:val="18"/>
                <w:szCs w:val="18"/>
              </w:rPr>
              <w:t xml:space="preserve">A5</w:t>
            </w:r>
          </w:p>
        </w:tc>
        <w:tc>
          <w:tcPr>
            <w:tcW w:type="dxa" w:w="4680"/>
            <w:tcMar>
              <w:top w:type="dxa" w:w="60"/>
              <w:left w:type="dxa" w:w="100"/>
              <w:bottom w:type="dxa" w:w="60"/>
              <w:right w:type="dxa" w:w="100"/>
            </w:tcMar>
          </w:tcPr>
          <w:p>
            <w:r>
              <w:rPr>
                <w:b w:val="false"/>
                <w:bCs w:val="false"/>
                <w:sz w:val="18"/>
                <w:szCs w:val="18"/>
              </w:rPr>
              <w:t xml:space="preserve">Law 25 s 103 (ss 3.3, 3.4); s 111 (s 17); commissioners' principles, Accountability</w:t>
            </w:r>
          </w:p>
        </w:tc>
      </w:tr>
      <w:tr>
        <w:trPr>
          <w:tblHeader w:val="false"/>
        </w:trPr>
        <w:tc>
          <w:tcPr>
            <w:tcW w:type="dxa" w:w="4680"/>
            <w:tcMar>
              <w:top w:type="dxa" w:w="60"/>
              <w:left w:type="dxa" w:w="100"/>
              <w:bottom w:type="dxa" w:w="60"/>
              <w:right w:type="dxa" w:w="100"/>
            </w:tcMar>
          </w:tcPr>
          <w:p>
            <w:r>
              <w:rPr>
                <w:b w:val="false"/>
                <w:bCs w:val="false"/>
                <w:sz w:val="18"/>
                <w:szCs w:val="18"/>
              </w:rPr>
              <w:t xml:space="preserve">A6.1</w:t>
            </w:r>
          </w:p>
        </w:tc>
        <w:tc>
          <w:tcPr>
            <w:tcW w:type="dxa" w:w="4680"/>
            <w:tcMar>
              <w:top w:type="dxa" w:w="60"/>
              <w:left w:type="dxa" w:w="100"/>
              <w:bottom w:type="dxa" w:w="60"/>
              <w:right w:type="dxa" w:w="100"/>
            </w:tcMar>
          </w:tcPr>
          <w:p>
            <w:r>
              <w:rPr>
                <w:b w:val="false"/>
                <w:bCs w:val="false"/>
                <w:sz w:val="18"/>
                <w:szCs w:val="18"/>
              </w:rPr>
              <w:t xml:space="preserve">Law 25 s 111 (s 17, all three paragraphs)</w:t>
            </w:r>
          </w:p>
        </w:tc>
      </w:tr>
      <w:tr>
        <w:trPr>
          <w:tblHeader w:val="false"/>
        </w:trPr>
        <w:tc>
          <w:tcPr>
            <w:tcW w:type="dxa" w:w="4680"/>
            <w:tcMar>
              <w:top w:type="dxa" w:w="60"/>
              <w:left w:type="dxa" w:w="100"/>
              <w:bottom w:type="dxa" w:w="60"/>
              <w:right w:type="dxa" w:w="100"/>
            </w:tcMar>
          </w:tcPr>
          <w:p>
            <w:r>
              <w:rPr>
                <w:b w:val="false"/>
                <w:bCs w:val="false"/>
                <w:sz w:val="18"/>
                <w:szCs w:val="18"/>
              </w:rPr>
              <w:t xml:space="preserve">A6.2</w:t>
            </w:r>
          </w:p>
        </w:tc>
        <w:tc>
          <w:tcPr>
            <w:tcW w:type="dxa" w:w="4680"/>
            <w:tcMar>
              <w:top w:type="dxa" w:w="60"/>
              <w:left w:type="dxa" w:w="100"/>
              <w:bottom w:type="dxa" w:w="60"/>
              <w:right w:type="dxa" w:w="100"/>
            </w:tcMar>
          </w:tcPr>
          <w:p>
            <w:r>
              <w:rPr>
                <w:b w:val="false"/>
                <w:bCs w:val="false"/>
                <w:sz w:val="18"/>
                <w:szCs w:val="18"/>
              </w:rPr>
              <w:t xml:space="preserve">PIPEDA Sch 1 cl 4.1.3</w:t>
            </w:r>
          </w:p>
        </w:tc>
      </w:tr>
      <w:tr>
        <w:trPr>
          <w:tblHeader w:val="false"/>
        </w:trPr>
        <w:tc>
          <w:tcPr>
            <w:tcW w:type="dxa" w:w="4680"/>
            <w:tcMar>
              <w:top w:type="dxa" w:w="60"/>
              <w:left w:type="dxa" w:w="100"/>
              <w:bottom w:type="dxa" w:w="60"/>
              <w:right w:type="dxa" w:w="100"/>
            </w:tcMar>
          </w:tcPr>
          <w:p>
            <w:r>
              <w:rPr>
                <w:b w:val="false"/>
                <w:bCs w:val="false"/>
                <w:sz w:val="18"/>
                <w:szCs w:val="18"/>
              </w:rPr>
              <w:t xml:space="preserve">A6.3</w:t>
            </w:r>
          </w:p>
        </w:tc>
        <w:tc>
          <w:tcPr>
            <w:tcW w:type="dxa" w:w="4680"/>
            <w:tcMar>
              <w:top w:type="dxa" w:w="60"/>
              <w:left w:type="dxa" w:w="100"/>
              <w:bottom w:type="dxa" w:w="60"/>
              <w:right w:type="dxa" w:w="100"/>
            </w:tcMar>
          </w:tcPr>
          <w:p>
            <w:r>
              <w:rPr>
                <w:b w:val="false"/>
                <w:bCs w:val="false"/>
                <w:sz w:val="18"/>
                <w:szCs w:val="18"/>
              </w:rPr>
              <w:t xml:space="preserve">Commissioners' principles, Openness (developers and providers: publish dataset documentation, known failure cases); Accountability (testing for data extraction)</w:t>
            </w:r>
          </w:p>
        </w:tc>
      </w:tr>
      <w:tr>
        <w:trPr>
          <w:tblHeader w:val="false"/>
        </w:trPr>
        <w:tc>
          <w:tcPr>
            <w:tcW w:type="dxa" w:w="4680"/>
            <w:tcMar>
              <w:top w:type="dxa" w:w="60"/>
              <w:left w:type="dxa" w:w="100"/>
              <w:bottom w:type="dxa" w:w="60"/>
              <w:right w:type="dxa" w:w="100"/>
            </w:tcMar>
          </w:tcPr>
          <w:p>
            <w:r>
              <w:rPr>
                <w:b w:val="false"/>
                <w:bCs w:val="false"/>
                <w:sz w:val="18"/>
                <w:szCs w:val="18"/>
              </w:rPr>
              <w:t xml:space="preserve">A7</w:t>
            </w:r>
          </w:p>
        </w:tc>
        <w:tc>
          <w:tcPr>
            <w:tcW w:type="dxa" w:w="4680"/>
            <w:tcMar>
              <w:top w:type="dxa" w:w="60"/>
              <w:left w:type="dxa" w:w="100"/>
              <w:bottom w:type="dxa" w:w="60"/>
              <w:right w:type="dxa" w:w="100"/>
            </w:tcMar>
          </w:tcPr>
          <w:p>
            <w:r>
              <w:rPr>
                <w:b w:val="false"/>
                <w:bCs w:val="false"/>
                <w:sz w:val="18"/>
                <w:szCs w:val="18"/>
              </w:rPr>
              <w:t xml:space="preserve">PIPEDA Sch 1 cl 4.8; Law 25 s 107 (ss 8.1, 8.2)</w:t>
            </w:r>
          </w:p>
        </w:tc>
      </w:tr>
      <w:tr>
        <w:trPr>
          <w:tblHeader w:val="false"/>
        </w:trPr>
        <w:tc>
          <w:tcPr>
            <w:tcW w:type="dxa" w:w="4680"/>
            <w:tcMar>
              <w:top w:type="dxa" w:w="60"/>
              <w:left w:type="dxa" w:w="100"/>
              <w:bottom w:type="dxa" w:w="60"/>
              <w:right w:type="dxa" w:w="100"/>
            </w:tcMar>
          </w:tcPr>
          <w:p>
            <w:r>
              <w:rPr>
                <w:b w:val="false"/>
                <w:bCs w:val="false"/>
                <w:sz w:val="18"/>
                <w:szCs w:val="18"/>
              </w:rPr>
              <w:t xml:space="preserve">A8</w:t>
            </w:r>
          </w:p>
        </w:tc>
        <w:tc>
          <w:tcPr>
            <w:tcW w:type="dxa" w:w="4680"/>
            <w:tcMar>
              <w:top w:type="dxa" w:w="60"/>
              <w:left w:type="dxa" w:w="100"/>
              <w:bottom w:type="dxa" w:w="60"/>
              <w:right w:type="dxa" w:w="100"/>
            </w:tcMar>
          </w:tcPr>
          <w:p>
            <w:r>
              <w:rPr>
                <w:b w:val="false"/>
                <w:bCs w:val="false"/>
                <w:sz w:val="18"/>
                <w:szCs w:val="18"/>
              </w:rPr>
              <w:t xml:space="preserve">Commissioners' principles, Appropriate Purposes, Accuracy, Safeguards</w:t>
            </w:r>
          </w:p>
        </w:tc>
      </w:tr>
      <w:tr>
        <w:trPr>
          <w:tblHeader w:val="false"/>
        </w:trPr>
        <w:tc>
          <w:tcPr>
            <w:tcW w:type="dxa" w:w="4680"/>
            <w:tcMar>
              <w:top w:type="dxa" w:w="60"/>
              <w:left w:type="dxa" w:w="100"/>
              <w:bottom w:type="dxa" w:w="60"/>
              <w:right w:type="dxa" w:w="100"/>
            </w:tcMar>
          </w:tcPr>
          <w:p>
            <w:r>
              <w:rPr>
                <w:b w:val="false"/>
                <w:bCs w:val="false"/>
                <w:sz w:val="18"/>
                <w:szCs w:val="18"/>
              </w:rPr>
              <w:t xml:space="preserve">A9</w:t>
            </w:r>
          </w:p>
        </w:tc>
        <w:tc>
          <w:tcPr>
            <w:tcW w:type="dxa" w:w="4680"/>
            <w:tcMar>
              <w:top w:type="dxa" w:w="60"/>
              <w:left w:type="dxa" w:w="100"/>
              <w:bottom w:type="dxa" w:w="60"/>
              <w:right w:type="dxa" w:w="100"/>
            </w:tcMar>
          </w:tcPr>
          <w:p>
            <w:r>
              <w:rPr>
                <w:b w:val="false"/>
                <w:bCs w:val="false"/>
                <w:sz w:val="18"/>
                <w:szCs w:val="18"/>
              </w:rPr>
              <w:t xml:space="preserve">PIPEDA ss 10.1, 10.3; Law 25 s 103 (ss 3.5-3.8)</w:t>
            </w:r>
          </w:p>
        </w:tc>
      </w:tr>
      <w:tr>
        <w:trPr>
          <w:tblHeader w:val="false"/>
        </w:trPr>
        <w:tc>
          <w:tcPr>
            <w:tcW w:type="dxa" w:w="4680"/>
            <w:tcMar>
              <w:top w:type="dxa" w:w="60"/>
              <w:left w:type="dxa" w:w="100"/>
              <w:bottom w:type="dxa" w:w="60"/>
              <w:right w:type="dxa" w:w="100"/>
            </w:tcMar>
          </w:tcPr>
          <w:p>
            <w:r>
              <w:rPr>
                <w:b w:val="false"/>
                <w:bCs w:val="false"/>
                <w:sz w:val="18"/>
                <w:szCs w:val="18"/>
              </w:rPr>
              <w:t xml:space="preserve">A10</w:t>
            </w:r>
          </w:p>
        </w:tc>
        <w:tc>
          <w:tcPr>
            <w:tcW w:type="dxa" w:w="4680"/>
            <w:tcMar>
              <w:top w:type="dxa" w:w="60"/>
              <w:left w:type="dxa" w:w="100"/>
              <w:bottom w:type="dxa" w:w="60"/>
              <w:right w:type="dxa" w:w="100"/>
            </w:tcMar>
          </w:tcPr>
          <w:p>
            <w:r>
              <w:rPr>
                <w:b w:val="false"/>
                <w:bCs w:val="false"/>
                <w:sz w:val="18"/>
                <w:szCs w:val="18"/>
              </w:rPr>
              <w:t xml:space="preserve">PIPEDA Sch 1 cl 4.9; s 8; commissioners' principles, Individual Access (maintain adequate records where used in decision-making)</w:t>
            </w:r>
          </w:p>
        </w:tc>
      </w:tr>
      <w:tr>
        <w:trPr>
          <w:tblHeader w:val="false"/>
        </w:trPr>
        <w:tc>
          <w:tcPr>
            <w:tcW w:type="dxa" w:w="4680"/>
            <w:tcMar>
              <w:top w:type="dxa" w:w="60"/>
              <w:left w:type="dxa" w:w="100"/>
              <w:bottom w:type="dxa" w:w="60"/>
              <w:right w:type="dxa" w:w="100"/>
            </w:tcMar>
          </w:tcPr>
          <w:p>
            <w:r>
              <w:rPr>
                <w:b w:val="false"/>
                <w:bCs w:val="false"/>
                <w:sz w:val="18"/>
                <w:szCs w:val="18"/>
              </w:rPr>
              <w:t xml:space="preserve">A12</w:t>
            </w:r>
          </w:p>
        </w:tc>
        <w:tc>
          <w:tcPr>
            <w:tcW w:type="dxa" w:w="4680"/>
            <w:tcMar>
              <w:top w:type="dxa" w:w="60"/>
              <w:left w:type="dxa" w:w="100"/>
              <w:bottom w:type="dxa" w:w="60"/>
              <w:right w:type="dxa" w:w="100"/>
            </w:tcMar>
          </w:tcPr>
          <w:p>
            <w:r>
              <w:rPr>
                <w:b w:val="false"/>
                <w:bCs w:val="false"/>
                <w:sz w:val="18"/>
                <w:szCs w:val="18"/>
              </w:rPr>
              <w:t xml:space="preserve">House</w:t>
            </w:r>
          </w:p>
        </w:tc>
      </w:tr>
      <w:tr>
        <w:trPr>
          <w:tblHeader w:val="false"/>
        </w:trPr>
        <w:tc>
          <w:tcPr>
            <w:tcW w:type="dxa" w:w="4680"/>
            <w:tcMar>
              <w:top w:type="dxa" w:w="60"/>
              <w:left w:type="dxa" w:w="100"/>
              <w:bottom w:type="dxa" w:w="60"/>
              <w:right w:type="dxa" w:w="100"/>
            </w:tcMar>
          </w:tcPr>
          <w:p>
            <w:r>
              <w:rPr>
                <w:b w:val="false"/>
                <w:bCs w:val="false"/>
                <w:sz w:val="18"/>
                <w:szCs w:val="18"/>
              </w:rPr>
              <w:t xml:space="preserve">A13</w:t>
            </w:r>
          </w:p>
        </w:tc>
        <w:tc>
          <w:tcPr>
            <w:tcW w:type="dxa" w:w="4680"/>
            <w:tcMar>
              <w:top w:type="dxa" w:w="60"/>
              <w:left w:type="dxa" w:w="100"/>
              <w:bottom w:type="dxa" w:w="60"/>
              <w:right w:type="dxa" w:w="100"/>
            </w:tcMar>
          </w:tcPr>
          <w:p>
            <w:r>
              <w:rPr>
                <w:b w:val="false"/>
                <w:bCs w:val="false"/>
                <w:sz w:val="18"/>
                <w:szCs w:val="18"/>
              </w:rPr>
              <w:t xml:space="preserve">Section 1 above; source register</w:t>
            </w:r>
          </w:p>
        </w:tc>
      </w:tr>
    </w:tbl>
    <w:p>
      <w:pPr>
        <w:spacing w:after="120"/>
      </w:pPr>
    </w:p>
    <w:p>
      <w:pPr>
        <w:pStyle w:val="Heading1"/>
        <w:spacing w:after="120" w:before="280"/>
      </w:pPr>
      <w:r>
        <w:rPr>
          <w:color w:val="2E74B5"/>
        </w:rPr>
        <w:t xml:space="preserve">5. Dates stated in the set, with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EEAF6" w:color="auto" w:val="clear"/>
            <w:tcMar>
              <w:top w:type="dxa" w:w="60"/>
              <w:left w:type="dxa" w:w="100"/>
              <w:bottom w:type="dxa" w:w="60"/>
              <w:right w:type="dxa" w:w="100"/>
            </w:tcMar>
          </w:tcPr>
          <w:p>
            <w:r>
              <w:rPr>
                <w:b/>
                <w:bCs/>
                <w:sz w:val="18"/>
                <w:szCs w:val="18"/>
              </w:rPr>
              <w:t xml:space="preserve">Date</w:t>
            </w:r>
          </w:p>
        </w:tc>
        <w:tc>
          <w:tcPr>
            <w:tcW w:type="dxa" w:w="3120"/>
            <w:shd w:fill="DEEAF6" w:color="auto" w:val="clear"/>
            <w:tcMar>
              <w:top w:type="dxa" w:w="60"/>
              <w:left w:type="dxa" w:w="100"/>
              <w:bottom w:type="dxa" w:w="60"/>
              <w:right w:type="dxa" w:w="100"/>
            </w:tcMar>
          </w:tcPr>
          <w:p>
            <w:r>
              <w:rPr>
                <w:b/>
                <w:bCs/>
                <w:sz w:val="18"/>
                <w:szCs w:val="18"/>
              </w:rPr>
              <w:t xml:space="preserve">Meaning</w:t>
            </w:r>
          </w:p>
        </w:tc>
        <w:tc>
          <w:tcPr>
            <w:tcW w:type="dxa" w:w="3120"/>
            <w:shd w:fill="DEEAF6" w:color="auto" w:val="clear"/>
            <w:tcMar>
              <w:top w:type="dxa" w:w="60"/>
              <w:left w:type="dxa" w:w="100"/>
              <w:bottom w:type="dxa" w:w="60"/>
              <w:right w:type="dxa" w:w="100"/>
            </w:tcMar>
          </w:tcPr>
          <w:p>
            <w:r>
              <w:rPr>
                <w:b/>
                <w:bCs/>
                <w:sz w:val="18"/>
                <w:szCs w:val="18"/>
              </w:rPr>
              <w:t xml:space="preserve">Source</w:t>
            </w:r>
          </w:p>
        </w:tc>
      </w:tr>
      <w:tr>
        <w:trPr>
          <w:tblHeader w:val="false"/>
        </w:trPr>
        <w:tc>
          <w:tcPr>
            <w:tcW w:type="dxa" w:w="3120"/>
            <w:tcMar>
              <w:top w:type="dxa" w:w="60"/>
              <w:left w:type="dxa" w:w="100"/>
              <w:bottom w:type="dxa" w:w="60"/>
              <w:right w:type="dxa" w:w="100"/>
            </w:tcMar>
          </w:tcPr>
          <w:p>
            <w:r>
              <w:rPr>
                <w:b w:val="false"/>
                <w:bCs w:val="false"/>
                <w:sz w:val="18"/>
                <w:szCs w:val="18"/>
              </w:rPr>
              <w:t xml:space="preserve">22 September 2021</w:t>
            </w:r>
          </w:p>
        </w:tc>
        <w:tc>
          <w:tcPr>
            <w:tcW w:type="dxa" w:w="3120"/>
            <w:tcMar>
              <w:top w:type="dxa" w:w="60"/>
              <w:left w:type="dxa" w:w="100"/>
              <w:bottom w:type="dxa" w:w="60"/>
              <w:right w:type="dxa" w:w="100"/>
            </w:tcMar>
          </w:tcPr>
          <w:p>
            <w:r>
              <w:rPr>
                <w:b w:val="false"/>
                <w:bCs w:val="false"/>
                <w:sz w:val="18"/>
                <w:szCs w:val="18"/>
              </w:rPr>
              <w:t xml:space="preserve">Assent, Law 25</w:t>
            </w:r>
          </w:p>
        </w:tc>
        <w:tc>
          <w:tcPr>
            <w:tcW w:type="dxa" w:w="3120"/>
            <w:tcMar>
              <w:top w:type="dxa" w:w="60"/>
              <w:left w:type="dxa" w:w="100"/>
              <w:bottom w:type="dxa" w:w="60"/>
              <w:right w:type="dxa" w:w="100"/>
            </w:tcMar>
          </w:tcPr>
          <w:p>
            <w:r>
              <w:rPr>
                <w:b w:val="false"/>
                <w:bCs w:val="false"/>
                <w:sz w:val="18"/>
                <w:szCs w:val="18"/>
              </w:rPr>
              <w:t xml:space="preserve">Annual statutes front matter</w:t>
            </w:r>
          </w:p>
        </w:tc>
      </w:tr>
      <w:tr>
        <w:trPr>
          <w:tblHeader w:val="false"/>
        </w:trPr>
        <w:tc>
          <w:tcPr>
            <w:tcW w:type="dxa" w:w="3120"/>
            <w:tcMar>
              <w:top w:type="dxa" w:w="60"/>
              <w:left w:type="dxa" w:w="100"/>
              <w:bottom w:type="dxa" w:w="60"/>
              <w:right w:type="dxa" w:w="100"/>
            </w:tcMar>
          </w:tcPr>
          <w:p>
            <w:r>
              <w:rPr>
                <w:b w:val="false"/>
                <w:bCs w:val="false"/>
                <w:sz w:val="18"/>
                <w:szCs w:val="18"/>
              </w:rPr>
              <w:t xml:space="preserve">22 September 2022</w:t>
            </w:r>
          </w:p>
        </w:tc>
        <w:tc>
          <w:tcPr>
            <w:tcW w:type="dxa" w:w="3120"/>
            <w:tcMar>
              <w:top w:type="dxa" w:w="60"/>
              <w:left w:type="dxa" w:w="100"/>
              <w:bottom w:type="dxa" w:w="60"/>
              <w:right w:type="dxa" w:w="100"/>
            </w:tcMar>
          </w:tcPr>
          <w:p>
            <w:r>
              <w:rPr>
                <w:b w:val="false"/>
                <w:bCs w:val="false"/>
                <w:sz w:val="18"/>
                <w:szCs w:val="18"/>
              </w:rPr>
              <w:t xml:space="preserve">Person in charge; incident regime in force</w:t>
            </w:r>
          </w:p>
        </w:tc>
        <w:tc>
          <w:tcPr>
            <w:tcW w:type="dxa" w:w="3120"/>
            <w:tcMar>
              <w:top w:type="dxa" w:w="60"/>
              <w:left w:type="dxa" w:w="100"/>
              <w:bottom w:type="dxa" w:w="60"/>
              <w:right w:type="dxa" w:w="100"/>
            </w:tcMar>
          </w:tcPr>
          <w:p>
            <w:r>
              <w:rPr>
                <w:b w:val="false"/>
                <w:bCs w:val="false"/>
                <w:sz w:val="18"/>
                <w:szCs w:val="18"/>
              </w:rPr>
              <w:t xml:space="preserve">Law 25 s 175(2)</w:t>
            </w:r>
          </w:p>
        </w:tc>
      </w:tr>
      <w:tr>
        <w:trPr>
          <w:tblHeader w:val="false"/>
        </w:trPr>
        <w:tc>
          <w:tcPr>
            <w:tcW w:type="dxa" w:w="3120"/>
            <w:tcMar>
              <w:top w:type="dxa" w:w="60"/>
              <w:left w:type="dxa" w:w="100"/>
              <w:bottom w:type="dxa" w:w="60"/>
              <w:right w:type="dxa" w:w="100"/>
            </w:tcMar>
          </w:tcPr>
          <w:p>
            <w:r>
              <w:rPr>
                <w:b w:val="false"/>
                <w:bCs w:val="false"/>
                <w:sz w:val="18"/>
                <w:szCs w:val="18"/>
              </w:rPr>
              <w:t xml:space="preserve">22 September 2023</w:t>
            </w:r>
          </w:p>
        </w:tc>
        <w:tc>
          <w:tcPr>
            <w:tcW w:type="dxa" w:w="3120"/>
            <w:tcMar>
              <w:top w:type="dxa" w:w="60"/>
              <w:left w:type="dxa" w:w="100"/>
              <w:bottom w:type="dxa" w:w="60"/>
              <w:right w:type="dxa" w:w="100"/>
            </w:tcMar>
          </w:tcPr>
          <w:p>
            <w:r>
              <w:rPr>
                <w:b w:val="false"/>
                <w:bCs w:val="false"/>
                <w:sz w:val="18"/>
                <w:szCs w:val="18"/>
              </w:rPr>
              <w:t xml:space="preserve">Remaining provisions in force, including ss 3.3, 8.1, 12, 12.1, 17, 90.1</w:t>
            </w:r>
          </w:p>
        </w:tc>
        <w:tc>
          <w:tcPr>
            <w:tcW w:type="dxa" w:w="3120"/>
            <w:tcMar>
              <w:top w:type="dxa" w:w="60"/>
              <w:left w:type="dxa" w:w="100"/>
              <w:bottom w:type="dxa" w:w="60"/>
              <w:right w:type="dxa" w:w="100"/>
            </w:tcMar>
          </w:tcPr>
          <w:p>
            <w:r>
              <w:rPr>
                <w:b w:val="false"/>
                <w:bCs w:val="false"/>
                <w:sz w:val="18"/>
                <w:szCs w:val="18"/>
              </w:rPr>
              <w:t xml:space="preserve">Law 25 s 175 (default)</w:t>
            </w:r>
          </w:p>
        </w:tc>
      </w:tr>
      <w:tr>
        <w:trPr>
          <w:tblHeader w:val="false"/>
        </w:trPr>
        <w:tc>
          <w:tcPr>
            <w:tcW w:type="dxa" w:w="3120"/>
            <w:tcMar>
              <w:top w:type="dxa" w:w="60"/>
              <w:left w:type="dxa" w:w="100"/>
              <w:bottom w:type="dxa" w:w="60"/>
              <w:right w:type="dxa" w:w="100"/>
            </w:tcMar>
          </w:tcPr>
          <w:p>
            <w:r>
              <w:rPr>
                <w:b w:val="false"/>
                <w:bCs w:val="false"/>
                <w:sz w:val="18"/>
                <w:szCs w:val="18"/>
              </w:rPr>
              <w:t xml:space="preserve">22 September 2024</w:t>
            </w:r>
          </w:p>
        </w:tc>
        <w:tc>
          <w:tcPr>
            <w:tcW w:type="dxa" w:w="3120"/>
            <w:tcMar>
              <w:top w:type="dxa" w:w="60"/>
              <w:left w:type="dxa" w:w="100"/>
              <w:bottom w:type="dxa" w:w="60"/>
              <w:right w:type="dxa" w:w="100"/>
            </w:tcMar>
          </w:tcPr>
          <w:p>
            <w:r>
              <w:rPr>
                <w:b w:val="false"/>
                <w:bCs w:val="false"/>
                <w:sz w:val="18"/>
                <w:szCs w:val="18"/>
              </w:rPr>
              <w:t xml:space="preserve">Portability (third paragraph of s 27)</w:t>
            </w:r>
          </w:p>
        </w:tc>
        <w:tc>
          <w:tcPr>
            <w:tcW w:type="dxa" w:w="3120"/>
            <w:tcMar>
              <w:top w:type="dxa" w:w="60"/>
              <w:left w:type="dxa" w:w="100"/>
              <w:bottom w:type="dxa" w:w="60"/>
              <w:right w:type="dxa" w:w="100"/>
            </w:tcMar>
          </w:tcPr>
          <w:p>
            <w:r>
              <w:rPr>
                <w:b w:val="false"/>
                <w:bCs w:val="false"/>
                <w:sz w:val="18"/>
                <w:szCs w:val="18"/>
              </w:rPr>
              <w:t xml:space="preserve">Law 25 s 175(3)</w:t>
            </w:r>
          </w:p>
        </w:tc>
      </w:tr>
      <w:tr>
        <w:trPr>
          <w:tblHeader w:val="false"/>
        </w:trPr>
        <w:tc>
          <w:tcPr>
            <w:tcW w:type="dxa" w:w="3120"/>
            <w:tcMar>
              <w:top w:type="dxa" w:w="60"/>
              <w:left w:type="dxa" w:w="100"/>
              <w:bottom w:type="dxa" w:w="60"/>
              <w:right w:type="dxa" w:w="100"/>
            </w:tcMar>
          </w:tcPr>
          <w:p>
            <w:r>
              <w:rPr>
                <w:b w:val="false"/>
                <w:bCs w:val="false"/>
                <w:sz w:val="18"/>
                <w:szCs w:val="18"/>
              </w:rPr>
              <w:t xml:space="preserve">4 March 2025</w:t>
            </w:r>
          </w:p>
        </w:tc>
        <w:tc>
          <w:tcPr>
            <w:tcW w:type="dxa" w:w="3120"/>
            <w:tcMar>
              <w:top w:type="dxa" w:w="60"/>
              <w:left w:type="dxa" w:w="100"/>
              <w:bottom w:type="dxa" w:w="60"/>
              <w:right w:type="dxa" w:w="100"/>
            </w:tcMar>
          </w:tcPr>
          <w:p>
            <w:r>
              <w:rPr>
                <w:b w:val="false"/>
                <w:bCs w:val="false"/>
                <w:sz w:val="18"/>
                <w:szCs w:val="18"/>
              </w:rPr>
              <w:t xml:space="preserve">PIPEDA last amended</w:t>
            </w:r>
          </w:p>
        </w:tc>
        <w:tc>
          <w:tcPr>
            <w:tcW w:type="dxa" w:w="3120"/>
            <w:tcMar>
              <w:top w:type="dxa" w:w="60"/>
              <w:left w:type="dxa" w:w="100"/>
              <w:bottom w:type="dxa" w:w="60"/>
              <w:right w:type="dxa" w:w="100"/>
            </w:tcMar>
          </w:tcPr>
          <w:p>
            <w:r>
              <w:rPr>
                <w:b w:val="false"/>
                <w:bCs w:val="false"/>
                <w:sz w:val="18"/>
                <w:szCs w:val="18"/>
              </w:rPr>
              <w:t xml:space="preserve">Consolidation front matter</w:t>
            </w:r>
          </w:p>
        </w:tc>
      </w:tr>
      <w:tr>
        <w:trPr>
          <w:tblHeader w:val="false"/>
        </w:trPr>
        <w:tc>
          <w:tcPr>
            <w:tcW w:type="dxa" w:w="3120"/>
            <w:tcMar>
              <w:top w:type="dxa" w:w="60"/>
              <w:left w:type="dxa" w:w="100"/>
              <w:bottom w:type="dxa" w:w="60"/>
              <w:right w:type="dxa" w:w="100"/>
            </w:tcMar>
          </w:tcPr>
          <w:p>
            <w:r>
              <w:rPr>
                <w:b w:val="false"/>
                <w:bCs w:val="false"/>
                <w:sz w:val="18"/>
                <w:szCs w:val="18"/>
              </w:rPr>
              <w:t xml:space="preserve">15 June 2026</w:t>
            </w:r>
          </w:p>
        </w:tc>
        <w:tc>
          <w:tcPr>
            <w:tcW w:type="dxa" w:w="3120"/>
            <w:tcMar>
              <w:top w:type="dxa" w:w="60"/>
              <w:left w:type="dxa" w:w="100"/>
              <w:bottom w:type="dxa" w:w="60"/>
              <w:right w:type="dxa" w:w="100"/>
            </w:tcMar>
          </w:tcPr>
          <w:p>
            <w:r>
              <w:rPr>
                <w:b w:val="false"/>
                <w:bCs w:val="false"/>
                <w:sz w:val="18"/>
                <w:szCs w:val="18"/>
              </w:rPr>
              <w:t xml:space="preserve">Bill C-36 first reading</w:t>
            </w:r>
          </w:p>
        </w:tc>
        <w:tc>
          <w:tcPr>
            <w:tcW w:type="dxa" w:w="3120"/>
            <w:tcMar>
              <w:top w:type="dxa" w:w="60"/>
              <w:left w:type="dxa" w:w="100"/>
              <w:bottom w:type="dxa" w:w="60"/>
              <w:right w:type="dxa" w:w="100"/>
            </w:tcMar>
          </w:tcPr>
          <w:p>
            <w:r>
              <w:rPr>
                <w:b w:val="false"/>
                <w:bCs w:val="false"/>
                <w:sz w:val="18"/>
                <w:szCs w:val="18"/>
              </w:rPr>
              <w:t xml:space="preserve">Bill front matter</w:t>
            </w:r>
          </w:p>
        </w:tc>
      </w:tr>
      <w:tr>
        <w:trPr>
          <w:tblHeader w:val="false"/>
        </w:trPr>
        <w:tc>
          <w:tcPr>
            <w:tcW w:type="dxa" w:w="3120"/>
            <w:tcMar>
              <w:top w:type="dxa" w:w="60"/>
              <w:left w:type="dxa" w:w="100"/>
              <w:bottom w:type="dxa" w:w="60"/>
              <w:right w:type="dxa" w:w="100"/>
            </w:tcMar>
          </w:tcPr>
          <w:p>
            <w:r>
              <w:rPr>
                <w:b w:val="false"/>
                <w:bCs w:val="false"/>
                <w:sz w:val="18"/>
                <w:szCs w:val="18"/>
              </w:rPr>
              <w:t xml:space="preserve">21 June 2026</w:t>
            </w:r>
          </w:p>
        </w:tc>
        <w:tc>
          <w:tcPr>
            <w:tcW w:type="dxa" w:w="3120"/>
            <w:tcMar>
              <w:top w:type="dxa" w:w="60"/>
              <w:left w:type="dxa" w:w="100"/>
              <w:bottom w:type="dxa" w:w="60"/>
              <w:right w:type="dxa" w:w="100"/>
            </w:tcMar>
          </w:tcPr>
          <w:p>
            <w:r>
              <w:rPr>
                <w:b w:val="false"/>
                <w:bCs w:val="false"/>
                <w:sz w:val="18"/>
                <w:szCs w:val="18"/>
              </w:rPr>
              <w:t xml:space="preserve">PIPEDA consolidation current-to date</w:t>
            </w:r>
          </w:p>
        </w:tc>
        <w:tc>
          <w:tcPr>
            <w:tcW w:type="dxa" w:w="3120"/>
            <w:tcMar>
              <w:top w:type="dxa" w:w="60"/>
              <w:left w:type="dxa" w:w="100"/>
              <w:bottom w:type="dxa" w:w="60"/>
              <w:right w:type="dxa" w:w="100"/>
            </w:tcMar>
          </w:tcPr>
          <w:p>
            <w:r>
              <w:rPr>
                <w:b w:val="false"/>
                <w:bCs w:val="false"/>
                <w:sz w:val="18"/>
                <w:szCs w:val="18"/>
              </w:rPr>
              <w:t xml:space="preserve">Consolidation front matter</w:t>
            </w:r>
          </w:p>
        </w:tc>
      </w:tr>
    </w:tbl>
    <w:p>
      <w:pPr>
        <w:spacing w:after="120"/>
      </w:pPr>
    </w:p>
    <w:p>
      <w:pPr>
        <w:pStyle w:val="Heading1"/>
        <w:spacing w:after="120" w:before="280"/>
      </w:pPr>
      <w:r>
        <w:rPr>
          <w:color w:val="2E74B5"/>
        </w:rPr>
        <w:t xml:space="preserve">6. Points at which the set stops</w:t>
      </w:r>
    </w:p>
    <w:p>
      <w:pPr>
        <w:pStyle w:val="ListParagraph"/>
        <w:numPr>
          <w:ilvl w:val="0"/>
          <w:numId w:val="2"/>
        </w:numPr>
        <w:spacing w:after="80"/>
      </w:pPr>
      <w:r>
        <w:t xml:space="preserve">The regulations under both Acts (breach records, incident notice content, publicly</w:t>
      </w:r>
    </w:p>
    <w:p>
      <w:pPr>
        <w:spacing w:after="80"/>
        <w:ind w:left="720"/>
      </w:pPr>
      <w:r>
        <w:t xml:space="preserve">available information) are not held; the set says a regulation governs and does not</w:t>
      </w:r>
    </w:p>
    <w:p>
      <w:pPr>
        <w:spacing w:after="80"/>
        <w:ind w:left="720"/>
      </w:pPr>
      <w:r>
        <w:t xml:space="preserve">say what it contains.</w:t>
      </w:r>
    </w:p>
    <w:p>
      <w:pPr>
        <w:pStyle w:val="ListParagraph"/>
        <w:numPr>
          <w:ilvl w:val="0"/>
          <w:numId w:val="2"/>
        </w:numPr>
        <w:spacing w:after="80"/>
      </w:pPr>
      <w:r>
        <w:t xml:space="preserve">The consolidated Quebec Act is not held; provisions are stated as enacted by Law 25.</w:t>
      </w:r>
    </w:p>
    <w:p>
      <w:pPr>
        <w:spacing w:after="80"/>
        <w:ind w:left="720"/>
      </w:pPr>
      <w:r>
        <w:t xml:space="preserve">Any amendment since 2021 to the provisions relied on would not be reflected.</w:t>
      </w:r>
    </w:p>
    <w:p>
      <w:pPr>
        <w:pStyle w:val="ListParagraph"/>
        <w:numPr>
          <w:ilvl w:val="0"/>
          <w:numId w:val="2"/>
        </w:numPr>
        <w:spacing w:after="80"/>
      </w:pPr>
      <w:r>
        <w:t xml:space="preserve">Alberta's and British Columbia's Acts are named as substantially similar provincial</w:t>
      </w:r>
    </w:p>
    <w:p>
      <w:pPr>
        <w:spacing w:after="80"/>
        <w:ind w:left="720"/>
      </w:pPr>
      <w:r>
        <w:t xml:space="preserve">legislation under PIPEDA s 26(2)(b) and not stated.</w:t>
      </w:r>
    </w:p>
    <w:p>
      <w:pPr>
        <w:pStyle w:val="ListParagraph"/>
        <w:numPr>
          <w:ilvl w:val="0"/>
          <w:numId w:val="2"/>
        </w:numPr>
        <w:spacing w:after="80"/>
      </w:pPr>
      <w:r>
        <w:t xml:space="preserve">No Quebec access-request timing is stated, because the relevant section was not</w:t>
      </w:r>
    </w:p>
    <w:p>
      <w:pPr>
        <w:spacing w:after="80"/>
        <w:ind w:left="720"/>
      </w:pPr>
      <w:r>
        <w:t xml:space="preserve">amended by Law 25 and so is not in the held text.</w:t>
      </w:r>
    </w:p>
    <w:p>
      <w:pPr>
        <w:pStyle w:val="ListParagraph"/>
        <w:numPr>
          <w:ilvl w:val="0"/>
          <w:numId w:val="2"/>
        </w:numPr>
        <w:spacing w:after="80"/>
      </w:pPr>
      <w:r>
        <w:t xml:space="preserve">Bill C-36 is described as introduced; nothing in it is stated as a duty.</w:t>
      </w:r>
    </w:p>
    <w:p>
      <w:pPr>
        <w:spacing w:after="120"/>
      </w:pPr>
      <w:r>
        <w:rPr>
          <w:i/>
          <w:iCs/>
          <w:color w:val="666666"/>
        </w:rPr>
        <w:t xml:space="preserve">Educational, not legal advice. No provision has been reviewed by qualified counsel.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Research note - Canada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b/>
      <w:bCs/>
      <w:color w:val="1F4D78"/>
      <w:sz w:val="40"/>
      <w:szCs w:val="4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2026-09-03T18:24:35.626Z</dcterms:created>
  <dcterms:modified xsi:type="dcterms:W3CDTF">2026-09-03T18:24:35.627Z</dcterms:modified>
</cp:coreProperties>
</file>

<file path=docProps/custom.xml><?xml version="1.0" encoding="utf-8"?>
<Properties xmlns="http://schemas.openxmlformats.org/officeDocument/2006/custom-properties" xmlns:vt="http://schemas.openxmlformats.org/officeDocument/2006/docPropsVTypes"/>
</file>