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5AAC" w:sz="12" w:space="6"/>
        </w:pBdr>
        <w:spacing w:after="60"/>
      </w:pPr>
      <w:r>
        <w:rPr>
          <w:rFonts w:ascii="Calibri" w:cs="Calibri" w:eastAsia="Calibri" w:hAnsi="Calibri"/>
          <w:b/>
          <w:bCs/>
          <w:color w:val="1F3864"/>
          <w:sz w:val="42"/>
          <w:szCs w:val="42"/>
        </w:rPr>
        <w:t xml:space="preserve">Artificial Intelligence Acceptable Use Policy - United Arab Emirates</w:t>
      </w:r>
    </w:p>
    <w:p>
      <w:pPr>
        <w:keepNext/>
        <w:spacing w:after="80" w:before="200"/>
      </w:pPr>
      <w:r>
        <w:rPr>
          <w:rFonts w:ascii="Calibri" w:cs="Calibri" w:eastAsia="Calibri" w:hAnsi="Calibri"/>
          <w:b/>
          <w:bCs/>
          <w:color w:val="1F3864"/>
          <w:sz w:val="22"/>
          <w:szCs w:val="22"/>
        </w:rPr>
        <w:t xml:space="preserve">DIFC-registered entities, with routing for ADGM and the federal regime</w:t>
      </w:r>
    </w:p>
    <w:p>
      <w:pPr>
        <w:spacing w:after="110"/>
      </w:pPr>
      <w:r>
        <w:rPr>
          <w:rFonts w:ascii="Calibri" w:cs="Calibri" w:eastAsia="Calibri" w:hAnsi="Calibri"/>
          <w:b/>
          <w:bCs/>
          <w:color w:val="333A45"/>
          <w:sz w:val="21"/>
          <w:szCs w:val="21"/>
        </w:rPr>
        <w:t xml:space="preserve">Organisation:</w:t>
      </w:r>
      <w:r>
        <w:rPr>
          <w:rFonts w:ascii="Calibri" w:cs="Calibri" w:eastAsia="Calibri" w:hAnsi="Calibri"/>
          <w:color w:val="333A45"/>
          <w:sz w:val="21"/>
          <w:szCs w:val="21"/>
        </w:rPr>
        <w:t xml:space="preserve"> [ORGANISATION] </w:t>
      </w:r>
      <w:r>
        <w:rPr>
          <w:rFonts w:ascii="Calibri" w:cs="Calibri" w:eastAsia="Calibri" w:hAnsi="Calibri"/>
          <w:b/>
          <w:bCs/>
          <w:color w:val="333A45"/>
          <w:sz w:val="21"/>
          <w:szCs w:val="21"/>
        </w:rPr>
        <w:t xml:space="preserve">Effective date:</w:t>
      </w:r>
      <w:r>
        <w:rPr>
          <w:rFonts w:ascii="Calibri" w:cs="Calibri" w:eastAsia="Calibri" w:hAnsi="Calibri"/>
          <w:color w:val="333A45"/>
          <w:sz w:val="21"/>
          <w:szCs w:val="21"/>
        </w:rPr>
        <w:t xml:space="preserve"> [DATE]  </w:t>
      </w:r>
      <w:r>
        <w:rPr>
          <w:rFonts w:ascii="Calibri" w:cs="Calibri" w:eastAsia="Calibri" w:hAnsi="Calibri"/>
          <w:b/>
          <w:bCs/>
          <w:color w:val="333A45"/>
          <w:sz w:val="21"/>
          <w:szCs w:val="21"/>
        </w:rPr>
        <w:t xml:space="preserve">Version:</w:t>
      </w:r>
      <w:r>
        <w:rPr>
          <w:rFonts w:ascii="Calibri" w:cs="Calibri" w:eastAsia="Calibri" w:hAnsi="Calibri"/>
          <w:color w:val="333A45"/>
          <w:sz w:val="21"/>
          <w:szCs w:val="21"/>
        </w:rPr>
        <w:t xml:space="preserve"> 1.0 </w:t>
      </w:r>
      <w:r>
        <w:rPr>
          <w:rFonts w:ascii="Calibri" w:cs="Calibri" w:eastAsia="Calibri" w:hAnsi="Calibri"/>
          <w:b/>
          <w:bCs/>
          <w:color w:val="333A45"/>
          <w:sz w:val="21"/>
          <w:szCs w:val="21"/>
        </w:rPr>
        <w:t xml:space="preserve">Policy owner:</w:t>
      </w:r>
      <w:r>
        <w:rPr>
          <w:rFonts w:ascii="Calibri" w:cs="Calibri" w:eastAsia="Calibri" w:hAnsi="Calibri"/>
          <w:color w:val="333A45"/>
          <w:sz w:val="21"/>
          <w:szCs w:val="21"/>
        </w:rPr>
        <w:t xml:space="preserve"> [CISO]  </w:t>
      </w:r>
      <w:r>
        <w:rPr>
          <w:rFonts w:ascii="Calibri" w:cs="Calibri" w:eastAsia="Calibri" w:hAnsi="Calibri"/>
          <w:b/>
          <w:bCs/>
          <w:color w:val="333A45"/>
          <w:sz w:val="21"/>
          <w:szCs w:val="21"/>
        </w:rPr>
        <w:t xml:space="preserve">Data protection lead:</w:t>
      </w:r>
      <w:r>
        <w:rPr>
          <w:rFonts w:ascii="Calibri" w:cs="Calibri" w:eastAsia="Calibri" w:hAnsi="Calibri"/>
          <w:color w:val="333A45"/>
          <w:sz w:val="21"/>
          <w:szCs w:val="21"/>
        </w:rPr>
        <w:t xml:space="preserve"> [Data Protection Officer] </w:t>
      </w:r>
      <w:r>
        <w:rPr>
          <w:rFonts w:ascii="Calibri" w:cs="Calibri" w:eastAsia="Calibri" w:hAnsi="Calibri"/>
          <w:b/>
          <w:bCs/>
          <w:color w:val="333A45"/>
          <w:sz w:val="21"/>
          <w:szCs w:val="21"/>
        </w:rPr>
        <w:t xml:space="preserve">Automated Systems Officer:</w:t>
      </w:r>
      <w:r>
        <w:rPr>
          <w:rFonts w:ascii="Calibri" w:cs="Calibri" w:eastAsia="Calibri" w:hAnsi="Calibri"/>
          <w:color w:val="333A45"/>
          <w:sz w:val="21"/>
          <w:szCs w:val="21"/>
        </w:rPr>
        <w:t xml:space="preserve"> [ASO - see Section 12] </w:t>
      </w:r>
      <w:r>
        <w:rPr>
          <w:rFonts w:ascii="Calibri" w:cs="Calibri" w:eastAsia="Calibri" w:hAnsi="Calibri"/>
          <w:b/>
          <w:bCs/>
          <w:color w:val="333A45"/>
          <w:sz w:val="21"/>
          <w:szCs w:val="21"/>
        </w:rPr>
        <w:t xml:space="preserve">Classification:</w:t>
      </w:r>
      <w:r>
        <w:rPr>
          <w:rFonts w:ascii="Calibri" w:cs="Calibri" w:eastAsia="Calibri" w:hAnsi="Calibri"/>
          <w:color w:val="333A45"/>
          <w:sz w:val="21"/>
          <w:szCs w:val="21"/>
        </w:rPr>
        <w:t xml:space="preserve"> Internal </w:t>
      </w:r>
      <w:r>
        <w:rPr>
          <w:rFonts w:ascii="Calibri" w:cs="Calibri" w:eastAsia="Calibri" w:hAnsi="Calibri"/>
          <w:b/>
          <w:bCs/>
          <w:color w:val="333A45"/>
          <w:sz w:val="21"/>
          <w:szCs w:val="21"/>
        </w:rPr>
        <w:t xml:space="preserve">Review:</w:t>
      </w:r>
      <w:r>
        <w:rPr>
          <w:rFonts w:ascii="Calibri" w:cs="Calibri" w:eastAsia="Calibri" w:hAnsi="Calibri"/>
          <w:color w:val="333A45"/>
          <w:sz w:val="21"/>
          <w:szCs w:val="21"/>
        </w:rPr>
        <w:t xml:space="preserve"> at least every six months, and on material change in tools or regulation</w:t>
      </w:r>
    </w:p>
    <w:p>
      <w:pPr>
        <w:keepNext/>
        <w:pBdr>
          <w:bottom w:val="single" w:color="9DB9E8" w:sz="4" w:space="3"/>
        </w:pBdr>
        <w:spacing w:after="100" w:before="260"/>
      </w:pPr>
      <w:r>
        <w:rPr>
          <w:rFonts w:ascii="Calibri" w:cs="Calibri" w:eastAsia="Calibri" w:hAnsi="Calibri"/>
          <w:b/>
          <w:bCs/>
          <w:color w:val="2E5AAC"/>
          <w:sz w:val="26"/>
          <w:szCs w:val="26"/>
        </w:rPr>
        <w:t xml:space="preserve">1. Purpose</w:t>
      </w:r>
    </w:p>
    <w:p>
      <w:pPr>
        <w:spacing w:after="110"/>
      </w:pPr>
      <w:r>
        <w:rPr>
          <w:rFonts w:ascii="Calibri" w:cs="Calibri" w:eastAsia="Calibri" w:hAnsi="Calibri"/>
          <w:color w:val="333A45"/>
          <w:sz w:val="21"/>
          <w:szCs w:val="21"/>
        </w:rPr>
        <w:t xml:space="preserve">[ORGANISATION] permits the use of artificial intelligence (AI) tools to improve productivity, provided that use protects the organisation's data, its customers and staff, its intellectual property, and its data protection obligations. This policy sets the requirements for all such use.</w:t>
      </w:r>
    </w:p>
    <w:p>
      <w:pPr>
        <w:spacing w:after="110"/>
      </w:pPr>
      <w:r>
        <w:rPr>
          <w:rFonts w:ascii="Calibri" w:cs="Calibri" w:eastAsia="Calibri" w:hAnsi="Calibri"/>
          <w:b/>
          <w:bCs/>
          <w:color w:val="333A45"/>
          <w:sz w:val="21"/>
          <w:szCs w:val="21"/>
        </w:rPr>
        <w:t xml:space="preserve">Four features shape this document, and the first is the one most often got wrong.</w:t>
      </w:r>
    </w:p>
    <w:p>
      <w:pPr>
        <w:keepNext/>
        <w:spacing w:after="80" w:before="200"/>
      </w:pPr>
      <w:r>
        <w:rPr>
          <w:rFonts w:ascii="Calibri" w:cs="Calibri" w:eastAsia="Calibri" w:hAnsi="Calibri"/>
          <w:b/>
          <w:bCs/>
          <w:color w:val="1F3864"/>
          <w:sz w:val="22"/>
          <w:szCs w:val="22"/>
        </w:rPr>
        <w:t xml:space="preserve">1.1 The UAE is not one data protection jurisdiction</w:t>
      </w:r>
    </w:p>
    <w:p>
      <w:pPr>
        <w:spacing w:after="110"/>
      </w:pPr>
      <w:r>
        <w:rPr>
          <w:rFonts w:ascii="Calibri" w:cs="Calibri" w:eastAsia="Calibri" w:hAnsi="Calibri"/>
          <w:color w:val="333A45"/>
          <w:sz w:val="21"/>
          <w:szCs w:val="21"/>
        </w:rPr>
        <w:t xml:space="preserve">Three separate regimes operate, with different regulators, different obligations and different breach clocks. </w:t>
      </w:r>
      <w:r>
        <w:rPr>
          <w:rFonts w:ascii="Calibri" w:cs="Calibri" w:eastAsia="Calibri" w:hAnsi="Calibri"/>
          <w:b/>
          <w:bCs/>
          <w:color w:val="333A45"/>
          <w:sz w:val="21"/>
          <w:szCs w:val="21"/>
        </w:rPr>
        <w:t xml:space="preserve">They do not share rules, and the free zones are not a variation on the federal law - they are an exclusion from it.</w:t>
      </w:r>
      <w:r>
        <w:rPr>
          <w:rFonts w:ascii="Calibri" w:cs="Calibri" w:eastAsia="Calibri" w:hAnsi="Calibri"/>
          <w:color w:val="333A45"/>
          <w:sz w:val="21"/>
          <w:szCs w:val="21"/>
        </w:rPr>
        <w:t xml:space="preserve"> The federal law's own scope provision excludes free-zone companies that have their own data protection law.</w:t>
      </w:r>
    </w:p>
    <w:p>
      <w:pPr>
        <w:spacing w:after="110"/>
      </w:pPr>
      <w:r>
        <w:rPr>
          <w:rFonts w:ascii="Calibri" w:cs="Calibri" w:eastAsia="Calibri" w:hAnsi="Calibri"/>
          <w:color w:val="333A45"/>
          <w:sz w:val="21"/>
          <w:szCs w:val="21"/>
        </w:rPr>
        <w:t xml:space="preserve">Section 3 routes each entity to its regime. </w:t>
      </w:r>
      <w:r>
        <w:rPr>
          <w:rFonts w:ascii="Calibri" w:cs="Calibri" w:eastAsia="Calibri" w:hAnsi="Calibri"/>
          <w:b/>
          <w:bCs/>
          <w:color w:val="333A45"/>
          <w:sz w:val="21"/>
          <w:szCs w:val="21"/>
        </w:rPr>
        <w:t xml:space="preserve">An organisation applying the wrong one is not partly compliant; it is complying with a law that does not govern it.</w:t>
      </w:r>
    </w:p>
    <w:p>
      <w:pPr>
        <w:spacing w:after="110"/>
      </w:pPr>
      <w:r>
        <w:rPr>
          <w:rFonts w:ascii="Calibri" w:cs="Calibri" w:eastAsia="Calibri" w:hAnsi="Calibri"/>
          <w:color w:val="333A45"/>
          <w:sz w:val="21"/>
          <w:szCs w:val="21"/>
        </w:rPr>
        <w:t xml:space="preserve">This policy is written for a </w:t>
      </w:r>
      <w:r>
        <w:rPr>
          <w:rFonts w:ascii="Calibri" w:cs="Calibri" w:eastAsia="Calibri" w:hAnsi="Calibri"/>
          <w:b/>
          <w:bCs/>
          <w:color w:val="333A45"/>
          <w:sz w:val="21"/>
          <w:szCs w:val="21"/>
        </w:rPr>
        <w:t xml:space="preserve">DIFC-registered</w:t>
      </w:r>
      <w:r>
        <w:rPr>
          <w:rFonts w:ascii="Calibri" w:cs="Calibri" w:eastAsia="Calibri" w:hAnsi="Calibri"/>
          <w:color w:val="333A45"/>
          <w:sz w:val="21"/>
          <w:szCs w:val="21"/>
        </w:rPr>
        <w:t xml:space="preserve"> entity. Section 3 states what changes for ADGM and for federal-regime entities, and Section 22 states the limits of what this set can say about either.</w:t>
      </w:r>
    </w:p>
    <w:p>
      <w:pPr>
        <w:keepNext/>
        <w:spacing w:after="80" w:before="200"/>
      </w:pPr>
      <w:r>
        <w:rPr>
          <w:rFonts w:ascii="Calibri" w:cs="Calibri" w:eastAsia="Calibri" w:hAnsi="Calibri"/>
          <w:b/>
          <w:bCs/>
          <w:color w:val="1F3864"/>
          <w:sz w:val="22"/>
          <w:szCs w:val="22"/>
        </w:rPr>
        <w:t xml:space="preserve">1.2 The DIFC has a genuine AI-specific regime, and it is a certification regime</w:t>
      </w:r>
    </w:p>
    <w:p>
      <w:pPr>
        <w:spacing w:after="110"/>
      </w:pPr>
      <w:r>
        <w:rPr>
          <w:rFonts w:ascii="Calibri" w:cs="Calibri" w:eastAsia="Calibri" w:hAnsi="Calibri"/>
          <w:color w:val="333A45"/>
          <w:sz w:val="21"/>
          <w:szCs w:val="21"/>
        </w:rPr>
        <w:t xml:space="preserve">Unlike a general data protection law applied to AI by analogy, the DIFC has a dedicated instrument for </w:t>
      </w:r>
      <w:r>
        <w:rPr>
          <w:rFonts w:ascii="Calibri" w:cs="Calibri" w:eastAsia="Calibri" w:hAnsi="Calibri"/>
          <w:b/>
          <w:bCs/>
          <w:color w:val="333A45"/>
          <w:sz w:val="21"/>
          <w:szCs w:val="21"/>
        </w:rPr>
        <w:t xml:space="preserve">autonomous and semi-autonomous systems that process personal data</w:t>
      </w:r>
      <w:r>
        <w:rPr>
          <w:rFonts w:ascii="Calibri" w:cs="Calibri" w:eastAsia="Calibri" w:hAnsi="Calibri"/>
          <w:color w:val="333A45"/>
          <w:sz w:val="21"/>
          <w:szCs w:val="21"/>
        </w:rPr>
        <w:t xml:space="preserve">. Its core rule is a prohibition with a condition attached: </w:t>
      </w:r>
      <w:r>
        <w:rPr>
          <w:rFonts w:ascii="Calibri" w:cs="Calibri" w:eastAsia="Calibri" w:hAnsi="Calibri"/>
          <w:b/>
          <w:bCs/>
          <w:color w:val="333A45"/>
          <w:sz w:val="21"/>
          <w:szCs w:val="21"/>
        </w:rPr>
        <w:t xml:space="preserve">no person may use, operate, provide, offer or otherwise make available for commercial use such a system to engage in High Risk Processing Activities unless all audit and certification requirements established by the Commissioner are satisfied.</w:t>
      </w:r>
    </w:p>
    <w:p>
      <w:pPr>
        <w:spacing w:after="110"/>
      </w:pPr>
      <w:r>
        <w:rPr>
          <w:rFonts w:ascii="Calibri" w:cs="Calibri" w:eastAsia="Calibri" w:hAnsi="Calibri"/>
          <w:color w:val="333A45"/>
          <w:sz w:val="21"/>
          <w:szCs w:val="21"/>
        </w:rPr>
        <w:t xml:space="preserve">That is a licence-style gate, not a documentation duty. Sections 5 to 13 set out what it requires.</w:t>
      </w:r>
    </w:p>
    <w:p>
      <w:pPr>
        <w:keepNext/>
        <w:spacing w:after="80" w:before="200"/>
      </w:pPr>
      <w:r>
        <w:rPr>
          <w:rFonts w:ascii="Calibri" w:cs="Calibri" w:eastAsia="Calibri" w:hAnsi="Calibri"/>
          <w:b/>
          <w:bCs/>
          <w:color w:val="1F3864"/>
          <w:sz w:val="22"/>
          <w:szCs w:val="22"/>
        </w:rPr>
        <w:t xml:space="preserve">1.3 The regime turns on autonomy, and deliberately excludes deterministic software</w:t>
      </w:r>
    </w:p>
    <w:p>
      <w:pPr>
        <w:spacing w:after="110"/>
      </w:pPr>
      <w:r>
        <w:rPr>
          <w:rFonts w:ascii="Calibri" w:cs="Calibri" w:eastAsia="Calibri" w:hAnsi="Calibri"/>
          <w:color w:val="333A45"/>
          <w:sz w:val="21"/>
          <w:szCs w:val="21"/>
        </w:rPr>
        <w:t xml:space="preserve">The instrument defines a </w:t>
      </w:r>
      <w:r>
        <w:rPr>
          <w:rFonts w:ascii="Calibri" w:cs="Calibri" w:eastAsia="Calibri" w:hAnsi="Calibri"/>
          <w:b/>
          <w:bCs/>
          <w:color w:val="333A45"/>
          <w:sz w:val="21"/>
          <w:szCs w:val="21"/>
        </w:rPr>
        <w:t xml:space="preserve">System</w:t>
      </w:r>
      <w:r>
        <w:rPr>
          <w:rFonts w:ascii="Calibri" w:cs="Calibri" w:eastAsia="Calibri" w:hAnsi="Calibri"/>
          <w:color w:val="333A45"/>
          <w:sz w:val="21"/>
          <w:szCs w:val="21"/>
        </w:rPr>
        <w:t xml:space="preserve"> as any machine-based system operating in an autonomous or semi-autonomous manner that can process personal data for human-defined purposes, or purposes the system itself defines, or both, and generate output on the basis of that processing.</w:t>
      </w:r>
    </w:p>
    <w:p>
      <w:pPr>
        <w:spacing w:after="110"/>
      </w:pPr>
      <w:r>
        <w:rPr>
          <w:rFonts w:ascii="Calibri" w:cs="Calibri" w:eastAsia="Calibri" w:hAnsi="Calibri"/>
          <w:b/>
          <w:bCs/>
          <w:color w:val="333A45"/>
          <w:sz w:val="21"/>
          <w:szCs w:val="21"/>
        </w:rPr>
        <w:t xml:space="preserve">It expressly does not capture purely automated systems</w:t>
      </w:r>
      <w:r>
        <w:rPr>
          <w:rFonts w:ascii="Calibri" w:cs="Calibri" w:eastAsia="Calibri" w:hAnsi="Calibri"/>
          <w:color w:val="333A45"/>
          <w:sz w:val="21"/>
          <w:szCs w:val="21"/>
        </w:rPr>
        <w:t xml:space="preserve"> - systems with no degree of autonomy, whose operation is deterministically controlled by humans - because the underlying law already governs automated processing.</w:t>
      </w:r>
    </w:p>
    <w:p>
      <w:pPr>
        <w:spacing w:after="110"/>
      </w:pPr>
      <w:r>
        <w:rPr>
          <w:rFonts w:ascii="Calibri" w:cs="Calibri" w:eastAsia="Calibri" w:hAnsi="Calibri"/>
          <w:color w:val="333A45"/>
          <w:sz w:val="21"/>
          <w:szCs w:val="21"/>
        </w:rPr>
        <w:t xml:space="preserve">Section 4 explains why that boundary decides which of your tools are in scope, and why it is not the same boundary other frameworks draw.</w:t>
      </w:r>
    </w:p>
    <w:p>
      <w:pPr>
        <w:keepNext/>
        <w:spacing w:after="80" w:before="200"/>
      </w:pPr>
      <w:r>
        <w:rPr>
          <w:rFonts w:ascii="Calibri" w:cs="Calibri" w:eastAsia="Calibri" w:hAnsi="Calibri"/>
          <w:b/>
          <w:bCs/>
          <w:color w:val="1F3864"/>
          <w:sz w:val="22"/>
          <w:szCs w:val="22"/>
        </w:rPr>
        <w:t xml:space="preserve">1.4 A system that can define its own purposes is contemplated, and constrained</w:t>
      </w:r>
    </w:p>
    <w:p>
      <w:pPr>
        <w:spacing w:after="110"/>
      </w:pPr>
      <w:r>
        <w:rPr>
          <w:rFonts w:ascii="Calibri" w:cs="Calibri" w:eastAsia="Calibri" w:hAnsi="Calibri"/>
          <w:color w:val="333A45"/>
          <w:sz w:val="21"/>
          <w:szCs w:val="21"/>
        </w:rPr>
        <w:t xml:space="preserve">The regime does not assume a system's processing purposes are fixed by its designers. It contemplates a system </w:t>
      </w:r>
      <w:r>
        <w:rPr>
          <w:rFonts w:ascii="Calibri" w:cs="Calibri" w:eastAsia="Calibri" w:hAnsi="Calibri"/>
          <w:b/>
          <w:bCs/>
          <w:color w:val="333A45"/>
          <w:sz w:val="21"/>
          <w:szCs w:val="21"/>
        </w:rPr>
        <w:t xml:space="preserve">defining further purposes for itself</w:t>
      </w:r>
      <w:r>
        <w:rPr>
          <w:rFonts w:ascii="Calibri" w:cs="Calibri" w:eastAsia="Calibri" w:hAnsi="Calibri"/>
          <w:color w:val="333A45"/>
          <w:sz w:val="21"/>
          <w:szCs w:val="21"/>
        </w:rPr>
        <w:t xml:space="preserve">, requires the human-defined limits within which it may do so to be stated, and requires that </w:t>
      </w:r>
      <w:r>
        <w:rPr>
          <w:rFonts w:ascii="Calibri" w:cs="Calibri" w:eastAsia="Calibri" w:hAnsi="Calibri"/>
          <w:b/>
          <w:bCs/>
          <w:color w:val="333A45"/>
          <w:sz w:val="21"/>
          <w:szCs w:val="21"/>
        </w:rPr>
        <w:t xml:space="preserve">any self-defined purpose conform to a predefined set of human-approved principles</w:t>
      </w:r>
      <w:r>
        <w:rPr>
          <w:rFonts w:ascii="Calibri" w:cs="Calibri" w:eastAsia="Calibri" w:hAnsi="Calibri"/>
          <w:color w:val="333A45"/>
          <w:sz w:val="21"/>
          <w:szCs w:val="21"/>
        </w:rPr>
        <w:t xml:space="preserve">.</w:t>
      </w:r>
    </w:p>
    <w:p>
      <w:pPr>
        <w:spacing w:after="110"/>
      </w:pPr>
      <w:r>
        <w:rPr>
          <w:rFonts w:ascii="Calibri" w:cs="Calibri" w:eastAsia="Calibri" w:hAnsi="Calibri"/>
          <w:color w:val="333A45"/>
          <w:sz w:val="21"/>
          <w:szCs w:val="21"/>
        </w:rPr>
        <w:t xml:space="preserve">Section 11 sets this out. It is the most forward-looking requirement in the instrument and the one most likely to bite on agentic deployments.</w:t>
      </w:r>
    </w:p>
    <w:p>
      <w:pPr>
        <w:keepNext/>
        <w:pBdr>
          <w:bottom w:val="single" w:color="9DB9E8" w:sz="4" w:space="3"/>
        </w:pBdr>
        <w:spacing w:after="100" w:before="260"/>
      </w:pPr>
      <w:r>
        <w:rPr>
          <w:rFonts w:ascii="Calibri" w:cs="Calibri" w:eastAsia="Calibri" w:hAnsi="Calibri"/>
          <w:b/>
          <w:bCs/>
          <w:color w:val="2E5AAC"/>
          <w:sz w:val="26"/>
          <w:szCs w:val="26"/>
        </w:rPr>
        <w:t xml:space="preserve">2. Scope</w:t>
      </w:r>
    </w:p>
    <w:p>
      <w:pPr>
        <w:spacing w:after="110"/>
      </w:pPr>
      <w:r>
        <w:rPr>
          <w:rFonts w:ascii="Calibri" w:cs="Calibri" w:eastAsia="Calibri" w:hAnsi="Calibri"/>
          <w:color w:val="333A45"/>
          <w:sz w:val="21"/>
          <w:szCs w:val="21"/>
        </w:rPr>
        <w:t xml:space="preserve">This policy applies to all employees, contractors, secondees, temporary staff and third parties who use [ORGANISATION] systems, data or accounts. It covers all AI tools, including public and generative AI services, AI features embedded in other software, coding assistants, meeting and note-taking assistants, media generators, AI agents, and internal AI systems.</w:t>
      </w:r>
    </w:p>
    <w:p>
      <w:pPr>
        <w:spacing w:after="110"/>
      </w:pPr>
      <w:r>
        <w:rPr>
          <w:rFonts w:ascii="Calibri" w:cs="Calibri" w:eastAsia="Calibri" w:hAnsi="Calibri"/>
          <w:color w:val="333A45"/>
          <w:sz w:val="21"/>
          <w:szCs w:val="21"/>
        </w:rPr>
        <w:t xml:space="preserve">It applies on company devices and accounts, and on personal devices or accounts whenever used for [ORGANISATION] work or data.</w:t>
      </w:r>
    </w:p>
    <w:p>
      <w:pPr>
        <w:spacing w:after="110"/>
      </w:pPr>
      <w:r>
        <w:rPr>
          <w:rFonts w:ascii="Calibri" w:cs="Calibri" w:eastAsia="Calibri" w:hAnsi="Calibri"/>
          <w:color w:val="333A45"/>
          <w:sz w:val="21"/>
          <w:szCs w:val="21"/>
        </w:rPr>
        <w:t xml:space="preserve">Compliance is mandatory. Breaches may result in disciplinary action up to and including termination.</w:t>
      </w:r>
    </w:p>
    <w:p>
      <w:pPr>
        <w:keepNext/>
        <w:pBdr>
          <w:bottom w:val="single" w:color="9DB9E8" w:sz="4" w:space="3"/>
        </w:pBdr>
        <w:spacing w:after="100" w:before="260"/>
      </w:pPr>
      <w:r>
        <w:rPr>
          <w:rFonts w:ascii="Calibri" w:cs="Calibri" w:eastAsia="Calibri" w:hAnsi="Calibri"/>
          <w:b/>
          <w:bCs/>
          <w:color w:val="2E5AAC"/>
          <w:sz w:val="26"/>
          <w:szCs w:val="26"/>
        </w:rPr>
        <w:t xml:space="preserve">3. Which regime applies</w:t>
      </w:r>
    </w:p>
    <w:p>
      <w:pPr>
        <w:spacing w:after="110"/>
      </w:pPr>
      <w:r>
        <w:rPr>
          <w:rFonts w:ascii="Calibri" w:cs="Calibri" w:eastAsia="Calibri" w:hAnsi="Calibri"/>
          <w:color w:val="333A45"/>
          <w:sz w:val="21"/>
          <w:szCs w:val="21"/>
        </w:rPr>
        <w:t xml:space="preserve">3.1 </w:t>
      </w:r>
      <w:r>
        <w:rPr>
          <w:rFonts w:ascii="Calibri" w:cs="Calibri" w:eastAsia="Calibri" w:hAnsi="Calibri"/>
          <w:b/>
          <w:bCs/>
          <w:color w:val="333A45"/>
          <w:sz w:val="21"/>
          <w:szCs w:val="21"/>
        </w:rPr>
        <w:t xml:space="preserve">DIFC-registered entities</w:t>
      </w:r>
      <w:r>
        <w:rPr>
          <w:rFonts w:ascii="Calibri" w:cs="Calibri" w:eastAsia="Calibri" w:hAnsi="Calibri"/>
          <w:color w:val="333A45"/>
          <w:sz w:val="21"/>
          <w:szCs w:val="21"/>
        </w:rPr>
        <w:t xml:space="preserve"> are governed by DIFC data protection law and its regulations, and supervised by the </w:t>
      </w:r>
      <w:r>
        <w:rPr>
          <w:rFonts w:ascii="Calibri" w:cs="Calibri" w:eastAsia="Calibri" w:hAnsi="Calibri"/>
          <w:b/>
          <w:bCs/>
          <w:color w:val="333A45"/>
          <w:sz w:val="21"/>
          <w:szCs w:val="21"/>
        </w:rPr>
        <w:t xml:space="preserve">DIFC Commissioner of Data Protection</w:t>
      </w:r>
      <w:r>
        <w:rPr>
          <w:rFonts w:ascii="Calibri" w:cs="Calibri" w:eastAsia="Calibri" w:hAnsi="Calibri"/>
          <w:color w:val="333A45"/>
          <w:sz w:val="21"/>
          <w:szCs w:val="21"/>
        </w:rPr>
        <w:t xml:space="preserve">. This policy is written for them.</w:t>
      </w:r>
    </w:p>
    <w:p>
      <w:pPr>
        <w:spacing w:after="110"/>
      </w:pPr>
      <w:r>
        <w:rPr>
          <w:rFonts w:ascii="Calibri" w:cs="Calibri" w:eastAsia="Calibri" w:hAnsi="Calibri"/>
          <w:color w:val="333A45"/>
          <w:sz w:val="21"/>
          <w:szCs w:val="21"/>
        </w:rPr>
        <w:t xml:space="preserve">3.2 </w:t>
      </w:r>
      <w:r>
        <w:rPr>
          <w:rFonts w:ascii="Calibri" w:cs="Calibri" w:eastAsia="Calibri" w:hAnsi="Calibri"/>
          <w:b/>
          <w:bCs/>
          <w:color w:val="333A45"/>
          <w:sz w:val="21"/>
          <w:szCs w:val="21"/>
        </w:rPr>
        <w:t xml:space="preserve">ADGM-registered entities</w:t>
      </w:r>
      <w:r>
        <w:rPr>
          <w:rFonts w:ascii="Calibri" w:cs="Calibri" w:eastAsia="Calibri" w:hAnsi="Calibri"/>
          <w:color w:val="333A45"/>
          <w:sz w:val="21"/>
          <w:szCs w:val="21"/>
        </w:rPr>
        <w:t xml:space="preserve"> are governed by the ADGM Data Protection Regulations and supervised by the </w:t>
      </w:r>
      <w:r>
        <w:rPr>
          <w:rFonts w:ascii="Calibri" w:cs="Calibri" w:eastAsia="Calibri" w:hAnsi="Calibri"/>
          <w:b/>
          <w:bCs/>
          <w:color w:val="333A45"/>
          <w:sz w:val="21"/>
          <w:szCs w:val="21"/>
        </w:rPr>
        <w:t xml:space="preserve">ADGM Commissioner</w:t>
      </w:r>
      <w:r>
        <w:rPr>
          <w:rFonts w:ascii="Calibri" w:cs="Calibri" w:eastAsia="Calibri" w:hAnsi="Calibri"/>
          <w:color w:val="333A45"/>
          <w:sz w:val="21"/>
          <w:szCs w:val="21"/>
        </w:rPr>
        <w:t xml:space="preserve">. The obligations differ. </w:t>
      </w:r>
      <w:r>
        <w:rPr>
          <w:rFonts w:ascii="Calibri" w:cs="Calibri" w:eastAsia="Calibri" w:hAnsi="Calibri"/>
          <w:b/>
          <w:bCs/>
          <w:color w:val="333A45"/>
          <w:sz w:val="21"/>
          <w:szCs w:val="21"/>
        </w:rPr>
        <w:t xml:space="preserve">The single difference most likely to cause a failure is the breach clock</w:t>
      </w:r>
      <w:r>
        <w:rPr>
          <w:rFonts w:ascii="Calibri" w:cs="Calibri" w:eastAsia="Calibri" w:hAnsi="Calibri"/>
          <w:color w:val="333A45"/>
          <w:sz w:val="21"/>
          <w:szCs w:val="21"/>
        </w:rPr>
        <w:t xml:space="preserve"> - Section 14.2.</w:t>
      </w:r>
    </w:p>
    <w:p>
      <w:pPr>
        <w:spacing w:after="110"/>
      </w:pPr>
      <w:r>
        <w:rPr>
          <w:rFonts w:ascii="Calibri" w:cs="Calibri" w:eastAsia="Calibri" w:hAnsi="Calibri"/>
          <w:color w:val="333A45"/>
          <w:sz w:val="21"/>
          <w:szCs w:val="21"/>
        </w:rPr>
        <w:t xml:space="preserve">3.3 </w:t>
      </w:r>
      <w:r>
        <w:rPr>
          <w:rFonts w:ascii="Calibri" w:cs="Calibri" w:eastAsia="Calibri" w:hAnsi="Calibri"/>
          <w:b/>
          <w:bCs/>
          <w:color w:val="333A45"/>
          <w:sz w:val="21"/>
          <w:szCs w:val="21"/>
        </w:rPr>
        <w:t xml:space="preserve">Entities elsewhere in the UAE</w:t>
      </w:r>
      <w:r>
        <w:rPr>
          <w:rFonts w:ascii="Calibri" w:cs="Calibri" w:eastAsia="Calibri" w:hAnsi="Calibri"/>
          <w:color w:val="333A45"/>
          <w:sz w:val="21"/>
          <w:szCs w:val="21"/>
        </w:rPr>
        <w:t xml:space="preserve"> are governed by the federal personal data protection regime and supervised by the </w:t>
      </w:r>
      <w:r>
        <w:rPr>
          <w:rFonts w:ascii="Calibri" w:cs="Calibri" w:eastAsia="Calibri" w:hAnsi="Calibri"/>
          <w:b/>
          <w:bCs/>
          <w:color w:val="333A45"/>
          <w:sz w:val="21"/>
          <w:szCs w:val="21"/>
        </w:rPr>
        <w:t xml:space="preserve">UAE Data Office</w:t>
      </w:r>
      <w:r>
        <w:rPr>
          <w:rFonts w:ascii="Calibri" w:cs="Calibri" w:eastAsia="Calibri" w:hAnsi="Calibri"/>
          <w:color w:val="333A45"/>
          <w:sz w:val="21"/>
          <w:szCs w:val="21"/>
        </w:rPr>
        <w:t xml:space="preserve">. Section 14.3 states the breach position, and Section 22 the limits of what this set says about it.</w:t>
      </w:r>
    </w:p>
    <w:p>
      <w:pPr>
        <w:spacing w:after="110"/>
      </w:pPr>
      <w:r>
        <w:rPr>
          <w:rFonts w:ascii="Calibri" w:cs="Calibri" w:eastAsia="Calibri" w:hAnsi="Calibri"/>
          <w:color w:val="333A45"/>
          <w:sz w:val="21"/>
          <w:szCs w:val="21"/>
        </w:rPr>
        <w:t xml:space="preserve">3.4 </w:t>
      </w:r>
      <w:r>
        <w:rPr>
          <w:rFonts w:ascii="Calibri" w:cs="Calibri" w:eastAsia="Calibri" w:hAnsi="Calibri"/>
          <w:b/>
          <w:bCs/>
          <w:color w:val="333A45"/>
          <w:sz w:val="21"/>
          <w:szCs w:val="21"/>
        </w:rPr>
        <w:t xml:space="preserve">Being in a free zone does not put an entity outside all UAE data protection law for every purpose.</w:t>
      </w:r>
      <w:r>
        <w:rPr>
          <w:rFonts w:ascii="Calibri" w:cs="Calibri" w:eastAsia="Calibri" w:hAnsi="Calibri"/>
          <w:color w:val="333A45"/>
          <w:sz w:val="21"/>
          <w:szCs w:val="21"/>
        </w:rPr>
        <w:t xml:space="preserve"> In-zone entities commonly process some personal data outside the zone, and the federal regime is not displaced for that processing merely because the entity is registered in a zone. Where [ORGANISATION] processes personal data outside its zone, the data protection lead determines the applicable regime for that processing and records the determination.</w:t>
      </w:r>
    </w:p>
    <w:p>
      <w:pPr>
        <w:spacing w:after="110"/>
      </w:pPr>
      <w:r>
        <w:rPr>
          <w:rFonts w:ascii="Calibri" w:cs="Calibri" w:eastAsia="Calibri" w:hAnsi="Calibri"/>
          <w:color w:val="333A45"/>
          <w:sz w:val="21"/>
          <w:szCs w:val="21"/>
        </w:rPr>
        <w:t xml:space="preserve">3.5 The federal regime's scope provision also excludes several categories that matter to a financial-sector organisation - including </w:t>
      </w:r>
      <w:r>
        <w:rPr>
          <w:rFonts w:ascii="Calibri" w:cs="Calibri" w:eastAsia="Calibri" w:hAnsi="Calibri"/>
          <w:b/>
          <w:bCs/>
          <w:color w:val="333A45"/>
          <w:sz w:val="21"/>
          <w:szCs w:val="21"/>
        </w:rPr>
        <w:t xml:space="preserve">health data governed by its own legislation</w:t>
      </w:r>
      <w:r>
        <w:rPr>
          <w:rFonts w:ascii="Calibri" w:cs="Calibri" w:eastAsia="Calibri" w:hAnsi="Calibri"/>
          <w:color w:val="333A45"/>
          <w:sz w:val="21"/>
          <w:szCs w:val="21"/>
        </w:rPr>
        <w:t xml:space="preserve"> and </w:t>
      </w:r>
      <w:r>
        <w:rPr>
          <w:rFonts w:ascii="Calibri" w:cs="Calibri" w:eastAsia="Calibri" w:hAnsi="Calibri"/>
          <w:b/>
          <w:bCs/>
          <w:color w:val="333A45"/>
          <w:sz w:val="21"/>
          <w:szCs w:val="21"/>
        </w:rPr>
        <w:t xml:space="preserve">banking and credit data governed by its own legislation</w:t>
      </w:r>
      <w:r>
        <w:rPr>
          <w:rFonts w:ascii="Calibri" w:cs="Calibri" w:eastAsia="Calibri" w:hAnsi="Calibri"/>
          <w:color w:val="333A45"/>
          <w:sz w:val="21"/>
          <w:szCs w:val="21"/>
        </w:rPr>
        <w:t xml:space="preserve">. Where a category is excluded from the federal regime, another regime governs it, and this policy does not state what that regime requires.</w:t>
      </w:r>
    </w:p>
    <w:p>
      <w:pPr>
        <w:spacing w:after="110"/>
      </w:pPr>
      <w:r>
        <w:rPr>
          <w:rFonts w:ascii="Calibri" w:cs="Calibri" w:eastAsia="Calibri" w:hAnsi="Calibri"/>
          <w:color w:val="333A45"/>
          <w:sz w:val="21"/>
          <w:szCs w:val="21"/>
        </w:rPr>
        <w:t xml:space="preserve">3.6 </w:t>
      </w:r>
      <w:r>
        <w:rPr>
          <w:rFonts w:ascii="Calibri" w:cs="Calibri" w:eastAsia="Calibri" w:hAnsi="Calibri"/>
          <w:b/>
          <w:bCs/>
          <w:color w:val="333A45"/>
          <w:sz w:val="21"/>
          <w:szCs w:val="21"/>
        </w:rPr>
        <w:t xml:space="preserve">Sector rules are separate and may bite harder.</w:t>
      </w:r>
      <w:r>
        <w:rPr>
          <w:rFonts w:ascii="Calibri" w:cs="Calibri" w:eastAsia="Calibri" w:hAnsi="Calibri"/>
          <w:color w:val="333A45"/>
          <w:sz w:val="21"/>
          <w:szCs w:val="21"/>
        </w:rPr>
        <w:t xml:space="preserve"> Both free zones exist to host financial institutions, and the financial services regulator in each zone maintains its own requirements on outsourcing, technology risk and incident reporting. </w:t>
      </w:r>
      <w:r>
        <w:rPr>
          <w:rFonts w:ascii="Calibri" w:cs="Calibri" w:eastAsia="Calibri" w:hAnsi="Calibri"/>
          <w:b/>
          <w:bCs/>
          <w:color w:val="333A45"/>
          <w:sz w:val="21"/>
          <w:szCs w:val="21"/>
        </w:rPr>
        <w:t xml:space="preserve">This policy does not cover them and does not assert them</w:t>
      </w:r>
      <w:r>
        <w:rPr>
          <w:rFonts w:ascii="Calibri" w:cs="Calibri" w:eastAsia="Calibri" w:hAnsi="Calibri"/>
          <w:color w:val="333A45"/>
          <w:sz w:val="21"/>
          <w:szCs w:val="21"/>
        </w:rPr>
        <w:t xml:space="preserve"> - Section 22.</w:t>
      </w:r>
    </w:p>
    <w:p>
      <w:pPr>
        <w:keepNext/>
        <w:pBdr>
          <w:bottom w:val="single" w:color="9DB9E8" w:sz="4" w:space="3"/>
        </w:pBdr>
        <w:spacing w:after="100" w:before="260"/>
      </w:pPr>
      <w:r>
        <w:rPr>
          <w:rFonts w:ascii="Calibri" w:cs="Calibri" w:eastAsia="Calibri" w:hAnsi="Calibri"/>
          <w:b/>
          <w:bCs/>
          <w:color w:val="2E5AAC"/>
          <w:sz w:val="26"/>
          <w:szCs w:val="26"/>
        </w:rPr>
        <w:t xml:space="preserve">4. Which of your tools are in scope</w:t>
      </w:r>
    </w:p>
    <w:p>
      <w:pPr>
        <w:spacing w:after="110"/>
      </w:pPr>
      <w:r>
        <w:rPr>
          <w:rFonts w:ascii="Calibri" w:cs="Calibri" w:eastAsia="Calibri" w:hAnsi="Calibri"/>
          <w:color w:val="333A45"/>
          <w:sz w:val="21"/>
          <w:szCs w:val="21"/>
        </w:rPr>
        <w:t xml:space="preserve">4.1 A tool is a </w:t>
      </w:r>
      <w:r>
        <w:rPr>
          <w:rFonts w:ascii="Calibri" w:cs="Calibri" w:eastAsia="Calibri" w:hAnsi="Calibri"/>
          <w:b/>
          <w:bCs/>
          <w:color w:val="333A45"/>
          <w:sz w:val="21"/>
          <w:szCs w:val="21"/>
        </w:rPr>
        <w:t xml:space="preserve">System</w:t>
      </w:r>
      <w:r>
        <w:rPr>
          <w:rFonts w:ascii="Calibri" w:cs="Calibri" w:eastAsia="Calibri" w:hAnsi="Calibri"/>
          <w:color w:val="333A45"/>
          <w:sz w:val="21"/>
          <w:szCs w:val="21"/>
        </w:rPr>
        <w:t xml:space="preserve"> for the purposes of Sections 5 to 13 if it operates in an </w:t>
      </w:r>
      <w:r>
        <w:rPr>
          <w:rFonts w:ascii="Calibri" w:cs="Calibri" w:eastAsia="Calibri" w:hAnsi="Calibri"/>
          <w:b/>
          <w:bCs/>
          <w:color w:val="333A45"/>
          <w:sz w:val="21"/>
          <w:szCs w:val="21"/>
        </w:rPr>
        <w:t xml:space="preserve">autonomous or semi-autonomous manner</w:t>
      </w:r>
      <w:r>
        <w:rPr>
          <w:rFonts w:ascii="Calibri" w:cs="Calibri" w:eastAsia="Calibri" w:hAnsi="Calibri"/>
          <w:color w:val="333A45"/>
          <w:sz w:val="21"/>
          <w:szCs w:val="21"/>
        </w:rPr>
        <w:t xml:space="preserve">, processes personal data for human-defined purposes or purposes it defines itself, and generates output on that basis.</w:t>
      </w:r>
    </w:p>
    <w:p>
      <w:pPr>
        <w:spacing w:after="110"/>
      </w:pPr>
      <w:r>
        <w:rPr>
          <w:rFonts w:ascii="Calibri" w:cs="Calibri" w:eastAsia="Calibri" w:hAnsi="Calibri"/>
          <w:color w:val="333A45"/>
          <w:sz w:val="21"/>
          <w:szCs w:val="21"/>
        </w:rPr>
        <w:t xml:space="preserve">4.2 A tool is </w:t>
      </w:r>
      <w:r>
        <w:rPr>
          <w:rFonts w:ascii="Calibri" w:cs="Calibri" w:eastAsia="Calibri" w:hAnsi="Calibri"/>
          <w:b/>
          <w:bCs/>
          <w:color w:val="333A45"/>
          <w:sz w:val="21"/>
          <w:szCs w:val="21"/>
        </w:rPr>
        <w:t xml:space="preserve">not</w:t>
      </w:r>
      <w:r>
        <w:rPr>
          <w:rFonts w:ascii="Calibri" w:cs="Calibri" w:eastAsia="Calibri" w:hAnsi="Calibri"/>
          <w:color w:val="333A45"/>
          <w:sz w:val="21"/>
          <w:szCs w:val="21"/>
        </w:rPr>
        <w:t xml:space="preserve"> a System merely because it is automated. Deterministic software whose operation is entirely controlled by humans falls outside this definition and is governed by the general provisions on automated processing instead.</w:t>
      </w:r>
    </w:p>
    <w:p>
      <w:pPr>
        <w:spacing w:after="110"/>
      </w:pPr>
      <w:r>
        <w:rPr>
          <w:rFonts w:ascii="Calibri" w:cs="Calibri" w:eastAsia="Calibri" w:hAnsi="Calibri"/>
          <w:color w:val="333A45"/>
          <w:sz w:val="21"/>
          <w:szCs w:val="21"/>
        </w:rPr>
        <w:t xml:space="preserve">4.3 This boundary is unusual and must be applied deliberately rather than assumed:</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4500"/>
        <w:gridCol w:w="4500"/>
      </w:tblGrid>
      <w:tr>
        <w:trPr>
          <w:tblHeader/>
        </w:trPr>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Likely a System</w:t>
            </w:r>
          </w:p>
        </w:tc>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Likely not a System</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 generative model that plans, retrieves and composes its own response</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 rules engine that applies fixed criteria in a fixed order</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An agent that selects its own tools, sources or next steps</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 scheduled batch job with fixed logic</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 model that adapts behaviour from feedback or retraining</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 deterministic scoring formula, however complex</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An assistant that decides what to include, summarise or escalate</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 template mail-merge</w:t>
            </w:r>
          </w:p>
        </w:tc>
      </w:tr>
    </w:tbl>
    <w:p>
      <w:pPr>
        <w:spacing w:after="120"/>
      </w:pPr>
    </w:p>
    <w:p>
      <w:pPr>
        <w:spacing w:after="110"/>
      </w:pPr>
      <w:r>
        <w:rPr>
          <w:rFonts w:ascii="Calibri" w:cs="Calibri" w:eastAsia="Calibri" w:hAnsi="Calibri"/>
          <w:color w:val="333A45"/>
          <w:sz w:val="21"/>
          <w:szCs w:val="21"/>
        </w:rPr>
        <w:t xml:space="preserve">4.4 The determination is made by the data protection lead with the [ASO], recorded in the AI system inventory, and </w:t>
      </w:r>
      <w:r>
        <w:rPr>
          <w:rFonts w:ascii="Calibri" w:cs="Calibri" w:eastAsia="Calibri" w:hAnsi="Calibri"/>
          <w:b/>
          <w:bCs/>
          <w:color w:val="333A45"/>
          <w:sz w:val="21"/>
          <w:szCs w:val="21"/>
        </w:rPr>
        <w:t xml:space="preserve">revisited whenever the tool gains autonomy</w:t>
      </w:r>
      <w:r>
        <w:rPr>
          <w:rFonts w:ascii="Calibri" w:cs="Calibri" w:eastAsia="Calibri" w:hAnsi="Calibri"/>
          <w:color w:val="333A45"/>
          <w:sz w:val="21"/>
          <w:szCs w:val="21"/>
        </w:rPr>
        <w:t xml:space="preserve"> - which is what adding tool-use, retrieval, memory or planning to an existing product does.</w:t>
      </w:r>
    </w:p>
    <w:p>
      <w:pPr>
        <w:spacing w:after="110"/>
      </w:pPr>
      <w:r>
        <w:rPr>
          <w:rFonts w:ascii="Calibri" w:cs="Calibri" w:eastAsia="Calibri" w:hAnsi="Calibri"/>
          <w:color w:val="333A45"/>
          <w:sz w:val="21"/>
          <w:szCs w:val="21"/>
        </w:rPr>
        <w:t xml:space="preserve">4.5 </w:t>
      </w:r>
      <w:r>
        <w:rPr>
          <w:rFonts w:ascii="Calibri" w:cs="Calibri" w:eastAsia="Calibri" w:hAnsi="Calibri"/>
          <w:b/>
          <w:bCs/>
          <w:color w:val="333A45"/>
          <w:sz w:val="21"/>
          <w:szCs w:val="21"/>
        </w:rPr>
        <w:t xml:space="preserve">A tool can become a System without being replaced.</w:t>
      </w:r>
      <w:r>
        <w:rPr>
          <w:rFonts w:ascii="Calibri" w:cs="Calibri" w:eastAsia="Calibri" w:hAnsi="Calibri"/>
          <w:color w:val="333A45"/>
          <w:sz w:val="21"/>
          <w:szCs w:val="21"/>
        </w:rPr>
        <w:t xml:space="preserve"> A vendor enabling an agentic feature changes the analysis, which is why Section 6.4 makes material vendor changes reopen the approval.</w:t>
      </w:r>
    </w:p>
    <w:p>
      <w:pPr>
        <w:keepNext/>
        <w:pBdr>
          <w:bottom w:val="single" w:color="9DB9E8" w:sz="4" w:space="3"/>
        </w:pBdr>
        <w:spacing w:after="100" w:before="260"/>
      </w:pPr>
      <w:r>
        <w:rPr>
          <w:rFonts w:ascii="Calibri" w:cs="Calibri" w:eastAsia="Calibri" w:hAnsi="Calibri"/>
          <w:b/>
          <w:bCs/>
          <w:color w:val="2E5AAC"/>
          <w:sz w:val="26"/>
          <w:szCs w:val="26"/>
        </w:rPr>
        <w:t xml:space="preserve">5. The certification gate</w:t>
      </w:r>
    </w:p>
    <w:p>
      <w:pPr>
        <w:spacing w:after="110"/>
      </w:pPr>
      <w:r>
        <w:rPr>
          <w:rFonts w:ascii="Calibri" w:cs="Calibri" w:eastAsia="Calibri" w:hAnsi="Calibri"/>
          <w:color w:val="333A45"/>
          <w:sz w:val="21"/>
          <w:szCs w:val="21"/>
        </w:rPr>
        <w:t xml:space="preserve">5.1 Where a System is used, operated, provided, offered or otherwise made available for commercial use to engage in </w:t>
      </w:r>
      <w:r>
        <w:rPr>
          <w:rFonts w:ascii="Calibri" w:cs="Calibri" w:eastAsia="Calibri" w:hAnsi="Calibri"/>
          <w:b/>
          <w:bCs/>
          <w:color w:val="333A45"/>
          <w:sz w:val="21"/>
          <w:szCs w:val="21"/>
        </w:rPr>
        <w:t xml:space="preserve">High Risk Processing Activities</w:t>
      </w:r>
      <w:r>
        <w:rPr>
          <w:rFonts w:ascii="Calibri" w:cs="Calibri" w:eastAsia="Calibri" w:hAnsi="Calibri"/>
          <w:color w:val="333A45"/>
          <w:sz w:val="21"/>
          <w:szCs w:val="21"/>
        </w:rPr>
        <w:t xml:space="preserve">, the audit and certification requirements established by the Commissioner must be satisfied. [ORGANISATION] treats this as a gate to deployment, not a post-deployment formality.</w:t>
      </w:r>
    </w:p>
    <w:p>
      <w:pPr>
        <w:spacing w:after="110"/>
      </w:pPr>
      <w:r>
        <w:rPr>
          <w:rFonts w:ascii="Calibri" w:cs="Calibri" w:eastAsia="Calibri" w:hAnsi="Calibri"/>
          <w:color w:val="333A45"/>
          <w:sz w:val="21"/>
          <w:szCs w:val="21"/>
        </w:rPr>
        <w:t xml:space="preserve">5.2 </w:t>
      </w:r>
      <w:r>
        <w:rPr>
          <w:rFonts w:ascii="Calibri" w:cs="Calibri" w:eastAsia="Calibri" w:hAnsi="Calibri"/>
          <w:b/>
          <w:bCs/>
          <w:color w:val="333A45"/>
          <w:sz w:val="21"/>
          <w:szCs w:val="21"/>
        </w:rPr>
        <w:t xml:space="preserve">Certification is granted by an Accredited Certification Body</w:t>
      </w:r>
      <w:r>
        <w:rPr>
          <w:rFonts w:ascii="Calibri" w:cs="Calibri" w:eastAsia="Calibri" w:hAnsi="Calibri"/>
          <w:color w:val="333A45"/>
          <w:sz w:val="21"/>
          <w:szCs w:val="21"/>
        </w:rPr>
        <w:t xml:space="preserve">, or by the Commissioner in exceptional circumstances arising from the absence or unavailability of an accredited body. Applications are submitted </w:t>
      </w:r>
      <w:r>
        <w:rPr>
          <w:rFonts w:ascii="Calibri" w:cs="Calibri" w:eastAsia="Calibri" w:hAnsi="Calibri"/>
          <w:b/>
          <w:bCs/>
          <w:color w:val="333A45"/>
          <w:sz w:val="21"/>
          <w:szCs w:val="21"/>
        </w:rPr>
        <w:t xml:space="preserve">in English</w:t>
      </w:r>
      <w:r>
        <w:rPr>
          <w:rFonts w:ascii="Calibri" w:cs="Calibri" w:eastAsia="Calibri" w:hAnsi="Calibri"/>
          <w:color w:val="333A45"/>
          <w:sz w:val="21"/>
          <w:szCs w:val="21"/>
        </w:rPr>
        <w:t xml:space="preserve"> with supporting documentation.</w:t>
      </w:r>
    </w:p>
    <w:p>
      <w:pPr>
        <w:spacing w:after="110"/>
      </w:pPr>
      <w:r>
        <w:rPr>
          <w:rFonts w:ascii="Calibri" w:cs="Calibri" w:eastAsia="Calibri" w:hAnsi="Calibri"/>
          <w:color w:val="333A45"/>
          <w:sz w:val="21"/>
          <w:szCs w:val="21"/>
        </w:rPr>
        <w:t xml:space="preserve">5.3 </w:t>
      </w:r>
      <w:r>
        <w:rPr>
          <w:rFonts w:ascii="Calibri" w:cs="Calibri" w:eastAsia="Calibri" w:hAnsi="Calibri"/>
          <w:b/>
          <w:bCs/>
          <w:color w:val="333A45"/>
          <w:sz w:val="21"/>
          <w:szCs w:val="21"/>
        </w:rPr>
        <w:t xml:space="preserve">Certification is valid for three years</w:t>
      </w:r>
      <w:r>
        <w:rPr>
          <w:rFonts w:ascii="Calibri" w:cs="Calibri" w:eastAsia="Calibri" w:hAnsi="Calibri"/>
          <w:color w:val="333A45"/>
          <w:sz w:val="21"/>
          <w:szCs w:val="21"/>
        </w:rPr>
        <w:t xml:space="preserve"> from initial certification. The Commissioner retains authority to conduct periodic risk-based reviews, which may be triggered by amendments to the certification criteria, significant changes to the certified System, </w:t>
      </w:r>
      <w:r>
        <w:rPr>
          <w:rFonts w:ascii="Calibri" w:cs="Calibri" w:eastAsia="Calibri" w:hAnsi="Calibri"/>
          <w:b/>
          <w:bCs/>
          <w:color w:val="333A45"/>
          <w:sz w:val="21"/>
          <w:szCs w:val="21"/>
        </w:rPr>
        <w:t xml:space="preserve">recurring verified complaints about use of the System that negatively impacts individuals</w:t>
      </w:r>
      <w:r>
        <w:rPr>
          <w:rFonts w:ascii="Calibri" w:cs="Calibri" w:eastAsia="Calibri" w:hAnsi="Calibri"/>
          <w:color w:val="333A45"/>
          <w:sz w:val="21"/>
          <w:szCs w:val="21"/>
        </w:rPr>
        <w:t xml:space="preserve">, or failure to adhere to the conditions of certification.</w:t>
      </w:r>
    </w:p>
    <w:p>
      <w:pPr>
        <w:spacing w:after="110"/>
      </w:pPr>
      <w:r>
        <w:rPr>
          <w:rFonts w:ascii="Calibri" w:cs="Calibri" w:eastAsia="Calibri" w:hAnsi="Calibri"/>
          <w:color w:val="333A45"/>
          <w:sz w:val="21"/>
          <w:szCs w:val="21"/>
        </w:rPr>
        <w:t xml:space="preserve">5.4 An audit confirming the effectiveness of the certification must be conducted </w:t>
      </w:r>
      <w:r>
        <w:rPr>
          <w:rFonts w:ascii="Calibri" w:cs="Calibri" w:eastAsia="Calibri" w:hAnsi="Calibri"/>
          <w:b/>
          <w:bCs/>
          <w:color w:val="333A45"/>
          <w:sz w:val="21"/>
          <w:szCs w:val="21"/>
        </w:rPr>
        <w:t xml:space="preserve">at least once during the three-year validity</w:t>
      </w:r>
      <w:r>
        <w:rPr>
          <w:rFonts w:ascii="Calibri" w:cs="Calibri" w:eastAsia="Calibri" w:hAnsi="Calibri"/>
          <w:color w:val="333A45"/>
          <w:sz w:val="21"/>
          <w:szCs w:val="21"/>
        </w:rPr>
        <w:t xml:space="preserve">. Where the certification body assesses that audits should be more frequent, it must give </w:t>
      </w:r>
      <w:r>
        <w:rPr>
          <w:rFonts w:ascii="Calibri" w:cs="Calibri" w:eastAsia="Calibri" w:hAnsi="Calibri"/>
          <w:b/>
          <w:bCs/>
          <w:color w:val="333A45"/>
          <w:sz w:val="21"/>
          <w:szCs w:val="21"/>
        </w:rPr>
        <w:t xml:space="preserve">at least 30 days' notice</w:t>
      </w:r>
      <w:r>
        <w:rPr>
          <w:rFonts w:ascii="Calibri" w:cs="Calibri" w:eastAsia="Calibri" w:hAnsi="Calibri"/>
          <w:color w:val="333A45"/>
          <w:sz w:val="21"/>
          <w:szCs w:val="21"/>
        </w:rPr>
        <w:t xml:space="preserve"> before the compliance audit.</w:t>
      </w:r>
    </w:p>
    <w:p>
      <w:pPr>
        <w:spacing w:after="110"/>
      </w:pPr>
      <w:r>
        <w:rPr>
          <w:rFonts w:ascii="Calibri" w:cs="Calibri" w:eastAsia="Calibri" w:hAnsi="Calibri"/>
          <w:color w:val="333A45"/>
          <w:sz w:val="21"/>
          <w:szCs w:val="21"/>
        </w:rPr>
        <w:t xml:space="preserve">5.5 </w:t>
      </w:r>
      <w:r>
        <w:rPr>
          <w:rFonts w:ascii="Calibri" w:cs="Calibri" w:eastAsia="Calibri" w:hAnsi="Calibri"/>
          <w:b/>
          <w:bCs/>
          <w:color w:val="333A45"/>
          <w:sz w:val="21"/>
          <w:szCs w:val="21"/>
        </w:rPr>
        <w:t xml:space="preserve">[ORGANISATION] may not state or imply that a System is certified</w:t>
      </w:r>
      <w:r>
        <w:rPr>
          <w:rFonts w:ascii="Calibri" w:cs="Calibri" w:eastAsia="Calibri" w:hAnsi="Calibri"/>
          <w:color w:val="333A45"/>
          <w:sz w:val="21"/>
          <w:szCs w:val="21"/>
        </w:rPr>
        <w:t xml:space="preserve"> unless the certification is valid and has not expired, been revoked, or been modified such that it is no longer valid.</w:t>
      </w:r>
    </w:p>
    <w:p>
      <w:pPr>
        <w:spacing w:after="110"/>
      </w:pPr>
      <w:r>
        <w:rPr>
          <w:rFonts w:ascii="Calibri" w:cs="Calibri" w:eastAsia="Calibri" w:hAnsi="Calibri"/>
          <w:color w:val="333A45"/>
          <w:sz w:val="21"/>
          <w:szCs w:val="21"/>
        </w:rPr>
        <w:t xml:space="preserve">5.6 </w:t>
      </w:r>
      <w:r>
        <w:rPr>
          <w:rFonts w:ascii="Calibri" w:cs="Calibri" w:eastAsia="Calibri" w:hAnsi="Calibri"/>
          <w:b/>
          <w:bCs/>
          <w:color w:val="333A45"/>
          <w:sz w:val="21"/>
          <w:szCs w:val="21"/>
        </w:rPr>
        <w:t xml:space="preserve">Prior consultation is available.</w:t>
      </w:r>
      <w:r>
        <w:rPr>
          <w:rFonts w:ascii="Calibri" w:cs="Calibri" w:eastAsia="Calibri" w:hAnsi="Calibri"/>
          <w:color w:val="333A45"/>
          <w:sz w:val="21"/>
          <w:szCs w:val="21"/>
        </w:rPr>
        <w:t xml:space="preserve"> [ORGANISATION] may seek an assessment from the Commissioner or a delegate </w:t>
      </w:r>
      <w:r>
        <w:rPr>
          <w:rFonts w:ascii="Calibri" w:cs="Calibri" w:eastAsia="Calibri" w:hAnsi="Calibri"/>
          <w:b/>
          <w:bCs/>
          <w:color w:val="333A45"/>
          <w:sz w:val="21"/>
          <w:szCs w:val="21"/>
        </w:rPr>
        <w:t xml:space="preserve">before</w:t>
      </w:r>
      <w:r>
        <w:rPr>
          <w:rFonts w:ascii="Calibri" w:cs="Calibri" w:eastAsia="Calibri" w:hAnsi="Calibri"/>
          <w:color w:val="333A45"/>
          <w:sz w:val="21"/>
          <w:szCs w:val="21"/>
        </w:rPr>
        <w:t xml:space="preserve"> deploying, operating or providing a System. The committee considers this route for any System where the High Risk determination at 5.7 is finely balanced.</w:t>
      </w:r>
    </w:p>
    <w:p>
      <w:pPr>
        <w:spacing w:after="110"/>
      </w:pPr>
      <w:r>
        <w:rPr>
          <w:rFonts w:ascii="Calibri" w:cs="Calibri" w:eastAsia="Calibri" w:hAnsi="Calibri"/>
          <w:color w:val="333A45"/>
          <w:sz w:val="21"/>
          <w:szCs w:val="21"/>
        </w:rPr>
        <w:t xml:space="preserve">5.7 </w:t>
      </w:r>
      <w:r>
        <w:rPr>
          <w:rFonts w:ascii="Calibri" w:cs="Calibri" w:eastAsia="Calibri" w:hAnsi="Calibri"/>
          <w:b/>
          <w:bCs/>
          <w:color w:val="333A45"/>
          <w:sz w:val="21"/>
          <w:szCs w:val="21"/>
        </w:rPr>
        <w:t xml:space="preserve">"High Risk Processing Activities" is a defined term in the underlying law and regulations, which this policy does not reproduce.</w:t>
      </w:r>
      <w:r>
        <w:rPr>
          <w:rFonts w:ascii="Calibri" w:cs="Calibri" w:eastAsia="Calibri" w:hAnsi="Calibri"/>
          <w:color w:val="333A45"/>
          <w:sz w:val="21"/>
          <w:szCs w:val="21"/>
        </w:rPr>
        <w:t xml:space="preserve"> The data protection lead determines, in writing and for each System, whether its processing falls within it, and records the reasoning. </w:t>
      </w:r>
      <w:r>
        <w:rPr>
          <w:rFonts w:ascii="Calibri" w:cs="Calibri" w:eastAsia="Calibri" w:hAnsi="Calibri"/>
          <w:b/>
          <w:bCs/>
          <w:color w:val="333A45"/>
          <w:sz w:val="21"/>
          <w:szCs w:val="21"/>
        </w:rPr>
        <w:t xml:space="preserve">Where the determination is uncertain, [ORGANISATION] proceeds as though it does</w:t>
      </w:r>
      <w:r>
        <w:rPr>
          <w:rFonts w:ascii="Calibri" w:cs="Calibri" w:eastAsia="Calibri" w:hAnsi="Calibri"/>
          <w:color w:val="333A45"/>
          <w:sz w:val="21"/>
          <w:szCs w:val="21"/>
        </w:rPr>
        <w:t xml:space="preserve"> until advice says otherwise, and considers prior consultation under 5.6.</w:t>
      </w:r>
    </w:p>
    <w:p>
      <w:pPr>
        <w:spacing w:after="110"/>
      </w:pPr>
      <w:r>
        <w:rPr>
          <w:rFonts w:ascii="Calibri" w:cs="Calibri" w:eastAsia="Calibri" w:hAnsi="Calibri"/>
          <w:color w:val="333A45"/>
          <w:sz w:val="21"/>
          <w:szCs w:val="21"/>
        </w:rPr>
        <w:t xml:space="preserve">5.8 </w:t>
      </w:r>
      <w:r>
        <w:rPr>
          <w:rFonts w:ascii="Calibri" w:cs="Calibri" w:eastAsia="Calibri" w:hAnsi="Calibri"/>
          <w:b/>
          <w:bCs/>
          <w:color w:val="333A45"/>
          <w:sz w:val="21"/>
          <w:szCs w:val="21"/>
        </w:rPr>
        <w:t xml:space="preserve">The timeline for implementing the certification framework is at the Commissioner's discretion.</w:t>
      </w:r>
      <w:r>
        <w:rPr>
          <w:rFonts w:ascii="Calibri" w:cs="Calibri" w:eastAsia="Calibri" w:hAnsi="Calibri"/>
          <w:color w:val="333A45"/>
          <w:sz w:val="21"/>
          <w:szCs w:val="21"/>
        </w:rPr>
        <w:t xml:space="preserve"> [ORGANISATION] does not treat that as a reason to defer readiness - Section 21.2 - and the committee tracks the Commissioner's position at each meeting.</w:t>
      </w:r>
    </w:p>
    <w:p>
      <w:pPr>
        <w:keepNext/>
        <w:pBdr>
          <w:bottom w:val="single" w:color="9DB9E8" w:sz="4" w:space="3"/>
        </w:pBdr>
        <w:spacing w:after="100" w:before="260"/>
      </w:pPr>
      <w:r>
        <w:rPr>
          <w:rFonts w:ascii="Calibri" w:cs="Calibri" w:eastAsia="Calibri" w:hAnsi="Calibri"/>
          <w:b/>
          <w:bCs/>
          <w:color w:val="2E5AAC"/>
          <w:sz w:val="26"/>
          <w:szCs w:val="26"/>
        </w:rPr>
        <w:t xml:space="preserve">6. Roles, and which one [ORGANISATION] holds</w:t>
      </w:r>
    </w:p>
    <w:p>
      <w:pPr>
        <w:spacing w:after="110"/>
      </w:pPr>
      <w:r>
        <w:rPr>
          <w:rFonts w:ascii="Calibri" w:cs="Calibri" w:eastAsia="Calibri" w:hAnsi="Calibri"/>
          <w:color w:val="333A45"/>
          <w:sz w:val="21"/>
          <w:szCs w:val="21"/>
        </w:rPr>
        <w:t xml:space="preserve">6.1 The regime distinguishes three roles, and an organisation may hold more than one:</w:t>
      </w:r>
    </w:p>
    <w:p>
      <w:pPr>
        <w:pStyle w:val="ListParagraph"/>
        <w:numPr>
          <w:ilvl w:val="0"/>
          <w:numId w:val="2"/>
        </w:numPr>
        <w:spacing w:after="70"/>
      </w:pPr>
      <w:r>
        <w:rPr>
          <w:rFonts w:ascii="Calibri" w:cs="Calibri" w:eastAsia="Calibri" w:hAnsi="Calibri"/>
          <w:color w:val="333A45"/>
          <w:sz w:val="21"/>
          <w:szCs w:val="21"/>
        </w:rPr>
        <w:t xml:space="preserve">a </w:t>
      </w:r>
      <w:r>
        <w:rPr>
          <w:rFonts w:ascii="Calibri" w:cs="Calibri" w:eastAsia="Calibri" w:hAnsi="Calibri"/>
          <w:b/>
          <w:bCs/>
          <w:color w:val="333A45"/>
          <w:sz w:val="21"/>
          <w:szCs w:val="21"/>
        </w:rPr>
        <w:t xml:space="preserve">Provider</w:t>
      </w:r>
      <w:r>
        <w:rPr>
          <w:rFonts w:ascii="Calibri" w:cs="Calibri" w:eastAsia="Calibri" w:hAnsi="Calibri"/>
          <w:color w:val="333A45"/>
          <w:sz w:val="21"/>
          <w:szCs w:val="21"/>
        </w:rPr>
        <w:t xml:space="preserve"> develops a System, or procures that one is developed for or on its behalf, with a view to providing, commercialising or otherwise making it available to Operators or Deployers;</w:t>
      </w:r>
    </w:p>
    <w:p>
      <w:pPr>
        <w:pStyle w:val="ListParagraph"/>
        <w:numPr>
          <w:ilvl w:val="0"/>
          <w:numId w:val="2"/>
        </w:numPr>
        <w:spacing w:after="70"/>
      </w:pPr>
      <w:r>
        <w:rPr>
          <w:rFonts w:ascii="Calibri" w:cs="Calibri" w:eastAsia="Calibri" w:hAnsi="Calibri"/>
          <w:color w:val="333A45"/>
          <w:sz w:val="21"/>
          <w:szCs w:val="21"/>
        </w:rPr>
        <w:t xml:space="preserve">an </w:t>
      </w:r>
      <w:r>
        <w:rPr>
          <w:rFonts w:ascii="Calibri" w:cs="Calibri" w:eastAsia="Calibri" w:hAnsi="Calibri"/>
          <w:b/>
          <w:bCs/>
          <w:color w:val="333A45"/>
          <w:sz w:val="21"/>
          <w:szCs w:val="21"/>
        </w:rPr>
        <w:t xml:space="preserve">Operator</w:t>
      </w:r>
      <w:r>
        <w:rPr>
          <w:rFonts w:ascii="Calibri" w:cs="Calibri" w:eastAsia="Calibri" w:hAnsi="Calibri"/>
          <w:color w:val="333A45"/>
          <w:sz w:val="21"/>
          <w:szCs w:val="21"/>
        </w:rPr>
        <w:t xml:space="preserve"> is a Provider that operates or supervises a System on behalf of, for the benefit of, and on the direction of a Deployer - </w:t>
      </w:r>
      <w:r>
        <w:rPr>
          <w:rFonts w:ascii="Calibri" w:cs="Calibri" w:eastAsia="Calibri" w:hAnsi="Calibri"/>
          <w:b/>
          <w:bCs/>
          <w:color w:val="333A45"/>
          <w:sz w:val="21"/>
          <w:szCs w:val="21"/>
        </w:rPr>
        <w:t xml:space="preserve">whether or not it exercises any control over the processing of personal data by the System</w:t>
      </w:r>
      <w:r>
        <w:rPr>
          <w:rFonts w:ascii="Calibri" w:cs="Calibri" w:eastAsia="Calibri" w:hAnsi="Calibri"/>
          <w:color w:val="333A45"/>
          <w:sz w:val="21"/>
          <w:szCs w:val="21"/>
        </w:rPr>
        <w:t xml:space="preserve">;</w:t>
      </w:r>
    </w:p>
    <w:p>
      <w:pPr>
        <w:pStyle w:val="ListParagraph"/>
        <w:numPr>
          <w:ilvl w:val="0"/>
          <w:numId w:val="2"/>
        </w:numPr>
        <w:spacing w:after="70"/>
      </w:pPr>
      <w:r>
        <w:rPr>
          <w:rFonts w:ascii="Calibri" w:cs="Calibri" w:eastAsia="Calibri" w:hAnsi="Calibri"/>
          <w:color w:val="333A45"/>
          <w:sz w:val="21"/>
          <w:szCs w:val="21"/>
        </w:rPr>
        <w:t xml:space="preserve">a </w:t>
      </w:r>
      <w:r>
        <w:rPr>
          <w:rFonts w:ascii="Calibri" w:cs="Calibri" w:eastAsia="Calibri" w:hAnsi="Calibri"/>
          <w:b/>
          <w:bCs/>
          <w:color w:val="333A45"/>
          <w:sz w:val="21"/>
          <w:szCs w:val="21"/>
        </w:rPr>
        <w:t xml:space="preserve">Deployer</w:t>
      </w:r>
      <w:r>
        <w:rPr>
          <w:rFonts w:ascii="Calibri" w:cs="Calibri" w:eastAsia="Calibri" w:hAnsi="Calibri"/>
          <w:color w:val="333A45"/>
          <w:sz w:val="21"/>
          <w:szCs w:val="21"/>
        </w:rPr>
        <w:t xml:space="preserve"> is the person under whose authority, on whose direction or for whose benefit the System is operated, </w:t>
      </w:r>
      <w:r>
        <w:rPr>
          <w:rFonts w:ascii="Calibri" w:cs="Calibri" w:eastAsia="Calibri" w:hAnsi="Calibri"/>
          <w:b/>
          <w:bCs/>
          <w:color w:val="333A45"/>
          <w:sz w:val="21"/>
          <w:szCs w:val="21"/>
        </w:rPr>
        <w:t xml:space="preserve">or</w:t>
      </w:r>
      <w:r>
        <w:rPr>
          <w:rFonts w:ascii="Calibri" w:cs="Calibri" w:eastAsia="Calibri" w:hAnsi="Calibri"/>
          <w:color w:val="333A45"/>
          <w:sz w:val="21"/>
          <w:szCs w:val="21"/>
        </w:rPr>
        <w:t xml:space="preserve"> who receives the benefit of its operation or of any output it generates - </w:t>
      </w:r>
      <w:r>
        <w:rPr>
          <w:rFonts w:ascii="Calibri" w:cs="Calibri" w:eastAsia="Calibri" w:hAnsi="Calibri"/>
          <w:b/>
          <w:bCs/>
          <w:color w:val="333A45"/>
          <w:sz w:val="21"/>
          <w:szCs w:val="21"/>
        </w:rPr>
        <w:t xml:space="preserve">in each case whether or not that person operates, supervises or hosts the System, and whether or not that person defines the purposes for which personal data is processed by it.</w:t>
      </w:r>
    </w:p>
    <w:p>
      <w:pPr>
        <w:spacing w:after="110"/>
      </w:pPr>
      <w:r>
        <w:rPr>
          <w:rFonts w:ascii="Calibri" w:cs="Calibri" w:eastAsia="Calibri" w:hAnsi="Calibri"/>
          <w:color w:val="333A45"/>
          <w:sz w:val="21"/>
          <w:szCs w:val="21"/>
        </w:rPr>
        <w:t xml:space="preserve">6.2 </w:t>
      </w:r>
      <w:r>
        <w:rPr>
          <w:rFonts w:ascii="Calibri" w:cs="Calibri" w:eastAsia="Calibri" w:hAnsi="Calibri"/>
          <w:b/>
          <w:bCs/>
          <w:color w:val="333A45"/>
          <w:sz w:val="21"/>
          <w:szCs w:val="21"/>
        </w:rPr>
        <w:t xml:space="preserve">The Deployer definition is deliberately wide.</w:t>
      </w:r>
      <w:r>
        <w:rPr>
          <w:rFonts w:ascii="Calibri" w:cs="Calibri" w:eastAsia="Calibri" w:hAnsi="Calibri"/>
          <w:color w:val="333A45"/>
          <w:sz w:val="21"/>
          <w:szCs w:val="21"/>
        </w:rPr>
        <w:t xml:space="preserve"> Receiving the benefit of a System's output is enough. An organisation that neither hosts the System nor sets its purposes, and simply uses what it produces, is a Deployer.</w:t>
      </w:r>
    </w:p>
    <w:p>
      <w:pPr>
        <w:spacing w:after="110"/>
      </w:pPr>
      <w:r>
        <w:rPr>
          <w:rFonts w:ascii="Calibri" w:cs="Calibri" w:eastAsia="Calibri" w:hAnsi="Calibri"/>
          <w:color w:val="333A45"/>
          <w:sz w:val="21"/>
          <w:szCs w:val="21"/>
        </w:rPr>
        <w:t xml:space="preserve">6.3 [ORGANISATION] records, for every System in the inventory, which role it holds and on what basis. Where it is a Deployer, it does not treat the Provider's or Operator's obligations as covering its own.</w:t>
      </w:r>
    </w:p>
    <w:p>
      <w:pPr>
        <w:spacing w:after="110"/>
      </w:pPr>
      <w:r>
        <w:rPr>
          <w:rFonts w:ascii="Calibri" w:cs="Calibri" w:eastAsia="Calibri" w:hAnsi="Calibri"/>
          <w:color w:val="333A45"/>
          <w:sz w:val="21"/>
          <w:szCs w:val="21"/>
        </w:rPr>
        <w:t xml:space="preserve">6.4 </w:t>
      </w:r>
      <w:r>
        <w:rPr>
          <w:rFonts w:ascii="Calibri" w:cs="Calibri" w:eastAsia="Calibri" w:hAnsi="Calibri"/>
          <w:b/>
          <w:bCs/>
          <w:color w:val="333A45"/>
          <w:sz w:val="21"/>
          <w:szCs w:val="21"/>
        </w:rPr>
        <w:t xml:space="preserve">[ORGANISATION] becomes a Provider</w:t>
      </w:r>
      <w:r>
        <w:rPr>
          <w:rFonts w:ascii="Calibri" w:cs="Calibri" w:eastAsia="Calibri" w:hAnsi="Calibri"/>
          <w:color w:val="333A45"/>
          <w:sz w:val="21"/>
          <w:szCs w:val="21"/>
        </w:rPr>
        <w:t xml:space="preserve"> if it develops a System, or procures that one is developed for it, with a view to making it available to others. Fine-tuning, rebranding or embedding a third-party System in a product [ORGANISATION] offers may change the role. No such step is taken without a fresh role assessment, and a material change by a vendor reopens the assessment too.</w:t>
      </w:r>
    </w:p>
    <w:p>
      <w:pPr>
        <w:spacing w:after="110"/>
      </w:pPr>
      <w:r>
        <w:rPr>
          <w:rFonts w:ascii="Calibri" w:cs="Calibri" w:eastAsia="Calibri" w:hAnsi="Calibri"/>
          <w:color w:val="333A45"/>
          <w:sz w:val="21"/>
          <w:szCs w:val="21"/>
        </w:rPr>
        <w:t xml:space="preserve">6.5 Separately, [ORGANISATION] is a </w:t>
      </w:r>
      <w:r>
        <w:rPr>
          <w:rFonts w:ascii="Calibri" w:cs="Calibri" w:eastAsia="Calibri" w:hAnsi="Calibri"/>
          <w:b/>
          <w:bCs/>
          <w:color w:val="333A45"/>
          <w:sz w:val="21"/>
          <w:szCs w:val="21"/>
        </w:rPr>
        <w:t xml:space="preserve">Controller</w:t>
      </w:r>
      <w:r>
        <w:rPr>
          <w:rFonts w:ascii="Calibri" w:cs="Calibri" w:eastAsia="Calibri" w:hAnsi="Calibri"/>
          <w:color w:val="333A45"/>
          <w:sz w:val="21"/>
          <w:szCs w:val="21"/>
        </w:rPr>
        <w:t xml:space="preserve"> or </w:t>
      </w:r>
      <w:r>
        <w:rPr>
          <w:rFonts w:ascii="Calibri" w:cs="Calibri" w:eastAsia="Calibri" w:hAnsi="Calibri"/>
          <w:b/>
          <w:bCs/>
          <w:color w:val="333A45"/>
          <w:sz w:val="21"/>
          <w:szCs w:val="21"/>
        </w:rPr>
        <w:t xml:space="preserve">Processor</w:t>
      </w:r>
      <w:r>
        <w:rPr>
          <w:rFonts w:ascii="Calibri" w:cs="Calibri" w:eastAsia="Calibri" w:hAnsi="Calibri"/>
          <w:color w:val="333A45"/>
          <w:sz w:val="21"/>
          <w:szCs w:val="21"/>
        </w:rPr>
        <w:t xml:space="preserve"> for data protection purposes. The two role sets are independent and both are recorded.</w:t>
      </w:r>
    </w:p>
    <w:p>
      <w:pPr>
        <w:keepNext/>
        <w:pBdr>
          <w:bottom w:val="single" w:color="9DB9E8" w:sz="4" w:space="3"/>
        </w:pBdr>
        <w:spacing w:after="100" w:before="260"/>
      </w:pPr>
      <w:r>
        <w:rPr>
          <w:rFonts w:ascii="Calibri" w:cs="Calibri" w:eastAsia="Calibri" w:hAnsi="Calibri"/>
          <w:b/>
          <w:bCs/>
          <w:color w:val="2E5AAC"/>
          <w:sz w:val="26"/>
          <w:szCs w:val="26"/>
        </w:rPr>
        <w:t xml:space="preserve">7. Approved tools</w:t>
      </w:r>
    </w:p>
    <w:p>
      <w:pPr>
        <w:spacing w:after="110"/>
      </w:pPr>
      <w:r>
        <w:rPr>
          <w:rFonts w:ascii="Calibri" w:cs="Calibri" w:eastAsia="Calibri" w:hAnsi="Calibri"/>
          <w:color w:val="333A45"/>
          <w:sz w:val="21"/>
          <w:szCs w:val="21"/>
        </w:rPr>
        <w:t xml:space="preserve">7.1 Only AI tools on the [ORGANISATION] Approved AI Tools list may be used with [ORGANISATION] or personal data.</w:t>
      </w:r>
    </w:p>
    <w:p>
      <w:pPr>
        <w:spacing w:after="110"/>
      </w:pPr>
      <w:r>
        <w:rPr>
          <w:rFonts w:ascii="Calibri" w:cs="Calibri" w:eastAsia="Calibri" w:hAnsi="Calibri"/>
          <w:color w:val="333A45"/>
          <w:sz w:val="21"/>
          <w:szCs w:val="21"/>
        </w:rPr>
        <w:t xml:space="preserve">7.2 A tool is added to the list only after: the System determination at Section 4; the role determination at Section 6; a High Risk determination at 5.7 where it is a System; security and data protection review; and a written contract meeting Section 10.</w:t>
      </w:r>
    </w:p>
    <w:p>
      <w:pPr>
        <w:spacing w:after="110"/>
      </w:pPr>
      <w:r>
        <w:rPr>
          <w:rFonts w:ascii="Calibri" w:cs="Calibri" w:eastAsia="Calibri" w:hAnsi="Calibri"/>
          <w:color w:val="333A45"/>
          <w:sz w:val="21"/>
          <w:szCs w:val="21"/>
        </w:rPr>
        <w:t xml:space="preserve">7.3 Use of any tool not on the list - including free or personal-account versions of listed tools - is not permitted for [ORGANISATION] work or data.</w:t>
      </w:r>
    </w:p>
    <w:p>
      <w:pPr>
        <w:spacing w:after="110"/>
      </w:pPr>
      <w:r>
        <w:rPr>
          <w:rFonts w:ascii="Calibri" w:cs="Calibri" w:eastAsia="Calibri" w:hAnsi="Calibri"/>
          <w:color w:val="333A45"/>
          <w:sz w:val="21"/>
          <w:szCs w:val="21"/>
        </w:rPr>
        <w:t xml:space="preserve">7.4 Staff who need a tool that is not listed must request it through [FORM / CHANNEL]; requests are assessed within [N] business days.</w:t>
      </w:r>
    </w:p>
    <w:p>
      <w:pPr>
        <w:spacing w:after="110"/>
      </w:pPr>
      <w:r>
        <w:rPr>
          <w:rFonts w:ascii="Calibri" w:cs="Calibri" w:eastAsia="Calibri" w:hAnsi="Calibri"/>
          <w:color w:val="333A45"/>
          <w:sz w:val="21"/>
          <w:szCs w:val="21"/>
        </w:rPr>
        <w:t xml:space="preserve">7.5 Staff already using an unapproved tool must disclose this to the policy owner. Good-faith disclosure will not of itself be treated as a disciplinary matter.</w:t>
      </w:r>
    </w:p>
    <w:p>
      <w:pPr>
        <w:spacing w:after="110"/>
      </w:pPr>
      <w:r>
        <w:rPr>
          <w:rFonts w:ascii="Calibri" w:cs="Calibri" w:eastAsia="Calibri" w:hAnsi="Calibri"/>
          <w:color w:val="333A45"/>
          <w:sz w:val="21"/>
          <w:szCs w:val="21"/>
        </w:rPr>
        <w:t xml:space="preserve">7.6 The approved list records, for each tool, whether it is a System, the role [ORGANISATION] holds, whether its processing is High Risk, and its certification status.</w:t>
      </w:r>
    </w:p>
    <w:p>
      <w:pPr>
        <w:keepNext/>
        <w:pBdr>
          <w:bottom w:val="single" w:color="9DB9E8" w:sz="4" w:space="3"/>
        </w:pBdr>
        <w:spacing w:after="100" w:before="260"/>
      </w:pPr>
      <w:r>
        <w:rPr>
          <w:rFonts w:ascii="Calibri" w:cs="Calibri" w:eastAsia="Calibri" w:hAnsi="Calibri"/>
          <w:b/>
          <w:bCs/>
          <w:color w:val="2E5AAC"/>
          <w:sz w:val="26"/>
          <w:szCs w:val="26"/>
        </w:rPr>
        <w:t xml:space="preserve">8. Levels of use</w:t>
      </w:r>
    </w:p>
    <w:p>
      <w:pPr>
        <w:spacing w:after="110"/>
      </w:pPr>
      <w:r>
        <w:rPr>
          <w:rFonts w:ascii="Calibri" w:cs="Calibri" w:eastAsia="Calibri" w:hAnsi="Calibri"/>
          <w:b/>
          <w:bCs/>
          <w:color w:val="333A45"/>
          <w:sz w:val="21"/>
          <w:szCs w:val="21"/>
        </w:rPr>
        <w:t xml:space="preserve">Level 1 - Open.</w:t>
      </w:r>
      <w:r>
        <w:rPr>
          <w:rFonts w:ascii="Calibri" w:cs="Calibri" w:eastAsia="Calibri" w:hAnsi="Calibri"/>
          <w:color w:val="333A45"/>
          <w:sz w:val="21"/>
          <w:szCs w:val="21"/>
        </w:rPr>
        <w:t xml:space="preserve"> No confidential information and no personal data. Approved tools.</w:t>
      </w:r>
    </w:p>
    <w:p>
      <w:pPr>
        <w:spacing w:after="110"/>
      </w:pPr>
      <w:r>
        <w:rPr>
          <w:rFonts w:ascii="Calibri" w:cs="Calibri" w:eastAsia="Calibri" w:hAnsi="Calibri"/>
          <w:b/>
          <w:bCs/>
          <w:color w:val="333A45"/>
          <w:sz w:val="21"/>
          <w:szCs w:val="21"/>
        </w:rPr>
        <w:t xml:space="preserve">Level 2 - Internal.</w:t>
      </w:r>
      <w:r>
        <w:rPr>
          <w:rFonts w:ascii="Calibri" w:cs="Calibri" w:eastAsia="Calibri" w:hAnsi="Calibri"/>
          <w:color w:val="333A45"/>
          <w:sz w:val="21"/>
          <w:szCs w:val="21"/>
        </w:rPr>
        <w:t xml:space="preserve"> Internal non-personal information. Approved tools with a written contract.</w:t>
      </w:r>
    </w:p>
    <w:p>
      <w:pPr>
        <w:spacing w:after="110"/>
      </w:pPr>
      <w:r>
        <w:rPr>
          <w:rFonts w:ascii="Calibri" w:cs="Calibri" w:eastAsia="Calibri" w:hAnsi="Calibri"/>
          <w:b/>
          <w:bCs/>
          <w:color w:val="333A45"/>
          <w:sz w:val="21"/>
          <w:szCs w:val="21"/>
        </w:rPr>
        <w:t xml:space="preserve">Level 3 - Personal data.</w:t>
      </w:r>
      <w:r>
        <w:rPr>
          <w:rFonts w:ascii="Calibri" w:cs="Calibri" w:eastAsia="Calibri" w:hAnsi="Calibri"/>
          <w:color w:val="333A45"/>
          <w:sz w:val="21"/>
          <w:szCs w:val="21"/>
        </w:rPr>
        <w:t xml:space="preserve"> Any personal data. Approved tools, written contract, a recorded lawful basis, and registration in the AI system inventory.</w:t>
      </w:r>
    </w:p>
    <w:p>
      <w:pPr>
        <w:spacing w:after="110"/>
      </w:pPr>
      <w:r>
        <w:rPr>
          <w:rFonts w:ascii="Calibri" w:cs="Calibri" w:eastAsia="Calibri" w:hAnsi="Calibri"/>
          <w:b/>
          <w:bCs/>
          <w:color w:val="333A45"/>
          <w:sz w:val="21"/>
          <w:szCs w:val="21"/>
        </w:rPr>
        <w:t xml:space="preserve">Level 4 - System engaged in High Risk Processing.</w:t>
      </w:r>
      <w:r>
        <w:rPr>
          <w:rFonts w:ascii="Calibri" w:cs="Calibri" w:eastAsia="Calibri" w:hAnsi="Calibri"/>
          <w:color w:val="333A45"/>
          <w:sz w:val="21"/>
          <w:szCs w:val="21"/>
        </w:rPr>
        <w:t xml:space="preserve"> Everything at Level 3, plus Sections 5, 11, 12 and 13, and approval by the AI Governance Committee.</w:t>
      </w:r>
    </w:p>
    <w:p>
      <w:pPr>
        <w:spacing w:after="110"/>
      </w:pPr>
      <w:r>
        <w:rPr>
          <w:rFonts w:ascii="Calibri" w:cs="Calibri" w:eastAsia="Calibri" w:hAnsi="Calibri"/>
          <w:color w:val="333A45"/>
          <w:sz w:val="21"/>
          <w:szCs w:val="21"/>
        </w:rPr>
        <w:t xml:space="preserve">Where a use sits between two levels, the higher applies.</w:t>
      </w:r>
    </w:p>
    <w:p>
      <w:pPr>
        <w:keepNext/>
        <w:pBdr>
          <w:bottom w:val="single" w:color="9DB9E8" w:sz="4" w:space="3"/>
        </w:pBdr>
        <w:spacing w:after="100" w:before="260"/>
      </w:pPr>
      <w:r>
        <w:rPr>
          <w:rFonts w:ascii="Calibri" w:cs="Calibri" w:eastAsia="Calibri" w:hAnsi="Calibri"/>
          <w:b/>
          <w:bCs/>
          <w:color w:val="2E5AAC"/>
          <w:sz w:val="26"/>
          <w:szCs w:val="26"/>
        </w:rPr>
        <w:t xml:space="preserve">9. Governance, principles and the impact assessment</w:t>
      </w:r>
    </w:p>
    <w:p>
      <w:pPr>
        <w:spacing w:after="110"/>
      </w:pPr>
      <w:r>
        <w:rPr>
          <w:rFonts w:ascii="Calibri" w:cs="Calibri" w:eastAsia="Calibri" w:hAnsi="Calibri"/>
          <w:color w:val="333A45"/>
          <w:sz w:val="21"/>
          <w:szCs w:val="21"/>
        </w:rPr>
        <w:t xml:space="preserve">9.1 A System used for High Risk Processing must be deployed </w:t>
      </w:r>
      <w:r>
        <w:rPr>
          <w:rFonts w:ascii="Calibri" w:cs="Calibri" w:eastAsia="Calibri" w:hAnsi="Calibri"/>
          <w:b/>
          <w:bCs/>
          <w:color w:val="333A45"/>
          <w:sz w:val="21"/>
          <w:szCs w:val="21"/>
        </w:rPr>
        <w:t xml:space="preserve">in accordance with an overarching governance document</w:t>
      </w:r>
      <w:r>
        <w:rPr>
          <w:rFonts w:ascii="Calibri" w:cs="Calibri" w:eastAsia="Calibri" w:hAnsi="Calibri"/>
          <w:color w:val="333A45"/>
          <w:sz w:val="21"/>
          <w:szCs w:val="21"/>
        </w:rPr>
        <w:t xml:space="preserve"> setting out requirements for adherence to the principles of </w:t>
      </w:r>
      <w:r>
        <w:rPr>
          <w:rFonts w:ascii="Calibri" w:cs="Calibri" w:eastAsia="Calibri" w:hAnsi="Calibri"/>
          <w:b/>
          <w:bCs/>
          <w:color w:val="333A45"/>
          <w:sz w:val="21"/>
          <w:szCs w:val="21"/>
        </w:rPr>
        <w:t xml:space="preserve">fairness, transparency, accountability, security and ethics</w:t>
      </w:r>
      <w:r>
        <w:rPr>
          <w:rFonts w:ascii="Calibri" w:cs="Calibri" w:eastAsia="Calibri" w:hAnsi="Calibri"/>
          <w:color w:val="333A45"/>
          <w:sz w:val="21"/>
          <w:szCs w:val="21"/>
        </w:rPr>
        <w:t xml:space="preserve">. This policy and its annex are that document for [ORGANISATION].</w:t>
      </w:r>
    </w:p>
    <w:p>
      <w:pPr>
        <w:spacing w:after="110"/>
      </w:pPr>
      <w:r>
        <w:rPr>
          <w:rFonts w:ascii="Calibri" w:cs="Calibri" w:eastAsia="Calibri" w:hAnsi="Calibri"/>
          <w:color w:val="333A45"/>
          <w:sz w:val="21"/>
          <w:szCs w:val="21"/>
        </w:rPr>
        <w:t xml:space="preserve">9.2 The principles the regime applies across a System's whole lifecycle are: </w:t>
      </w:r>
      <w:r>
        <w:rPr>
          <w:rFonts w:ascii="Calibri" w:cs="Calibri" w:eastAsia="Calibri" w:hAnsi="Calibri"/>
          <w:b/>
          <w:bCs/>
          <w:color w:val="333A45"/>
          <w:sz w:val="21"/>
          <w:szCs w:val="21"/>
        </w:rPr>
        <w:t xml:space="preserve">fairness, transparency, ethics, security, data quality, necessity and proportionality, risk-assessment, and accountability.</w:t>
      </w:r>
    </w:p>
    <w:p>
      <w:pPr>
        <w:spacing w:after="110"/>
      </w:pPr>
      <w:r>
        <w:rPr>
          <w:rFonts w:ascii="Calibri" w:cs="Calibri" w:eastAsia="Calibri" w:hAnsi="Calibri"/>
          <w:color w:val="333A45"/>
          <w:sz w:val="21"/>
          <w:szCs w:val="21"/>
        </w:rPr>
        <w:t xml:space="preserve">9.3 </w:t>
      </w:r>
      <w:r>
        <w:rPr>
          <w:rFonts w:ascii="Calibri" w:cs="Calibri" w:eastAsia="Calibri" w:hAnsi="Calibri"/>
          <w:b/>
          <w:bCs/>
          <w:color w:val="333A45"/>
          <w:sz w:val="21"/>
          <w:szCs w:val="21"/>
        </w:rPr>
        <w:t xml:space="preserve">A risk-based necessity assessment comes first.</w:t>
      </w:r>
      <w:r>
        <w:rPr>
          <w:rFonts w:ascii="Calibri" w:cs="Calibri" w:eastAsia="Calibri" w:hAnsi="Calibri"/>
          <w:color w:val="333A45"/>
          <w:sz w:val="21"/>
          <w:szCs w:val="21"/>
        </w:rPr>
        <w:t xml:space="preserve"> Before a System is used for High Risk Processing, [ORGANISATION] must have determined, on a risk-based approach, that the processing is necessary </w:t>
      </w:r>
      <w:r>
        <w:rPr>
          <w:rFonts w:ascii="Calibri" w:cs="Calibri" w:eastAsia="Calibri" w:hAnsi="Calibri"/>
          <w:b/>
          <w:bCs/>
          <w:color w:val="333A45"/>
          <w:sz w:val="21"/>
          <w:szCs w:val="21"/>
        </w:rPr>
        <w:t xml:space="preserve">through that System rather than through a different, lower-risk System</w:t>
      </w:r>
      <w:r>
        <w:rPr>
          <w:rFonts w:ascii="Calibri" w:cs="Calibri" w:eastAsia="Calibri" w:hAnsi="Calibri"/>
          <w:color w:val="333A45"/>
          <w:sz w:val="21"/>
          <w:szCs w:val="21"/>
        </w:rPr>
        <w:t xml:space="preserve">. The question is not whether the System is useful; it is whether a less risky one would do.</w:t>
      </w:r>
    </w:p>
    <w:p>
      <w:pPr>
        <w:spacing w:after="110"/>
      </w:pPr>
      <w:r>
        <w:rPr>
          <w:rFonts w:ascii="Calibri" w:cs="Calibri" w:eastAsia="Calibri" w:hAnsi="Calibri"/>
          <w:color w:val="333A45"/>
          <w:sz w:val="21"/>
          <w:szCs w:val="21"/>
        </w:rPr>
        <w:t xml:space="preserve">9.4 Where High Risk Processing through the System is necessary, [ORGANISATION] then assesses and records:</w:t>
      </w:r>
    </w:p>
    <w:p>
      <w:pPr>
        <w:pStyle w:val="ListParagraph"/>
        <w:numPr>
          <w:ilvl w:val="0"/>
          <w:numId w:val="2"/>
        </w:numPr>
        <w:spacing w:after="70"/>
      </w:pPr>
      <w:r>
        <w:rPr>
          <w:rFonts w:ascii="Calibri" w:cs="Calibri" w:eastAsia="Calibri" w:hAnsi="Calibri"/>
          <w:color w:val="333A45"/>
          <w:sz w:val="21"/>
          <w:szCs w:val="21"/>
        </w:rPr>
        <w:t xml:space="preserve">whether the identified risks of the System have been catalogued;</w:t>
      </w:r>
    </w:p>
    <w:p>
      <w:pPr>
        <w:pStyle w:val="ListParagraph"/>
        <w:numPr>
          <w:ilvl w:val="0"/>
          <w:numId w:val="2"/>
        </w:numPr>
        <w:spacing w:after="70"/>
      </w:pPr>
      <w:r>
        <w:rPr>
          <w:rFonts w:ascii="Calibri" w:cs="Calibri" w:eastAsia="Calibri" w:hAnsi="Calibri"/>
          <w:color w:val="333A45"/>
          <w:sz w:val="21"/>
          <w:szCs w:val="21"/>
        </w:rPr>
        <w:t xml:space="preserve">whether the collection and processing of personal data is </w:t>
      </w:r>
      <w:r>
        <w:rPr>
          <w:rFonts w:ascii="Calibri" w:cs="Calibri" w:eastAsia="Calibri" w:hAnsi="Calibri"/>
          <w:b/>
          <w:bCs/>
          <w:color w:val="333A45"/>
          <w:sz w:val="21"/>
          <w:szCs w:val="21"/>
        </w:rPr>
        <w:t xml:space="preserve">necessary and proportionate</w:t>
      </w:r>
      <w:r>
        <w:rPr>
          <w:rFonts w:ascii="Calibri" w:cs="Calibri" w:eastAsia="Calibri" w:hAnsi="Calibri"/>
          <w:color w:val="333A45"/>
          <w:sz w:val="21"/>
          <w:szCs w:val="21"/>
        </w:rPr>
        <w:t xml:space="preserve"> for the purpose of the use case; and</w:t>
      </w:r>
    </w:p>
    <w:p>
      <w:pPr>
        <w:pStyle w:val="ListParagraph"/>
        <w:numPr>
          <w:ilvl w:val="0"/>
          <w:numId w:val="2"/>
        </w:numPr>
        <w:spacing w:after="70"/>
      </w:pPr>
      <w:r>
        <w:rPr>
          <w:rFonts w:ascii="Calibri" w:cs="Calibri" w:eastAsia="Calibri" w:hAnsi="Calibri"/>
          <w:color w:val="333A45"/>
          <w:sz w:val="21"/>
          <w:szCs w:val="21"/>
        </w:rPr>
        <w:t xml:space="preserve">whether appropriate measures to </w:t>
      </w:r>
      <w:r>
        <w:rPr>
          <w:rFonts w:ascii="Calibri" w:cs="Calibri" w:eastAsia="Calibri" w:hAnsi="Calibri"/>
          <w:b/>
          <w:bCs/>
          <w:color w:val="333A45"/>
          <w:sz w:val="21"/>
          <w:szCs w:val="21"/>
        </w:rPr>
        <w:t xml:space="preserve">effectively mitigate</w:t>
      </w:r>
      <w:r>
        <w:rPr>
          <w:rFonts w:ascii="Calibri" w:cs="Calibri" w:eastAsia="Calibri" w:hAnsi="Calibri"/>
          <w:color w:val="333A45"/>
          <w:sz w:val="21"/>
          <w:szCs w:val="21"/>
        </w:rPr>
        <w:t xml:space="preserve"> the impact of those elements are in place.</w:t>
      </w:r>
    </w:p>
    <w:p>
      <w:pPr>
        <w:spacing w:after="110"/>
      </w:pPr>
      <w:r>
        <w:rPr>
          <w:rFonts w:ascii="Calibri" w:cs="Calibri" w:eastAsia="Calibri" w:hAnsi="Calibri"/>
          <w:color w:val="333A45"/>
          <w:sz w:val="21"/>
          <w:szCs w:val="21"/>
        </w:rPr>
        <w:t xml:space="preserve">9.5 [ORGANISATION] maintains, for each such System: a </w:t>
      </w:r>
      <w:r>
        <w:rPr>
          <w:rFonts w:ascii="Calibri" w:cs="Calibri" w:eastAsia="Calibri" w:hAnsi="Calibri"/>
          <w:b/>
          <w:bCs/>
          <w:color w:val="333A45"/>
          <w:sz w:val="21"/>
          <w:szCs w:val="21"/>
        </w:rPr>
        <w:t xml:space="preserve">risk management framework</w:t>
      </w:r>
      <w:r>
        <w:rPr>
          <w:rFonts w:ascii="Calibri" w:cs="Calibri" w:eastAsia="Calibri" w:hAnsi="Calibri"/>
          <w:color w:val="333A45"/>
          <w:sz w:val="21"/>
          <w:szCs w:val="21"/>
        </w:rPr>
        <w:t xml:space="preserve">; an </w:t>
      </w:r>
      <w:r>
        <w:rPr>
          <w:rFonts w:ascii="Calibri" w:cs="Calibri" w:eastAsia="Calibri" w:hAnsi="Calibri"/>
          <w:b/>
          <w:bCs/>
          <w:color w:val="333A45"/>
          <w:sz w:val="21"/>
          <w:szCs w:val="21"/>
        </w:rPr>
        <w:t xml:space="preserve">AI data protection impact assessment</w:t>
      </w:r>
      <w:r>
        <w:rPr>
          <w:rFonts w:ascii="Calibri" w:cs="Calibri" w:eastAsia="Calibri" w:hAnsi="Calibri"/>
          <w:color w:val="333A45"/>
          <w:sz w:val="21"/>
          <w:szCs w:val="21"/>
        </w:rPr>
        <w:t xml:space="preserve"> assessing necessity, identifying associated risks, recording management action plans showing how controls were integrated into the development process </w:t>
      </w:r>
      <w:r>
        <w:rPr>
          <w:rFonts w:ascii="Calibri" w:cs="Calibri" w:eastAsia="Calibri" w:hAnsi="Calibri"/>
          <w:b/>
          <w:bCs/>
          <w:color w:val="333A45"/>
          <w:sz w:val="21"/>
          <w:szCs w:val="21"/>
        </w:rPr>
        <w:t xml:space="preserve">and evidence that they were</w:t>
      </w:r>
      <w:r>
        <w:rPr>
          <w:rFonts w:ascii="Calibri" w:cs="Calibri" w:eastAsia="Calibri" w:hAnsi="Calibri"/>
          <w:color w:val="333A45"/>
          <w:sz w:val="21"/>
          <w:szCs w:val="21"/>
        </w:rPr>
        <w:t xml:space="preserve">; an </w:t>
      </w:r>
      <w:r>
        <w:rPr>
          <w:rFonts w:ascii="Calibri" w:cs="Calibri" w:eastAsia="Calibri" w:hAnsi="Calibri"/>
          <w:b/>
          <w:bCs/>
          <w:color w:val="333A45"/>
          <w:sz w:val="21"/>
          <w:szCs w:val="21"/>
        </w:rPr>
        <w:t xml:space="preserve">AI policy</w:t>
      </w:r>
      <w:r>
        <w:rPr>
          <w:rFonts w:ascii="Calibri" w:cs="Calibri" w:eastAsia="Calibri" w:hAnsi="Calibri"/>
          <w:color w:val="333A45"/>
          <w:sz w:val="21"/>
          <w:szCs w:val="21"/>
        </w:rPr>
        <w:t xml:space="preserve"> carrying the technical and organisational controls; and a </w:t>
      </w:r>
      <w:r>
        <w:rPr>
          <w:rFonts w:ascii="Calibri" w:cs="Calibri" w:eastAsia="Calibri" w:hAnsi="Calibri"/>
          <w:b/>
          <w:bCs/>
          <w:color w:val="333A45"/>
          <w:sz w:val="21"/>
          <w:szCs w:val="21"/>
        </w:rPr>
        <w:t xml:space="preserve">risk register</w:t>
      </w:r>
      <w:r>
        <w:rPr>
          <w:rFonts w:ascii="Calibri" w:cs="Calibri" w:eastAsia="Calibri" w:hAnsi="Calibri"/>
          <w:color w:val="333A45"/>
          <w:sz w:val="21"/>
          <w:szCs w:val="21"/>
        </w:rPr>
        <w:t xml:space="preserve"> of the System's associated risks with supporting documentation showing they have been identified and mitigated.</w:t>
      </w:r>
    </w:p>
    <w:p>
      <w:pPr>
        <w:spacing w:after="110"/>
      </w:pPr>
      <w:r>
        <w:rPr>
          <w:rFonts w:ascii="Calibri" w:cs="Calibri" w:eastAsia="Calibri" w:hAnsi="Calibri"/>
          <w:color w:val="333A45"/>
          <w:sz w:val="21"/>
          <w:szCs w:val="21"/>
        </w:rPr>
        <w:t xml:space="preserve">9.6 </w:t>
      </w:r>
      <w:r>
        <w:rPr>
          <w:rFonts w:ascii="Calibri" w:cs="Calibri" w:eastAsia="Calibri" w:hAnsi="Calibri"/>
          <w:b/>
          <w:bCs/>
          <w:color w:val="333A45"/>
          <w:sz w:val="21"/>
          <w:szCs w:val="21"/>
        </w:rPr>
        <w:t xml:space="preserve">An assessment that identifies a control and does not evidence its integration does not meet 9.5.</w:t>
      </w:r>
      <w:r>
        <w:rPr>
          <w:rFonts w:ascii="Calibri" w:cs="Calibri" w:eastAsia="Calibri" w:hAnsi="Calibri"/>
          <w:color w:val="333A45"/>
          <w:sz w:val="21"/>
          <w:szCs w:val="21"/>
        </w:rPr>
        <w:t xml:space="preserve"> The evidentiary standard is explicit, and the annex tracks implementation dates.</w:t>
      </w:r>
    </w:p>
    <w:p>
      <w:pPr>
        <w:keepNext/>
        <w:pBdr>
          <w:bottom w:val="single" w:color="9DB9E8" w:sz="4" w:space="3"/>
        </w:pBdr>
        <w:spacing w:after="100" w:before="260"/>
      </w:pPr>
      <w:r>
        <w:rPr>
          <w:rFonts w:ascii="Calibri" w:cs="Calibri" w:eastAsia="Calibri" w:hAnsi="Calibri"/>
          <w:b/>
          <w:bCs/>
          <w:color w:val="2E5AAC"/>
          <w:sz w:val="26"/>
          <w:szCs w:val="26"/>
        </w:rPr>
        <w:t xml:space="preserve">10. Transparency, notice and third parties</w:t>
      </w:r>
    </w:p>
    <w:p>
      <w:pPr>
        <w:spacing w:after="110"/>
      </w:pPr>
      <w:r>
        <w:rPr>
          <w:rFonts w:ascii="Calibri" w:cs="Calibri" w:eastAsia="Calibri" w:hAnsi="Calibri"/>
          <w:color w:val="333A45"/>
          <w:sz w:val="21"/>
          <w:szCs w:val="21"/>
        </w:rPr>
        <w:t xml:space="preserve">10.1 A System must be </w:t>
      </w:r>
      <w:r>
        <w:rPr>
          <w:rFonts w:ascii="Calibri" w:cs="Calibri" w:eastAsia="Calibri" w:hAnsi="Calibri"/>
          <w:b/>
          <w:bCs/>
          <w:color w:val="333A45"/>
          <w:sz w:val="21"/>
          <w:szCs w:val="21"/>
        </w:rPr>
        <w:t xml:space="preserve">designed and implemented to be transparent and fair</w:t>
      </w:r>
      <w:r>
        <w:rPr>
          <w:rFonts w:ascii="Calibri" w:cs="Calibri" w:eastAsia="Calibri" w:hAnsi="Calibri"/>
          <w:color w:val="333A45"/>
          <w:sz w:val="21"/>
          <w:szCs w:val="21"/>
        </w:rPr>
        <w:t xml:space="preserve"> to individuals about why their personal data is collected, for what purposes, where it will be stored, whether it will be shared with third parties, and any other information necessary to help them understand and choose whether to share it.</w:t>
      </w:r>
    </w:p>
    <w:p>
      <w:pPr>
        <w:spacing w:after="110"/>
      </w:pPr>
      <w:r>
        <w:rPr>
          <w:rFonts w:ascii="Calibri" w:cs="Calibri" w:eastAsia="Calibri" w:hAnsi="Calibri"/>
          <w:color w:val="333A45"/>
          <w:sz w:val="21"/>
          <w:szCs w:val="21"/>
        </w:rPr>
        <w:t xml:space="preserve">10.2 [ORGANISATION] must be able to provide </w:t>
      </w:r>
      <w:r>
        <w:rPr>
          <w:rFonts w:ascii="Calibri" w:cs="Calibri" w:eastAsia="Calibri" w:hAnsi="Calibri"/>
          <w:b/>
          <w:bCs/>
          <w:color w:val="333A45"/>
          <w:sz w:val="21"/>
          <w:szCs w:val="21"/>
        </w:rPr>
        <w:t xml:space="preserve">evidence of meaningful notice</w:t>
      </w:r>
      <w:r>
        <w:rPr>
          <w:rFonts w:ascii="Calibri" w:cs="Calibri" w:eastAsia="Calibri" w:hAnsi="Calibri"/>
          <w:color w:val="333A45"/>
          <w:sz w:val="21"/>
          <w:szCs w:val="21"/>
        </w:rPr>
        <w:t xml:space="preserve"> and evidentiary explanations for its decisions about providing that information. The privacy notice must describe the System's processing in a clear and easily understandable manner and must in particular address:</w:t>
      </w:r>
    </w:p>
    <w:p>
      <w:pPr>
        <w:pStyle w:val="ListParagraph"/>
        <w:numPr>
          <w:ilvl w:val="0"/>
          <w:numId w:val="2"/>
        </w:numPr>
        <w:spacing w:after="70"/>
      </w:pPr>
      <w:r>
        <w:rPr>
          <w:rFonts w:ascii="Calibri" w:cs="Calibri" w:eastAsia="Calibri" w:hAnsi="Calibri"/>
          <w:b/>
          <w:bCs/>
          <w:color w:val="333A45"/>
          <w:sz w:val="21"/>
          <w:szCs w:val="21"/>
        </w:rPr>
        <w:t xml:space="preserve">the impact of the use of the System on the exercise of individuals' rights</w:t>
      </w:r>
      <w:r>
        <w:rPr>
          <w:rFonts w:ascii="Calibri" w:cs="Calibri" w:eastAsia="Calibri" w:hAnsi="Calibri"/>
          <w:color w:val="333A45"/>
          <w:sz w:val="21"/>
          <w:szCs w:val="21"/>
        </w:rPr>
        <w:t xml:space="preserve"> under the law;</w:t>
      </w:r>
    </w:p>
    <w:p>
      <w:pPr>
        <w:pStyle w:val="ListParagraph"/>
        <w:numPr>
          <w:ilvl w:val="0"/>
          <w:numId w:val="2"/>
        </w:numPr>
        <w:spacing w:after="70"/>
      </w:pPr>
      <w:r>
        <w:rPr>
          <w:rFonts w:ascii="Calibri" w:cs="Calibri" w:eastAsia="Calibri" w:hAnsi="Calibri"/>
          <w:b/>
          <w:bCs/>
          <w:color w:val="333A45"/>
          <w:sz w:val="21"/>
          <w:szCs w:val="21"/>
        </w:rPr>
        <w:t xml:space="preserve">the human-defined purposes for processing</w:t>
      </w:r>
      <w:r>
        <w:rPr>
          <w:rFonts w:ascii="Calibri" w:cs="Calibri" w:eastAsia="Calibri" w:hAnsi="Calibri"/>
          <w:color w:val="333A45"/>
          <w:sz w:val="21"/>
          <w:szCs w:val="21"/>
        </w:rPr>
        <w:t xml:space="preserve">;</w:t>
      </w:r>
    </w:p>
    <w:p>
      <w:pPr>
        <w:pStyle w:val="ListParagraph"/>
        <w:numPr>
          <w:ilvl w:val="0"/>
          <w:numId w:val="2"/>
        </w:numPr>
        <w:spacing w:after="70"/>
      </w:pPr>
      <w:r>
        <w:rPr>
          <w:rFonts w:ascii="Calibri" w:cs="Calibri" w:eastAsia="Calibri" w:hAnsi="Calibri"/>
          <w:b/>
          <w:bCs/>
          <w:color w:val="333A45"/>
          <w:sz w:val="21"/>
          <w:szCs w:val="21"/>
        </w:rPr>
        <w:t xml:space="preserve">the human-defined principles on the basis of which, and all human-defined limits within which, the System is capable of itself defining further purposes for processing personal data</w:t>
      </w:r>
      <w:r>
        <w:rPr>
          <w:rFonts w:ascii="Calibri" w:cs="Calibri" w:eastAsia="Calibri" w:hAnsi="Calibri"/>
          <w:color w:val="333A45"/>
          <w:sz w:val="21"/>
          <w:szCs w:val="21"/>
        </w:rPr>
        <w:t xml:space="preserve">; and</w:t>
      </w:r>
    </w:p>
    <w:p>
      <w:pPr>
        <w:pStyle w:val="ListParagraph"/>
        <w:numPr>
          <w:ilvl w:val="0"/>
          <w:numId w:val="2"/>
        </w:numPr>
        <w:spacing w:after="70"/>
      </w:pPr>
      <w:r>
        <w:rPr>
          <w:rFonts w:ascii="Calibri" w:cs="Calibri" w:eastAsia="Calibri" w:hAnsi="Calibri"/>
          <w:color w:val="333A45"/>
          <w:sz w:val="21"/>
          <w:szCs w:val="21"/>
        </w:rPr>
        <w:t xml:space="preserve">the codes, certifications or principles on which the System is designed or developed.</w:t>
      </w:r>
    </w:p>
    <w:p>
      <w:pPr>
        <w:spacing w:after="110"/>
      </w:pPr>
      <w:r>
        <w:rPr>
          <w:rFonts w:ascii="Calibri" w:cs="Calibri" w:eastAsia="Calibri" w:hAnsi="Calibri"/>
          <w:color w:val="333A45"/>
          <w:sz w:val="21"/>
          <w:szCs w:val="21"/>
        </w:rPr>
        <w:t xml:space="preserve">10.3 The third item is the one no ordinary privacy notice contains. </w:t>
      </w:r>
      <w:r>
        <w:rPr>
          <w:rFonts w:ascii="Calibri" w:cs="Calibri" w:eastAsia="Calibri" w:hAnsi="Calibri"/>
          <w:b/>
          <w:bCs/>
          <w:color w:val="333A45"/>
          <w:sz w:val="21"/>
          <w:szCs w:val="21"/>
        </w:rPr>
        <w:t xml:space="preserve">If [ORGANISATION] cannot state the limits within which a System may define its own purposes, it cannot give a compliant notice for it</w:t>
      </w:r>
      <w:r>
        <w:rPr>
          <w:rFonts w:ascii="Calibri" w:cs="Calibri" w:eastAsia="Calibri" w:hAnsi="Calibri"/>
          <w:color w:val="333A45"/>
          <w:sz w:val="21"/>
          <w:szCs w:val="21"/>
        </w:rPr>
        <w:t xml:space="preserve"> - and Section 11.3 makes that a bar to deployment rather than a drafting problem.</w:t>
      </w:r>
    </w:p>
    <w:p>
      <w:pPr>
        <w:spacing w:after="110"/>
      </w:pPr>
      <w:r>
        <w:rPr>
          <w:rFonts w:ascii="Calibri" w:cs="Calibri" w:eastAsia="Calibri" w:hAnsi="Calibri"/>
          <w:color w:val="333A45"/>
          <w:sz w:val="21"/>
          <w:szCs w:val="21"/>
        </w:rPr>
        <w:t xml:space="preserve">10.4 Where consent is the lawful basis, the System's consent mechanism is documented, and a mechanism exists to update the System in response to user feedback.</w:t>
      </w:r>
    </w:p>
    <w:p>
      <w:pPr>
        <w:spacing w:after="110"/>
      </w:pPr>
      <w:r>
        <w:rPr>
          <w:rFonts w:ascii="Calibri" w:cs="Calibri" w:eastAsia="Calibri" w:hAnsi="Calibri"/>
          <w:color w:val="333A45"/>
          <w:sz w:val="21"/>
          <w:szCs w:val="21"/>
        </w:rPr>
        <w:t xml:space="preserve">10.5 </w:t>
      </w:r>
      <w:r>
        <w:rPr>
          <w:rFonts w:ascii="Calibri" w:cs="Calibri" w:eastAsia="Calibri" w:hAnsi="Calibri"/>
          <w:b/>
          <w:bCs/>
          <w:color w:val="333A45"/>
          <w:sz w:val="21"/>
          <w:szCs w:val="21"/>
        </w:rPr>
        <w:t xml:space="preserve">Third parties.</w:t>
      </w:r>
      <w:r>
        <w:rPr>
          <w:rFonts w:ascii="Calibri" w:cs="Calibri" w:eastAsia="Calibri" w:hAnsi="Calibri"/>
          <w:color w:val="333A45"/>
          <w:sz w:val="21"/>
          <w:szCs w:val="21"/>
        </w:rPr>
        <w:t xml:space="preserve"> A System must have been developed, designed, procured or otherwise obtained subject to </w:t>
      </w:r>
      <w:r>
        <w:rPr>
          <w:rFonts w:ascii="Calibri" w:cs="Calibri" w:eastAsia="Calibri" w:hAnsi="Calibri"/>
          <w:b/>
          <w:bCs/>
          <w:color w:val="333A45"/>
          <w:sz w:val="21"/>
          <w:szCs w:val="21"/>
        </w:rPr>
        <w:t xml:space="preserve">enhanced due diligence</w:t>
      </w:r>
      <w:r>
        <w:rPr>
          <w:rFonts w:ascii="Calibri" w:cs="Calibri" w:eastAsia="Calibri" w:hAnsi="Calibri"/>
          <w:color w:val="333A45"/>
          <w:sz w:val="21"/>
          <w:szCs w:val="21"/>
        </w:rPr>
        <w:t xml:space="preserve">, ensuring appropriate technical, organisational or contractual arrangements safeguard personal data, and that processors and other third parties related to the System's function </w:t>
      </w:r>
      <w:r>
        <w:rPr>
          <w:rFonts w:ascii="Calibri" w:cs="Calibri" w:eastAsia="Calibri" w:hAnsi="Calibri"/>
          <w:b/>
          <w:bCs/>
          <w:color w:val="333A45"/>
          <w:sz w:val="21"/>
          <w:szCs w:val="21"/>
        </w:rPr>
        <w:t xml:space="preserve">implement substantially similar measures</w:t>
      </w:r>
      <w:r>
        <w:rPr>
          <w:rFonts w:ascii="Calibri" w:cs="Calibri" w:eastAsia="Calibri" w:hAnsi="Calibri"/>
          <w:color w:val="333A45"/>
          <w:sz w:val="21"/>
          <w:szCs w:val="21"/>
        </w:rPr>
        <w:t xml:space="preserve">.</w:t>
      </w:r>
    </w:p>
    <w:p>
      <w:pPr>
        <w:spacing w:after="110"/>
      </w:pPr>
      <w:r>
        <w:rPr>
          <w:rFonts w:ascii="Calibri" w:cs="Calibri" w:eastAsia="Calibri" w:hAnsi="Calibri"/>
          <w:color w:val="333A45"/>
          <w:sz w:val="21"/>
          <w:szCs w:val="21"/>
        </w:rPr>
        <w:t xml:space="preserve">10.6 [ORGANISATION] holds, for each System: due diligence documentation recording how the Provider's System and its compliance were assessed; contracts clearly delineating data protection roles and responsibilities; contracts for international transfers including cross-border safeguards; and a review of the Provider's </w:t>
      </w:r>
      <w:r>
        <w:rPr>
          <w:rFonts w:ascii="Calibri" w:cs="Calibri" w:eastAsia="Calibri" w:hAnsi="Calibri"/>
          <w:b/>
          <w:bCs/>
          <w:color w:val="333A45"/>
          <w:sz w:val="21"/>
          <w:szCs w:val="21"/>
        </w:rPr>
        <w:t xml:space="preserve">data protection by design</w:t>
      </w:r>
      <w:r>
        <w:rPr>
          <w:rFonts w:ascii="Calibri" w:cs="Calibri" w:eastAsia="Calibri" w:hAnsi="Calibri"/>
          <w:color w:val="333A45"/>
          <w:sz w:val="21"/>
          <w:szCs w:val="21"/>
        </w:rPr>
        <w:t xml:space="preserve"> documentation.</w:t>
      </w:r>
    </w:p>
    <w:p>
      <w:pPr>
        <w:spacing w:after="110"/>
      </w:pPr>
      <w:r>
        <w:rPr>
          <w:rFonts w:ascii="Calibri" w:cs="Calibri" w:eastAsia="Calibri" w:hAnsi="Calibri"/>
          <w:color w:val="333A45"/>
          <w:sz w:val="21"/>
          <w:szCs w:val="21"/>
        </w:rPr>
        <w:t xml:space="preserve">10.7 </w:t>
      </w:r>
      <w:r>
        <w:rPr>
          <w:rFonts w:ascii="Calibri" w:cs="Calibri" w:eastAsia="Calibri" w:hAnsi="Calibri"/>
          <w:b/>
          <w:bCs/>
          <w:color w:val="333A45"/>
          <w:sz w:val="21"/>
          <w:szCs w:val="21"/>
        </w:rPr>
        <w:t xml:space="preserve">Roles and responsibilities regarding transparency and other compliance obligations in the supply chain must be clear.</w:t>
      </w:r>
      <w:r>
        <w:rPr>
          <w:rFonts w:ascii="Calibri" w:cs="Calibri" w:eastAsia="Calibri" w:hAnsi="Calibri"/>
          <w:color w:val="333A45"/>
          <w:sz w:val="21"/>
          <w:szCs w:val="21"/>
        </w:rPr>
        <w:t xml:space="preserve"> Where they are not, the arrangement is not approved.</w:t>
      </w:r>
    </w:p>
    <w:p>
      <w:pPr>
        <w:keepNext/>
        <w:pBdr>
          <w:bottom w:val="single" w:color="9DB9E8" w:sz="4" w:space="3"/>
        </w:pBdr>
        <w:spacing w:after="100" w:before="260"/>
      </w:pPr>
      <w:r>
        <w:rPr>
          <w:rFonts w:ascii="Calibri" w:cs="Calibri" w:eastAsia="Calibri" w:hAnsi="Calibri"/>
          <w:b/>
          <w:bCs/>
          <w:color w:val="2E5AAC"/>
          <w:sz w:val="26"/>
          <w:szCs w:val="26"/>
        </w:rPr>
        <w:t xml:space="preserve">11. Autonomy, self-defined purposes and human oversight</w:t>
      </w:r>
    </w:p>
    <w:p>
      <w:pPr>
        <w:spacing w:after="110"/>
      </w:pPr>
      <w:r>
        <w:rPr>
          <w:rFonts w:ascii="Calibri" w:cs="Calibri" w:eastAsia="Calibri" w:hAnsi="Calibri"/>
          <w:b/>
          <w:bCs/>
          <w:color w:val="333A45"/>
          <w:sz w:val="21"/>
          <w:szCs w:val="21"/>
        </w:rPr>
        <w:t xml:space="preserve">This section carries the requirements most specific to autonomous systems. It applies in addition to Section 15.</w:t>
      </w:r>
    </w:p>
    <w:p>
      <w:pPr>
        <w:spacing w:after="110"/>
      </w:pPr>
      <w:r>
        <w:rPr>
          <w:rFonts w:ascii="Calibri" w:cs="Calibri" w:eastAsia="Calibri" w:hAnsi="Calibri"/>
          <w:color w:val="333A45"/>
          <w:sz w:val="21"/>
          <w:szCs w:val="21"/>
        </w:rPr>
        <w:t xml:space="preserve">11.1 A System must act in accordance with technical and organisational measures and appropriate safeguards and controls, including disposal, vulnerability and attack detection, resilience, and </w:t>
      </w:r>
      <w:r>
        <w:rPr>
          <w:rFonts w:ascii="Calibri" w:cs="Calibri" w:eastAsia="Calibri" w:hAnsi="Calibri"/>
          <w:b/>
          <w:bCs/>
          <w:color w:val="333A45"/>
          <w:sz w:val="21"/>
          <w:szCs w:val="21"/>
        </w:rPr>
        <w:t xml:space="preserve">failure of human-defined processing purposes</w:t>
      </w:r>
      <w:r>
        <w:rPr>
          <w:rFonts w:ascii="Calibri" w:cs="Calibri" w:eastAsia="Calibri" w:hAnsi="Calibri"/>
          <w:color w:val="333A45"/>
          <w:sz w:val="21"/>
          <w:szCs w:val="21"/>
        </w:rPr>
        <w:t xml:space="preserve">.</w:t>
      </w:r>
    </w:p>
    <w:p>
      <w:pPr>
        <w:spacing w:after="110"/>
      </w:pPr>
      <w:r>
        <w:rPr>
          <w:rFonts w:ascii="Calibri" w:cs="Calibri" w:eastAsia="Calibri" w:hAnsi="Calibri"/>
          <w:color w:val="333A45"/>
          <w:sz w:val="21"/>
          <w:szCs w:val="21"/>
        </w:rPr>
        <w:t xml:space="preserve">11.2 </w:t>
      </w:r>
      <w:r>
        <w:rPr>
          <w:rFonts w:ascii="Calibri" w:cs="Calibri" w:eastAsia="Calibri" w:hAnsi="Calibri"/>
          <w:b/>
          <w:bCs/>
          <w:color w:val="333A45"/>
          <w:sz w:val="21"/>
          <w:szCs w:val="21"/>
        </w:rPr>
        <w:t xml:space="preserve">Any self-defined purpose generated by the System must conform to a predefined set of human-approved principles.</w:t>
      </w:r>
      <w:r>
        <w:rPr>
          <w:rFonts w:ascii="Calibri" w:cs="Calibri" w:eastAsia="Calibri" w:hAnsi="Calibri"/>
          <w:color w:val="333A45"/>
          <w:sz w:val="21"/>
          <w:szCs w:val="21"/>
        </w:rPr>
        <w:t xml:space="preserve"> Those principles are defined and approved before deployment, not derived afterwards from what the System did.</w:t>
      </w:r>
    </w:p>
    <w:p>
      <w:pPr>
        <w:spacing w:after="110"/>
      </w:pPr>
      <w:r>
        <w:rPr>
          <w:rFonts w:ascii="Calibri" w:cs="Calibri" w:eastAsia="Calibri" w:hAnsi="Calibri"/>
          <w:color w:val="333A45"/>
          <w:sz w:val="21"/>
          <w:szCs w:val="21"/>
        </w:rPr>
        <w:t xml:space="preserve">11.3 For every System, [ORGANISATION] records </w:t>
      </w:r>
      <w:r>
        <w:rPr>
          <w:rFonts w:ascii="Calibri" w:cs="Calibri" w:eastAsia="Calibri" w:hAnsi="Calibri"/>
          <w:b/>
          <w:bCs/>
          <w:color w:val="333A45"/>
          <w:sz w:val="21"/>
          <w:szCs w:val="21"/>
        </w:rPr>
        <w:t xml:space="preserve">the human-defined purposes</w:t>
      </w:r>
      <w:r>
        <w:rPr>
          <w:rFonts w:ascii="Calibri" w:cs="Calibri" w:eastAsia="Calibri" w:hAnsi="Calibri"/>
          <w:color w:val="333A45"/>
          <w:sz w:val="21"/>
          <w:szCs w:val="21"/>
        </w:rPr>
        <w:t xml:space="preserve">, </w:t>
      </w:r>
      <w:r>
        <w:rPr>
          <w:rFonts w:ascii="Calibri" w:cs="Calibri" w:eastAsia="Calibri" w:hAnsi="Calibri"/>
          <w:b/>
          <w:bCs/>
          <w:color w:val="333A45"/>
          <w:sz w:val="21"/>
          <w:szCs w:val="21"/>
        </w:rPr>
        <w:t xml:space="preserve">the human-defined principles</w:t>
      </w:r>
      <w:r>
        <w:rPr>
          <w:rFonts w:ascii="Calibri" w:cs="Calibri" w:eastAsia="Calibri" w:hAnsi="Calibri"/>
          <w:color w:val="333A45"/>
          <w:sz w:val="21"/>
          <w:szCs w:val="21"/>
        </w:rPr>
        <w:t xml:space="preserve">, and </w:t>
      </w:r>
      <w:r>
        <w:rPr>
          <w:rFonts w:ascii="Calibri" w:cs="Calibri" w:eastAsia="Calibri" w:hAnsi="Calibri"/>
          <w:b/>
          <w:bCs/>
          <w:color w:val="333A45"/>
          <w:sz w:val="21"/>
          <w:szCs w:val="21"/>
        </w:rPr>
        <w:t xml:space="preserve">all human-defined limits within which the System may define further purposes for itself</w:t>
      </w:r>
      <w:r>
        <w:rPr>
          <w:rFonts w:ascii="Calibri" w:cs="Calibri" w:eastAsia="Calibri" w:hAnsi="Calibri"/>
          <w:color w:val="333A45"/>
          <w:sz w:val="21"/>
          <w:szCs w:val="21"/>
        </w:rPr>
        <w:t xml:space="preserve">. A System whose limits cannot be stated is not deployed - see 10.3.</w:t>
      </w:r>
    </w:p>
    <w:p>
      <w:pPr>
        <w:spacing w:after="110"/>
      </w:pPr>
      <w:r>
        <w:rPr>
          <w:rFonts w:ascii="Calibri" w:cs="Calibri" w:eastAsia="Calibri" w:hAnsi="Calibri"/>
          <w:color w:val="333A45"/>
          <w:sz w:val="21"/>
          <w:szCs w:val="21"/>
        </w:rPr>
        <w:t xml:space="preserve">11.4 The evidence [ORGANISATION] maintains includes: system architecture documentation; </w:t>
      </w:r>
      <w:r>
        <w:rPr>
          <w:rFonts w:ascii="Calibri" w:cs="Calibri" w:eastAsia="Calibri" w:hAnsi="Calibri"/>
          <w:b/>
          <w:bCs/>
          <w:color w:val="333A45"/>
          <w:sz w:val="21"/>
          <w:szCs w:val="21"/>
        </w:rPr>
        <w:t xml:space="preserve">code review records assessing how the code implements human-defined purposes and the absence of self-defined purposes</w:t>
      </w:r>
      <w:r>
        <w:rPr>
          <w:rFonts w:ascii="Calibri" w:cs="Calibri" w:eastAsia="Calibri" w:hAnsi="Calibri"/>
          <w:color w:val="333A45"/>
          <w:sz w:val="21"/>
          <w:szCs w:val="21"/>
        </w:rPr>
        <w:t xml:space="preserve">; </w:t>
      </w:r>
      <w:r>
        <w:rPr>
          <w:rFonts w:ascii="Calibri" w:cs="Calibri" w:eastAsia="Calibri" w:hAnsi="Calibri"/>
          <w:b/>
          <w:bCs/>
          <w:color w:val="333A45"/>
          <w:sz w:val="21"/>
          <w:szCs w:val="21"/>
        </w:rPr>
        <w:t xml:space="preserve">processing purpose logs</w:t>
      </w:r>
      <w:r>
        <w:rPr>
          <w:rFonts w:ascii="Calibri" w:cs="Calibri" w:eastAsia="Calibri" w:hAnsi="Calibri"/>
          <w:color w:val="333A45"/>
          <w:sz w:val="21"/>
          <w:szCs w:val="21"/>
        </w:rPr>
        <w:t xml:space="preserve"> tracking the System's processing purposes and documenting that processing is in line with human-defined purposes; documentation of the externally predefined principles and how the System conforms to them; internal policies on how the System should operate; and </w:t>
      </w:r>
      <w:r>
        <w:rPr>
          <w:rFonts w:ascii="Calibri" w:cs="Calibri" w:eastAsia="Calibri" w:hAnsi="Calibri"/>
          <w:b/>
          <w:bCs/>
          <w:color w:val="333A45"/>
          <w:sz w:val="21"/>
          <w:szCs w:val="21"/>
        </w:rPr>
        <w:t xml:space="preserve">algorithmic audits</w:t>
      </w:r>
      <w:r>
        <w:rPr>
          <w:rFonts w:ascii="Calibri" w:cs="Calibri" w:eastAsia="Calibri" w:hAnsi="Calibri"/>
          <w:color w:val="333A45"/>
          <w:sz w:val="21"/>
          <w:szCs w:val="21"/>
        </w:rPr>
        <w:t xml:space="preserve"> assessing the algorithms against human-defined processing purposes, with any corrective actions taken.</w:t>
      </w:r>
    </w:p>
    <w:p>
      <w:pPr>
        <w:spacing w:after="110"/>
      </w:pPr>
      <w:r>
        <w:rPr>
          <w:rFonts w:ascii="Calibri" w:cs="Calibri" w:eastAsia="Calibri" w:hAnsi="Calibri"/>
          <w:color w:val="333A45"/>
          <w:sz w:val="21"/>
          <w:szCs w:val="21"/>
        </w:rPr>
        <w:t xml:space="preserve">11.5 </w:t>
      </w:r>
      <w:r>
        <w:rPr>
          <w:rFonts w:ascii="Calibri" w:cs="Calibri" w:eastAsia="Calibri" w:hAnsi="Calibri"/>
          <w:b/>
          <w:bCs/>
          <w:color w:val="333A45"/>
          <w:sz w:val="21"/>
          <w:szCs w:val="21"/>
        </w:rPr>
        <w:t xml:space="preserve">Processing purpose logging is a design requirement, not a monitoring preference.</w:t>
      </w:r>
      <w:r>
        <w:rPr>
          <w:rFonts w:ascii="Calibri" w:cs="Calibri" w:eastAsia="Calibri" w:hAnsi="Calibri"/>
          <w:color w:val="333A45"/>
          <w:sz w:val="21"/>
          <w:szCs w:val="21"/>
        </w:rPr>
        <w:t xml:space="preserve"> A System that cannot produce a record of the purposes it actually processed for cannot evidence 11.2, and is not approved for High Risk Processing.</w:t>
      </w:r>
    </w:p>
    <w:p>
      <w:pPr>
        <w:spacing w:after="110"/>
      </w:pPr>
      <w:r>
        <w:rPr>
          <w:rFonts w:ascii="Calibri" w:cs="Calibri" w:eastAsia="Calibri" w:hAnsi="Calibri"/>
          <w:color w:val="333A45"/>
          <w:sz w:val="21"/>
          <w:szCs w:val="21"/>
        </w:rPr>
        <w:t xml:space="preserve">11.6 [ORGANISATION] maintains mechanisms assuring </w:t>
      </w:r>
      <w:r>
        <w:rPr>
          <w:rFonts w:ascii="Calibri" w:cs="Calibri" w:eastAsia="Calibri" w:hAnsi="Calibri"/>
          <w:b/>
          <w:bCs/>
          <w:color w:val="333A45"/>
          <w:sz w:val="21"/>
          <w:szCs w:val="21"/>
        </w:rPr>
        <w:t xml:space="preserve">routine review of the System's processing purposes, of the output it produces, and of the manner in which that output is used, ensuring human oversight throughout</w:t>
      </w:r>
      <w:r>
        <w:rPr>
          <w:rFonts w:ascii="Calibri" w:cs="Calibri" w:eastAsia="Calibri" w:hAnsi="Calibri"/>
          <w:color w:val="333A45"/>
          <w:sz w:val="21"/>
          <w:szCs w:val="21"/>
        </w:rPr>
        <w:t xml:space="preserve">. The review covers all three; reviewing the output alone does not satisfy it.</w:t>
      </w:r>
    </w:p>
    <w:p>
      <w:pPr>
        <w:spacing w:after="110"/>
      </w:pPr>
      <w:r>
        <w:rPr>
          <w:rFonts w:ascii="Calibri" w:cs="Calibri" w:eastAsia="Calibri" w:hAnsi="Calibri"/>
          <w:color w:val="333A45"/>
          <w:sz w:val="21"/>
          <w:szCs w:val="21"/>
        </w:rPr>
        <w:t xml:space="preserve">11.7 Evidence of oversight includes documented oversight processes with measures for receiving, investigating and responding to complaints about the System's function and outputs; audit and review reports; training records for oversight personnel; feedback logs; System adaptations maintaining alignment with intended purposes; and, where [ORGANISATION] has one, an ethics committee.</w:t>
      </w:r>
    </w:p>
    <w:p>
      <w:pPr>
        <w:keepNext/>
        <w:pBdr>
          <w:bottom w:val="single" w:color="9DB9E8" w:sz="4" w:space="3"/>
        </w:pBdr>
        <w:spacing w:after="100" w:before="260"/>
      </w:pPr>
      <w:r>
        <w:rPr>
          <w:rFonts w:ascii="Calibri" w:cs="Calibri" w:eastAsia="Calibri" w:hAnsi="Calibri"/>
          <w:b/>
          <w:bCs/>
          <w:color w:val="2E5AAC"/>
          <w:sz w:val="26"/>
          <w:szCs w:val="26"/>
        </w:rPr>
        <w:t xml:space="preserve">12. The Automated Systems Officer</w:t>
      </w:r>
    </w:p>
    <w:p>
      <w:pPr>
        <w:spacing w:after="110"/>
      </w:pPr>
      <w:r>
        <w:rPr>
          <w:rFonts w:ascii="Calibri" w:cs="Calibri" w:eastAsia="Calibri" w:hAnsi="Calibri"/>
          <w:color w:val="333A45"/>
          <w:sz w:val="21"/>
          <w:szCs w:val="21"/>
        </w:rPr>
        <w:t xml:space="preserve">12.1 A System used for High Risk Processing must be </w:t>
      </w:r>
      <w:r>
        <w:rPr>
          <w:rFonts w:ascii="Calibri" w:cs="Calibri" w:eastAsia="Calibri" w:hAnsi="Calibri"/>
          <w:b/>
          <w:bCs/>
          <w:color w:val="333A45"/>
          <w:sz w:val="21"/>
          <w:szCs w:val="21"/>
        </w:rPr>
        <w:t xml:space="preserve">monitored by an Automated Systems Officer (ASO)</w:t>
      </w:r>
      <w:r>
        <w:rPr>
          <w:rFonts w:ascii="Calibri" w:cs="Calibri" w:eastAsia="Calibri" w:hAnsi="Calibri"/>
          <w:color w:val="333A45"/>
          <w:sz w:val="21"/>
          <w:szCs w:val="21"/>
        </w:rPr>
        <w:t xml:space="preserve">, having at minimum the same or similar </w:t>
      </w:r>
      <w:r>
        <w:rPr>
          <w:rFonts w:ascii="Calibri" w:cs="Calibri" w:eastAsia="Calibri" w:hAnsi="Calibri"/>
          <w:b/>
          <w:bCs/>
          <w:color w:val="333A45"/>
          <w:sz w:val="21"/>
          <w:szCs w:val="21"/>
        </w:rPr>
        <w:t xml:space="preserve">competencies, status, role and tasks as a Data Protection Officer</w:t>
      </w:r>
      <w:r>
        <w:rPr>
          <w:rFonts w:ascii="Calibri" w:cs="Calibri" w:eastAsia="Calibri" w:hAnsi="Calibri"/>
          <w:color w:val="333A45"/>
          <w:sz w:val="21"/>
          <w:szCs w:val="21"/>
        </w:rPr>
        <w:t xml:space="preserve"> under the law, and in addition the </w:t>
      </w:r>
      <w:r>
        <w:rPr>
          <w:rFonts w:ascii="Calibri" w:cs="Calibri" w:eastAsia="Calibri" w:hAnsi="Calibri"/>
          <w:b/>
          <w:bCs/>
          <w:color w:val="333A45"/>
          <w:sz w:val="21"/>
          <w:szCs w:val="21"/>
        </w:rPr>
        <w:t xml:space="preserve">technical and organisational expertise</w:t>
      </w:r>
      <w:r>
        <w:rPr>
          <w:rFonts w:ascii="Calibri" w:cs="Calibri" w:eastAsia="Calibri" w:hAnsi="Calibri"/>
          <w:color w:val="333A45"/>
          <w:sz w:val="21"/>
          <w:szCs w:val="21"/>
        </w:rPr>
        <w:t xml:space="preserve"> to ensure effective governance and oversight of the System and the ongoing validity of its certification.</w:t>
      </w:r>
    </w:p>
    <w:p>
      <w:pPr>
        <w:spacing w:after="110"/>
      </w:pPr>
      <w:r>
        <w:rPr>
          <w:rFonts w:ascii="Calibri" w:cs="Calibri" w:eastAsia="Calibri" w:hAnsi="Calibri"/>
          <w:color w:val="333A45"/>
          <w:sz w:val="21"/>
          <w:szCs w:val="21"/>
        </w:rPr>
        <w:t xml:space="preserve">12.2 The ASO's job profile specifies technical knowledge of Systems, ethics, data protection, risk management, complaints handling and remediation, and regulatory and legal requirements.</w:t>
      </w:r>
    </w:p>
    <w:p>
      <w:pPr>
        <w:spacing w:after="110"/>
      </w:pPr>
      <w:r>
        <w:rPr>
          <w:rFonts w:ascii="Calibri" w:cs="Calibri" w:eastAsia="Calibri" w:hAnsi="Calibri"/>
          <w:color w:val="333A45"/>
          <w:sz w:val="21"/>
          <w:szCs w:val="21"/>
        </w:rPr>
        <w:t xml:space="preserve">12.3 </w:t>
      </w:r>
      <w:r>
        <w:rPr>
          <w:rFonts w:ascii="Calibri" w:cs="Calibri" w:eastAsia="Calibri" w:hAnsi="Calibri"/>
          <w:b/>
          <w:bCs/>
          <w:color w:val="333A45"/>
          <w:sz w:val="21"/>
          <w:szCs w:val="21"/>
        </w:rPr>
        <w:t xml:space="preserve">There must be no gap of more than one month</w:t>
      </w:r>
      <w:r>
        <w:rPr>
          <w:rFonts w:ascii="Calibri" w:cs="Calibri" w:eastAsia="Calibri" w:hAnsi="Calibri"/>
          <w:color w:val="333A45"/>
          <w:sz w:val="21"/>
          <w:szCs w:val="21"/>
        </w:rPr>
        <w:t xml:space="preserve"> before the operation of a System for High Risk Processing, or between an outgoing ASO and a replacement, unless the Commissioner approves an exception for extenuating circumstances.</w:t>
      </w:r>
    </w:p>
    <w:p>
      <w:pPr>
        <w:spacing w:after="110"/>
      </w:pPr>
      <w:r>
        <w:rPr>
          <w:rFonts w:ascii="Calibri" w:cs="Calibri" w:eastAsia="Calibri" w:hAnsi="Calibri"/>
          <w:color w:val="333A45"/>
          <w:sz w:val="21"/>
          <w:szCs w:val="21"/>
        </w:rPr>
        <w:t xml:space="preserve">12.4 </w:t>
      </w:r>
      <w:r>
        <w:rPr>
          <w:rFonts w:ascii="Calibri" w:cs="Calibri" w:eastAsia="Calibri" w:hAnsi="Calibri"/>
          <w:b/>
          <w:bCs/>
          <w:color w:val="333A45"/>
          <w:sz w:val="21"/>
          <w:szCs w:val="21"/>
        </w:rPr>
        <w:t xml:space="preserve">[ORGANISATION] treats 12.3 as a hard operational constraint.</w:t>
      </w:r>
      <w:r>
        <w:rPr>
          <w:rFonts w:ascii="Calibri" w:cs="Calibri" w:eastAsia="Calibri" w:hAnsi="Calibri"/>
          <w:color w:val="333A45"/>
          <w:sz w:val="21"/>
          <w:szCs w:val="21"/>
        </w:rPr>
        <w:t xml:space="preserve"> A named deputy is recorded for the ASO at all times, and an ASO departure triggers the succession process on the day notice is given, not on the day of departure.</w:t>
      </w:r>
    </w:p>
    <w:p>
      <w:pPr>
        <w:spacing w:after="110"/>
      </w:pPr>
      <w:r>
        <w:rPr>
          <w:rFonts w:ascii="Calibri" w:cs="Calibri" w:eastAsia="Calibri" w:hAnsi="Calibri"/>
          <w:color w:val="333A45"/>
          <w:sz w:val="21"/>
          <w:szCs w:val="21"/>
        </w:rPr>
        <w:t xml:space="preserve">12.5 [ORGANISATION] provides appropriate support so the ASO may </w:t>
      </w:r>
      <w:r>
        <w:rPr>
          <w:rFonts w:ascii="Calibri" w:cs="Calibri" w:eastAsia="Calibri" w:hAnsi="Calibri"/>
          <w:b/>
          <w:bCs/>
          <w:color w:val="333A45"/>
          <w:sz w:val="21"/>
          <w:szCs w:val="21"/>
        </w:rPr>
        <w:t xml:space="preserve">independently</w:t>
      </w:r>
      <w:r>
        <w:rPr>
          <w:rFonts w:ascii="Calibri" w:cs="Calibri" w:eastAsia="Calibri" w:hAnsi="Calibri"/>
          <w:color w:val="333A45"/>
          <w:sz w:val="21"/>
          <w:szCs w:val="21"/>
        </w:rPr>
        <w:t xml:space="preserve"> review and assess audit documentation against the certification requirements, and provides a </w:t>
      </w:r>
      <w:r>
        <w:rPr>
          <w:rFonts w:ascii="Calibri" w:cs="Calibri" w:eastAsia="Calibri" w:hAnsi="Calibri"/>
          <w:b/>
          <w:bCs/>
          <w:color w:val="333A45"/>
          <w:sz w:val="21"/>
          <w:szCs w:val="21"/>
        </w:rPr>
        <w:t xml:space="preserve">gap analysis, risk register and management action plan</w:t>
      </w:r>
      <w:r>
        <w:rPr>
          <w:rFonts w:ascii="Calibri" w:cs="Calibri" w:eastAsia="Calibri" w:hAnsi="Calibri"/>
          <w:color w:val="333A45"/>
          <w:sz w:val="21"/>
          <w:szCs w:val="21"/>
        </w:rPr>
        <w:t xml:space="preserve"> where required to remedy identified risks.</w:t>
      </w:r>
    </w:p>
    <w:p>
      <w:pPr>
        <w:spacing w:after="110"/>
      </w:pPr>
      <w:r>
        <w:rPr>
          <w:rFonts w:ascii="Calibri" w:cs="Calibri" w:eastAsia="Calibri" w:hAnsi="Calibri"/>
          <w:color w:val="333A45"/>
          <w:sz w:val="21"/>
          <w:szCs w:val="21"/>
        </w:rPr>
        <w:t xml:space="preserve">12.6 The ASO role is distinct from the Data Protection Officer role. Where one person holds both, the committee records why that does not compromise the independence at 12.5, and reviews the position annually.</w:t>
      </w:r>
    </w:p>
    <w:p>
      <w:pPr>
        <w:keepNext/>
        <w:pBdr>
          <w:bottom w:val="single" w:color="9DB9E8" w:sz="4" w:space="3"/>
        </w:pBdr>
        <w:spacing w:after="100" w:before="260"/>
      </w:pPr>
      <w:r>
        <w:rPr>
          <w:rFonts w:ascii="Calibri" w:cs="Calibri" w:eastAsia="Calibri" w:hAnsi="Calibri"/>
          <w:b/>
          <w:bCs/>
          <w:color w:val="2E5AAC"/>
          <w:sz w:val="26"/>
          <w:szCs w:val="26"/>
        </w:rPr>
        <w:t xml:space="preserve">13. Bias, data quality and monitoring</w:t>
      </w:r>
    </w:p>
    <w:p>
      <w:pPr>
        <w:spacing w:after="110"/>
      </w:pPr>
      <w:r>
        <w:rPr>
          <w:rFonts w:ascii="Calibri" w:cs="Calibri" w:eastAsia="Calibri" w:hAnsi="Calibri"/>
          <w:color w:val="333A45"/>
          <w:sz w:val="21"/>
          <w:szCs w:val="21"/>
        </w:rPr>
        <w:t xml:space="preserve">13.1 A System used for High Risk Processing must be deployed with </w:t>
      </w:r>
      <w:r>
        <w:rPr>
          <w:rFonts w:ascii="Calibri" w:cs="Calibri" w:eastAsia="Calibri" w:hAnsi="Calibri"/>
          <w:b/>
          <w:bCs/>
          <w:color w:val="333A45"/>
          <w:sz w:val="21"/>
          <w:szCs w:val="21"/>
        </w:rPr>
        <w:t xml:space="preserve">appropriate measures in place to identify and mitigate risks of bias and discrimination</w:t>
      </w:r>
      <w:r>
        <w:rPr>
          <w:rFonts w:ascii="Calibri" w:cs="Calibri" w:eastAsia="Calibri" w:hAnsi="Calibri"/>
          <w:color w:val="333A45"/>
          <w:sz w:val="21"/>
          <w:szCs w:val="21"/>
        </w:rPr>
        <w:t xml:space="preserve">.</w:t>
      </w:r>
    </w:p>
    <w:p>
      <w:pPr>
        <w:spacing w:after="110"/>
      </w:pPr>
      <w:r>
        <w:rPr>
          <w:rFonts w:ascii="Calibri" w:cs="Calibri" w:eastAsia="Calibri" w:hAnsi="Calibri"/>
          <w:color w:val="333A45"/>
          <w:sz w:val="21"/>
          <w:szCs w:val="21"/>
        </w:rPr>
        <w:t xml:space="preserve">13.2 The evidence [ORGANISATION] maintains includes: job descriptions setting out education, training or experience in ensuring fairness; training programmes on reducing bias; </w:t>
      </w:r>
      <w:r>
        <w:rPr>
          <w:rFonts w:ascii="Calibri" w:cs="Calibri" w:eastAsia="Calibri" w:hAnsi="Calibri"/>
          <w:b/>
          <w:bCs/>
          <w:color w:val="333A45"/>
          <w:sz w:val="21"/>
          <w:szCs w:val="21"/>
        </w:rPr>
        <w:t xml:space="preserve">review and evaluation processes to identify and correct potential bias issues</w:t>
      </w:r>
      <w:r>
        <w:rPr>
          <w:rFonts w:ascii="Calibri" w:cs="Calibri" w:eastAsia="Calibri" w:hAnsi="Calibri"/>
          <w:color w:val="333A45"/>
          <w:sz w:val="21"/>
          <w:szCs w:val="21"/>
        </w:rPr>
        <w:t xml:space="preserve">; </w:t>
      </w:r>
      <w:r>
        <w:rPr>
          <w:rFonts w:ascii="Calibri" w:cs="Calibri" w:eastAsia="Calibri" w:hAnsi="Calibri"/>
          <w:b/>
          <w:bCs/>
          <w:color w:val="333A45"/>
          <w:sz w:val="21"/>
          <w:szCs w:val="21"/>
        </w:rPr>
        <w:t xml:space="preserve">model modifications made to address biases</w:t>
      </w:r>
      <w:r>
        <w:rPr>
          <w:rFonts w:ascii="Calibri" w:cs="Calibri" w:eastAsia="Calibri" w:hAnsi="Calibri"/>
          <w:color w:val="333A45"/>
          <w:sz w:val="21"/>
          <w:szCs w:val="21"/>
        </w:rPr>
        <w:t xml:space="preserve">; and data quality assessments.</w:t>
      </w:r>
    </w:p>
    <w:p>
      <w:pPr>
        <w:spacing w:after="110"/>
      </w:pPr>
      <w:r>
        <w:rPr>
          <w:rFonts w:ascii="Calibri" w:cs="Calibri" w:eastAsia="Calibri" w:hAnsi="Calibri"/>
          <w:color w:val="333A45"/>
          <w:sz w:val="21"/>
          <w:szCs w:val="21"/>
        </w:rPr>
        <w:t xml:space="preserve">13.3 The fourth item is evidence of remediation, not of testing. </w:t>
      </w:r>
      <w:r>
        <w:rPr>
          <w:rFonts w:ascii="Calibri" w:cs="Calibri" w:eastAsia="Calibri" w:hAnsi="Calibri"/>
          <w:b/>
          <w:bCs/>
          <w:color w:val="333A45"/>
          <w:sz w:val="21"/>
          <w:szCs w:val="21"/>
        </w:rPr>
        <w:t xml:space="preserve">Finding bias and not changing the model does not satisfy 13.1.</w:t>
      </w:r>
    </w:p>
    <w:p>
      <w:pPr>
        <w:spacing w:after="110"/>
      </w:pPr>
      <w:r>
        <w:rPr>
          <w:rFonts w:ascii="Calibri" w:cs="Calibri" w:eastAsia="Calibri" w:hAnsi="Calibri"/>
          <w:color w:val="333A45"/>
          <w:sz w:val="21"/>
          <w:szCs w:val="21"/>
        </w:rPr>
        <w:t xml:space="preserve">13.4 A System must be designed to ensure that, so far as possible, the data and datasets it processes are </w:t>
      </w:r>
      <w:r>
        <w:rPr>
          <w:rFonts w:ascii="Calibri" w:cs="Calibri" w:eastAsia="Calibri" w:hAnsi="Calibri"/>
          <w:b/>
          <w:bCs/>
          <w:color w:val="333A45"/>
          <w:sz w:val="21"/>
          <w:szCs w:val="21"/>
        </w:rPr>
        <w:t xml:space="preserve">accurate, quality-assessed, reliable, relevant and limited to its specific purpose</w:t>
      </w:r>
      <w:r>
        <w:rPr>
          <w:rFonts w:ascii="Calibri" w:cs="Calibri" w:eastAsia="Calibri" w:hAnsi="Calibri"/>
          <w:color w:val="333A45"/>
          <w:sz w:val="21"/>
          <w:szCs w:val="21"/>
        </w:rPr>
        <w:t xml:space="preserve">, and, where required, </w:t>
      </w:r>
      <w:r>
        <w:rPr>
          <w:rFonts w:ascii="Calibri" w:cs="Calibri" w:eastAsia="Calibri" w:hAnsi="Calibri"/>
          <w:b/>
          <w:bCs/>
          <w:color w:val="333A45"/>
          <w:sz w:val="21"/>
          <w:szCs w:val="21"/>
        </w:rPr>
        <w:t xml:space="preserve">human intervention for review and assurance is designed into the System</w:t>
      </w:r>
      <w:r>
        <w:rPr>
          <w:rFonts w:ascii="Calibri" w:cs="Calibri" w:eastAsia="Calibri" w:hAnsi="Calibri"/>
          <w:color w:val="333A45"/>
          <w:sz w:val="21"/>
          <w:szCs w:val="21"/>
        </w:rPr>
        <w:t xml:space="preserve">.</w:t>
      </w:r>
    </w:p>
    <w:p>
      <w:pPr>
        <w:spacing w:after="110"/>
      </w:pPr>
      <w:r>
        <w:rPr>
          <w:rFonts w:ascii="Calibri" w:cs="Calibri" w:eastAsia="Calibri" w:hAnsi="Calibri"/>
          <w:color w:val="333A45"/>
          <w:sz w:val="21"/>
          <w:szCs w:val="21"/>
        </w:rPr>
        <w:t xml:space="preserve">13.5 [ORGANISATION] documents: a data inventory evidencing that training and operating datasets are adequately sized and relevant; the availability of metadata describing those datasets; the use of </w:t>
      </w:r>
      <w:r>
        <w:rPr>
          <w:rFonts w:ascii="Calibri" w:cs="Calibri" w:eastAsia="Calibri" w:hAnsi="Calibri"/>
          <w:b/>
          <w:bCs/>
          <w:color w:val="333A45"/>
          <w:sz w:val="21"/>
          <w:szCs w:val="21"/>
        </w:rPr>
        <w:t xml:space="preserve">privacy-preserving methodologies</w:t>
      </w:r>
      <w:r>
        <w:rPr>
          <w:rFonts w:ascii="Calibri" w:cs="Calibri" w:eastAsia="Calibri" w:hAnsi="Calibri"/>
          <w:color w:val="333A45"/>
          <w:sz w:val="21"/>
          <w:szCs w:val="21"/>
        </w:rPr>
        <w:t xml:space="preserve"> that reduce the personal data that must be collected, stored or processed; measures to periodically review and update datasets for accuracy, quality, currency, relevance and reliability; and statistical assessments verifying the currency and validity of the data processed.</w:t>
      </w:r>
    </w:p>
    <w:p>
      <w:pPr>
        <w:spacing w:after="110"/>
      </w:pPr>
      <w:r>
        <w:rPr>
          <w:rFonts w:ascii="Calibri" w:cs="Calibri" w:eastAsia="Calibri" w:hAnsi="Calibri"/>
          <w:color w:val="333A45"/>
          <w:sz w:val="21"/>
          <w:szCs w:val="21"/>
        </w:rPr>
        <w:t xml:space="preserve">13.6 [ORGANISATION] maintains </w:t>
      </w:r>
      <w:r>
        <w:rPr>
          <w:rFonts w:ascii="Calibri" w:cs="Calibri" w:eastAsia="Calibri" w:hAnsi="Calibri"/>
          <w:b/>
          <w:bCs/>
          <w:color w:val="333A45"/>
          <w:sz w:val="21"/>
          <w:szCs w:val="21"/>
        </w:rPr>
        <w:t xml:space="preserve">active monitoring of the use and quality of collected personal data</w:t>
      </w:r>
      <w:r>
        <w:rPr>
          <w:rFonts w:ascii="Calibri" w:cs="Calibri" w:eastAsia="Calibri" w:hAnsi="Calibri"/>
          <w:color w:val="333A45"/>
          <w:sz w:val="21"/>
          <w:szCs w:val="21"/>
        </w:rPr>
        <w:t xml:space="preserve">, and </w:t>
      </w:r>
      <w:r>
        <w:rPr>
          <w:rFonts w:ascii="Calibri" w:cs="Calibri" w:eastAsia="Calibri" w:hAnsi="Calibri"/>
          <w:b/>
          <w:bCs/>
          <w:color w:val="333A45"/>
          <w:sz w:val="21"/>
          <w:szCs w:val="21"/>
        </w:rPr>
        <w:t xml:space="preserve">review or regular model tuning</w:t>
      </w:r>
      <w:r>
        <w:rPr>
          <w:rFonts w:ascii="Calibri" w:cs="Calibri" w:eastAsia="Calibri" w:hAnsi="Calibri"/>
          <w:color w:val="333A45"/>
          <w:sz w:val="21"/>
          <w:szCs w:val="21"/>
        </w:rPr>
        <w:t xml:space="preserve"> where appropriate - for example on changes to customer behaviour, commercial objectives, risks, or corporate values - and a mechanism for </w:t>
      </w:r>
      <w:r>
        <w:rPr>
          <w:rFonts w:ascii="Calibri" w:cs="Calibri" w:eastAsia="Calibri" w:hAnsi="Calibri"/>
          <w:b/>
          <w:bCs/>
          <w:color w:val="333A45"/>
          <w:sz w:val="21"/>
          <w:szCs w:val="21"/>
        </w:rPr>
        <w:t xml:space="preserve">giving and receiving updates to and from third parties</w:t>
      </w:r>
      <w:r>
        <w:rPr>
          <w:rFonts w:ascii="Calibri" w:cs="Calibri" w:eastAsia="Calibri" w:hAnsi="Calibri"/>
          <w:color w:val="333A45"/>
          <w:sz w:val="21"/>
          <w:szCs w:val="21"/>
        </w:rPr>
        <w:t xml:space="preserve"> about the quality and use of personal data collected through the System.</w:t>
      </w:r>
    </w:p>
    <w:p>
      <w:pPr>
        <w:spacing w:after="110"/>
      </w:pPr>
      <w:r>
        <w:rPr>
          <w:rFonts w:ascii="Calibri" w:cs="Calibri" w:eastAsia="Calibri" w:hAnsi="Calibri"/>
          <w:color w:val="333A45"/>
          <w:sz w:val="21"/>
          <w:szCs w:val="21"/>
        </w:rPr>
        <w:t xml:space="preserve">13.7 </w:t>
      </w:r>
      <w:r>
        <w:rPr>
          <w:rFonts w:ascii="Calibri" w:cs="Calibri" w:eastAsia="Calibri" w:hAnsi="Calibri"/>
          <w:b/>
          <w:bCs/>
          <w:color w:val="333A45"/>
          <w:sz w:val="21"/>
          <w:szCs w:val="21"/>
        </w:rPr>
        <w:t xml:space="preserve">Robustness and resilience.</w:t>
      </w:r>
      <w:r>
        <w:rPr>
          <w:rFonts w:ascii="Calibri" w:cs="Calibri" w:eastAsia="Calibri" w:hAnsi="Calibri"/>
          <w:color w:val="333A45"/>
          <w:sz w:val="21"/>
          <w:szCs w:val="21"/>
        </w:rPr>
        <w:t xml:space="preserve"> A System must guard against unauthorised access exploiting vulnerabilities, and against faults or errors arising from </w:t>
      </w:r>
      <w:r>
        <w:rPr>
          <w:rFonts w:ascii="Calibri" w:cs="Calibri" w:eastAsia="Calibri" w:hAnsi="Calibri"/>
          <w:b/>
          <w:bCs/>
          <w:color w:val="333A45"/>
          <w:sz w:val="21"/>
          <w:szCs w:val="21"/>
        </w:rPr>
        <w:t xml:space="preserve">changes in the System's environment</w:t>
      </w:r>
      <w:r>
        <w:rPr>
          <w:rFonts w:ascii="Calibri" w:cs="Calibri" w:eastAsia="Calibri" w:hAnsi="Calibri"/>
          <w:color w:val="333A45"/>
          <w:sz w:val="21"/>
          <w:szCs w:val="21"/>
        </w:rPr>
        <w:t xml:space="preserve">. Evidence includes policies and procedures against attacks such as </w:t>
      </w:r>
      <w:r>
        <w:rPr>
          <w:rFonts w:ascii="Calibri" w:cs="Calibri" w:eastAsia="Calibri" w:hAnsi="Calibri"/>
          <w:b/>
          <w:bCs/>
          <w:color w:val="333A45"/>
          <w:sz w:val="21"/>
          <w:szCs w:val="21"/>
        </w:rPr>
        <w:t xml:space="preserve">data poisoning</w:t>
      </w:r>
      <w:r>
        <w:rPr>
          <w:rFonts w:ascii="Calibri" w:cs="Calibri" w:eastAsia="Calibri" w:hAnsi="Calibri"/>
          <w:color w:val="333A45"/>
          <w:sz w:val="21"/>
          <w:szCs w:val="21"/>
        </w:rPr>
        <w:t xml:space="preserve">, security architecture documentation, training on recognising and mitigating attacks, documented error-handling mechanisms and contingency plans, and incident reports.</w:t>
      </w:r>
    </w:p>
    <w:p>
      <w:pPr>
        <w:keepNext/>
        <w:pBdr>
          <w:bottom w:val="single" w:color="9DB9E8" w:sz="4" w:space="3"/>
        </w:pBdr>
        <w:spacing w:after="100" w:before="260"/>
      </w:pPr>
      <w:r>
        <w:rPr>
          <w:rFonts w:ascii="Calibri" w:cs="Calibri" w:eastAsia="Calibri" w:hAnsi="Calibri"/>
          <w:b/>
          <w:bCs/>
          <w:color w:val="2E5AAC"/>
          <w:sz w:val="26"/>
          <w:szCs w:val="26"/>
        </w:rPr>
        <w:t xml:space="preserve">14. Personal data breach - three regimes, three answers</w:t>
      </w:r>
    </w:p>
    <w:p>
      <w:pPr>
        <w:spacing w:after="110"/>
      </w:pPr>
      <w:r>
        <w:rPr>
          <w:rFonts w:ascii="Calibri" w:cs="Calibri" w:eastAsia="Calibri" w:hAnsi="Calibri"/>
          <w:b/>
          <w:bCs/>
          <w:color w:val="333A45"/>
          <w:sz w:val="21"/>
          <w:szCs w:val="21"/>
        </w:rPr>
        <w:t xml:space="preserve">The breach clock is where applying the wrong regime does the most damage. Read 14.1 before 14.2 or 14.3.</w:t>
      </w:r>
    </w:p>
    <w:p>
      <w:pPr>
        <w:spacing w:after="110"/>
      </w:pPr>
      <w:r>
        <w:rPr>
          <w:rFonts w:ascii="Calibri" w:cs="Calibri" w:eastAsia="Calibri" w:hAnsi="Calibri"/>
          <w:color w:val="333A45"/>
          <w:sz w:val="21"/>
          <w:szCs w:val="21"/>
        </w:rPr>
        <w:t xml:space="preserve">14.1 </w:t>
      </w:r>
      <w:r>
        <w:rPr>
          <w:rFonts w:ascii="Calibri" w:cs="Calibri" w:eastAsia="Calibri" w:hAnsi="Calibri"/>
          <w:b/>
          <w:bCs/>
          <w:color w:val="333A45"/>
          <w:sz w:val="21"/>
          <w:szCs w:val="21"/>
        </w:rPr>
        <w:t xml:space="preserve">DIFC.</w:t>
      </w:r>
      <w:r>
        <w:rPr>
          <w:rFonts w:ascii="Calibri" w:cs="Calibri" w:eastAsia="Calibri" w:hAnsi="Calibri"/>
          <w:color w:val="333A45"/>
          <w:sz w:val="21"/>
          <w:szCs w:val="21"/>
        </w:rPr>
        <w:t xml:space="preserve"> Notification to the Commissioner is required </w:t>
      </w:r>
      <w:r>
        <w:rPr>
          <w:rFonts w:ascii="Calibri" w:cs="Calibri" w:eastAsia="Calibri" w:hAnsi="Calibri"/>
          <w:b/>
          <w:bCs/>
          <w:color w:val="333A45"/>
          <w:sz w:val="21"/>
          <w:szCs w:val="21"/>
        </w:rPr>
        <w:t xml:space="preserve">as soon as practicable in the circumstances</w:t>
      </w:r>
      <w:r>
        <w:rPr>
          <w:rFonts w:ascii="Calibri" w:cs="Calibri" w:eastAsia="Calibri" w:hAnsi="Calibri"/>
          <w:color w:val="333A45"/>
          <w:sz w:val="21"/>
          <w:szCs w:val="21"/>
        </w:rPr>
        <w:t xml:space="preserve">, for a breach that compromises an individual's confidentiality, security or privacy. </w:t>
      </w:r>
      <w:r>
        <w:rPr>
          <w:rFonts w:ascii="Calibri" w:cs="Calibri" w:eastAsia="Calibri" w:hAnsi="Calibri"/>
          <w:b/>
          <w:bCs/>
          <w:color w:val="333A45"/>
          <w:sz w:val="21"/>
          <w:szCs w:val="21"/>
        </w:rPr>
        <w:t xml:space="preserve">There is no fixed period in the DIFC law.</w:t>
      </w:r>
    </w:p>
    <w:p>
      <w:pPr>
        <w:spacing w:after="110"/>
      </w:pPr>
      <w:r>
        <w:rPr>
          <w:rFonts w:ascii="Calibri" w:cs="Calibri" w:eastAsia="Calibri" w:hAnsi="Calibri"/>
          <w:b/>
          <w:bCs/>
          <w:color w:val="333A45"/>
          <w:sz w:val="21"/>
          <w:szCs w:val="21"/>
        </w:rPr>
        <w:t xml:space="preserve">That is a fact about the statute, not a gap in this policy.</w:t>
      </w:r>
      <w:r>
        <w:rPr>
          <w:rFonts w:ascii="Calibri" w:cs="Calibri" w:eastAsia="Calibri" w:hAnsi="Calibri"/>
          <w:color w:val="333A45"/>
          <w:sz w:val="21"/>
          <w:szCs w:val="21"/>
        </w:rPr>
        <w:t xml:space="preserve"> It should not send anyone hunting for a 72-hour rule, and it does not license delay: "as soon as practicable" is a standard [ORGANISATION] must be able to evidence it met, and [ORGANISATION] sets an internal target of [N] hours from awareness.</w:t>
      </w:r>
    </w:p>
    <w:p>
      <w:pPr>
        <w:spacing w:after="110"/>
      </w:pPr>
      <w:r>
        <w:rPr>
          <w:rFonts w:ascii="Calibri" w:cs="Calibri" w:eastAsia="Calibri" w:hAnsi="Calibri"/>
          <w:color w:val="333A45"/>
          <w:sz w:val="21"/>
          <w:szCs w:val="21"/>
        </w:rPr>
        <w:t xml:space="preserve">14.2 </w:t>
      </w:r>
      <w:r>
        <w:rPr>
          <w:rFonts w:ascii="Calibri" w:cs="Calibri" w:eastAsia="Calibri" w:hAnsi="Calibri"/>
          <w:b/>
          <w:bCs/>
          <w:color w:val="333A45"/>
          <w:sz w:val="21"/>
          <w:szCs w:val="21"/>
        </w:rPr>
        <w:t xml:space="preserve">ADGM.</w:t>
      </w:r>
      <w:r>
        <w:rPr>
          <w:rFonts w:ascii="Calibri" w:cs="Calibri" w:eastAsia="Calibri" w:hAnsi="Calibri"/>
          <w:color w:val="333A45"/>
          <w:sz w:val="21"/>
          <w:szCs w:val="21"/>
        </w:rPr>
        <w:t xml:space="preserve"> Notification to the ADGM Commissioner is required </w:t>
      </w:r>
      <w:r>
        <w:rPr>
          <w:rFonts w:ascii="Calibri" w:cs="Calibri" w:eastAsia="Calibri" w:hAnsi="Calibri"/>
          <w:b/>
          <w:bCs/>
          <w:color w:val="333A45"/>
          <w:sz w:val="21"/>
          <w:szCs w:val="21"/>
        </w:rPr>
        <w:t xml:space="preserve">within 72 hours</w:t>
      </w:r>
      <w:r>
        <w:rPr>
          <w:rFonts w:ascii="Calibri" w:cs="Calibri" w:eastAsia="Calibri" w:hAnsi="Calibri"/>
          <w:color w:val="333A45"/>
          <w:sz w:val="21"/>
          <w:szCs w:val="21"/>
        </w:rPr>
        <w:t xml:space="preserve"> of becoming aware, and the duty is disapplied where the breach is unlikely to result in a risk. </w:t>
      </w:r>
      <w:r>
        <w:rPr>
          <w:rFonts w:ascii="Calibri" w:cs="Calibri" w:eastAsia="Calibri" w:hAnsi="Calibri"/>
          <w:b/>
          <w:bCs/>
          <w:color w:val="333A45"/>
          <w:sz w:val="21"/>
          <w:szCs w:val="21"/>
        </w:rPr>
        <w:t xml:space="preserve">Neither the period nor the risk threshold applies in the DIFC.</w:t>
      </w:r>
    </w:p>
    <w:p>
      <w:pPr>
        <w:spacing w:after="110"/>
      </w:pPr>
      <w:r>
        <w:rPr>
          <w:rFonts w:ascii="Calibri" w:cs="Calibri" w:eastAsia="Calibri" w:hAnsi="Calibri"/>
          <w:color w:val="333A45"/>
          <w:sz w:val="21"/>
          <w:szCs w:val="21"/>
        </w:rPr>
        <w:t xml:space="preserve">14.3 </w:t>
      </w:r>
      <w:r>
        <w:rPr>
          <w:rFonts w:ascii="Calibri" w:cs="Calibri" w:eastAsia="Calibri" w:hAnsi="Calibri"/>
          <w:b/>
          <w:bCs/>
          <w:color w:val="333A45"/>
          <w:sz w:val="21"/>
          <w:szCs w:val="21"/>
        </w:rPr>
        <w:t xml:space="preserve">Federal.</w:t>
      </w:r>
      <w:r>
        <w:rPr>
          <w:rFonts w:ascii="Calibri" w:cs="Calibri" w:eastAsia="Calibri" w:hAnsi="Calibri"/>
          <w:color w:val="333A45"/>
          <w:sz w:val="21"/>
          <w:szCs w:val="21"/>
        </w:rPr>
        <w:t xml:space="preserve"> The controller must notify the Bureau on becoming aware of the breach, </w:t>
      </w:r>
      <w:r>
        <w:rPr>
          <w:rFonts w:ascii="Calibri" w:cs="Calibri" w:eastAsia="Calibri" w:hAnsi="Calibri"/>
          <w:b/>
          <w:bCs/>
          <w:color w:val="333A45"/>
          <w:sz w:val="21"/>
          <w:szCs w:val="21"/>
        </w:rPr>
        <w:t xml:space="preserve">within the period and in accordance with the measures and requirements set by the Executive Regulations</w:t>
      </w:r>
      <w:r>
        <w:rPr>
          <w:rFonts w:ascii="Calibri" w:cs="Calibri" w:eastAsia="Calibri" w:hAnsi="Calibri"/>
          <w:color w:val="333A45"/>
          <w:sz w:val="21"/>
          <w:szCs w:val="21"/>
        </w:rPr>
        <w:t xml:space="preserve">. Those Executive Regulations </w:t>
      </w:r>
      <w:r>
        <w:rPr>
          <w:rFonts w:ascii="Calibri" w:cs="Calibri" w:eastAsia="Calibri" w:hAnsi="Calibri"/>
          <w:b/>
          <w:bCs/>
          <w:color w:val="333A45"/>
          <w:sz w:val="21"/>
          <w:szCs w:val="21"/>
        </w:rPr>
        <w:t xml:space="preserve">have not been issued</w:t>
      </w:r>
      <w:r>
        <w:rPr>
          <w:rFonts w:ascii="Calibri" w:cs="Calibri" w:eastAsia="Calibri" w:hAnsi="Calibri"/>
          <w:color w:val="333A45"/>
          <w:sz w:val="21"/>
          <w:szCs w:val="21"/>
        </w:rPr>
        <w:t xml:space="preserve">, so no period is established. See Section 22.3 on what circulates to the contrary.</w:t>
      </w:r>
    </w:p>
    <w:p>
      <w:pPr>
        <w:spacing w:after="110"/>
      </w:pPr>
      <w:r>
        <w:rPr>
          <w:rFonts w:ascii="Calibri" w:cs="Calibri" w:eastAsia="Calibri" w:hAnsi="Calibri"/>
          <w:color w:val="333A45"/>
          <w:sz w:val="21"/>
          <w:szCs w:val="21"/>
        </w:rPr>
        <w:t xml:space="preserve">14.4 </w:t>
      </w:r>
      <w:r>
        <w:rPr>
          <w:rFonts w:ascii="Calibri" w:cs="Calibri" w:eastAsia="Calibri" w:hAnsi="Calibri"/>
          <w:b/>
          <w:bCs/>
          <w:color w:val="333A45"/>
          <w:sz w:val="21"/>
          <w:szCs w:val="21"/>
        </w:rPr>
        <w:t xml:space="preserve">Do not carry a period across regimes.</w:t>
      </w:r>
      <w:r>
        <w:rPr>
          <w:rFonts w:ascii="Calibri" w:cs="Calibri" w:eastAsia="Calibri" w:hAnsi="Calibri"/>
          <w:color w:val="333A45"/>
          <w:sz w:val="21"/>
          <w:szCs w:val="21"/>
        </w:rPr>
        <w:t xml:space="preserve"> A 72-hour figure attached to the DIFC or to the federal law is wrong, however widely it is repeated, and Section 22.3 explains where that figure actually comes from.</w:t>
      </w:r>
    </w:p>
    <w:p>
      <w:pPr>
        <w:spacing w:after="110"/>
      </w:pPr>
      <w:r>
        <w:rPr>
          <w:rFonts w:ascii="Calibri" w:cs="Calibri" w:eastAsia="Calibri" w:hAnsi="Calibri"/>
          <w:color w:val="333A45"/>
          <w:sz w:val="21"/>
          <w:szCs w:val="21"/>
        </w:rPr>
        <w:t xml:space="preserve">14.5 Any suspected breach involving an AI tool - a wrong recipient, an unapproved tool, an exposed prompt log, a misconfigured index, a supplier notification - is reported to [SECURITY CONTACT] and the data protection lead </w:t>
      </w:r>
      <w:r>
        <w:rPr>
          <w:rFonts w:ascii="Calibri" w:cs="Calibri" w:eastAsia="Calibri" w:hAnsi="Calibri"/>
          <w:b/>
          <w:bCs/>
          <w:color w:val="333A45"/>
          <w:sz w:val="21"/>
          <w:szCs w:val="21"/>
        </w:rPr>
        <w:t xml:space="preserve">immediately on suspicion</w:t>
      </w:r>
      <w:r>
        <w:rPr>
          <w:rFonts w:ascii="Calibri" w:cs="Calibri" w:eastAsia="Calibri" w:hAnsi="Calibri"/>
          <w:color w:val="333A45"/>
          <w:sz w:val="21"/>
          <w:szCs w:val="21"/>
        </w:rPr>
        <w:t xml:space="preserve">, not after internal investigation. Awareness is recorded as a timestamp by a named person.</w:t>
      </w:r>
    </w:p>
    <w:p>
      <w:pPr>
        <w:spacing w:after="110"/>
      </w:pPr>
      <w:r>
        <w:rPr>
          <w:rFonts w:ascii="Calibri" w:cs="Calibri" w:eastAsia="Calibri" w:hAnsi="Calibri"/>
          <w:color w:val="333A45"/>
          <w:sz w:val="21"/>
          <w:szCs w:val="21"/>
        </w:rPr>
        <w:t xml:space="preserve">14.6 For each Level 3 and Level 4 System, [ORGANISATION] records in advance how it would establish, from the System's own records, whose personal data a given exposure touched. A System that cannot answer is not approved for personal data.</w:t>
      </w:r>
    </w:p>
    <w:p>
      <w:pPr>
        <w:spacing w:after="110"/>
      </w:pPr>
      <w:r>
        <w:rPr>
          <w:rFonts w:ascii="Calibri" w:cs="Calibri" w:eastAsia="Calibri" w:hAnsi="Calibri"/>
          <w:color w:val="333A45"/>
          <w:sz w:val="21"/>
          <w:szCs w:val="21"/>
        </w:rPr>
        <w:t xml:space="preserve">14.7 A System must be deployed with the appropriate level of security to protect personal data, maintain confidentiality and prevent breaches that could cause </w:t>
      </w:r>
      <w:r>
        <w:rPr>
          <w:rFonts w:ascii="Calibri" w:cs="Calibri" w:eastAsia="Calibri" w:hAnsi="Calibri"/>
          <w:b/>
          <w:bCs/>
          <w:color w:val="333A45"/>
          <w:sz w:val="21"/>
          <w:szCs w:val="21"/>
        </w:rPr>
        <w:t xml:space="preserve">reputational, psychological, financial, professional or other harm</w:t>
      </w:r>
      <w:r>
        <w:rPr>
          <w:rFonts w:ascii="Calibri" w:cs="Calibri" w:eastAsia="Calibri" w:hAnsi="Calibri"/>
          <w:color w:val="333A45"/>
          <w:sz w:val="21"/>
          <w:szCs w:val="21"/>
        </w:rPr>
        <w:t xml:space="preserve">. Evidence includes security risk assessments, model debugging processes rectifying flaws and vulnerabilities, breach policies and procedures, encryption and access controls, and privacy-enhancing technologies where appropriate.</w:t>
      </w:r>
    </w:p>
    <w:p>
      <w:pPr>
        <w:spacing w:after="110"/>
      </w:pPr>
      <w:r>
        <w:rPr>
          <w:rFonts w:ascii="Calibri" w:cs="Calibri" w:eastAsia="Calibri" w:hAnsi="Calibri"/>
          <w:color w:val="333A45"/>
          <w:sz w:val="21"/>
          <w:szCs w:val="21"/>
        </w:rPr>
        <w:t xml:space="preserve">14.8 Supplier contracts require immediate notification to [ORGANISATION] on the supplier becoming aware, with enough detail to meet whichever obligation at 14.1 to 14.3 applies.</w:t>
      </w:r>
    </w:p>
    <w:p>
      <w:pPr>
        <w:spacing w:after="110"/>
      </w:pPr>
      <w:r>
        <w:rPr>
          <w:rFonts w:ascii="Calibri" w:cs="Calibri" w:eastAsia="Calibri" w:hAnsi="Calibri"/>
          <w:color w:val="333A45"/>
          <w:sz w:val="21"/>
          <w:szCs w:val="21"/>
        </w:rPr>
        <w:t xml:space="preserve">14.9 Staff who report in good faith will not face disciplinary action for reporting.</w:t>
      </w:r>
    </w:p>
    <w:p>
      <w:pPr>
        <w:keepNext/>
        <w:pBdr>
          <w:bottom w:val="single" w:color="9DB9E8" w:sz="4" w:space="3"/>
        </w:pBdr>
        <w:spacing w:after="100" w:before="260"/>
      </w:pPr>
      <w:r>
        <w:rPr>
          <w:rFonts w:ascii="Calibri" w:cs="Calibri" w:eastAsia="Calibri" w:hAnsi="Calibri"/>
          <w:b/>
          <w:bCs/>
          <w:color w:val="2E5AAC"/>
          <w:sz w:val="26"/>
          <w:szCs w:val="26"/>
        </w:rPr>
        <w:t xml:space="preserve">15. Automated decisions and agents</w:t>
      </w:r>
    </w:p>
    <w:p>
      <w:pPr>
        <w:spacing w:after="110"/>
      </w:pPr>
      <w:r>
        <w:rPr>
          <w:rFonts w:ascii="Calibri" w:cs="Calibri" w:eastAsia="Calibri" w:hAnsi="Calibri"/>
          <w:color w:val="333A45"/>
          <w:sz w:val="21"/>
          <w:szCs w:val="21"/>
        </w:rPr>
        <w:t xml:space="preserve">15.1 No Level 4 decision about a person is made solely by a System. A named person reviews the output, has the authority and information to reach a different conclusion, and records the determination as their own. Where human intervention is designed into the System under 13.4, this is how it operates in practice.</w:t>
      </w:r>
    </w:p>
    <w:p>
      <w:pPr>
        <w:spacing w:after="110"/>
      </w:pPr>
      <w:r>
        <w:rPr>
          <w:rFonts w:ascii="Calibri" w:cs="Calibri" w:eastAsia="Calibri" w:hAnsi="Calibri"/>
          <w:color w:val="333A45"/>
          <w:sz w:val="21"/>
          <w:szCs w:val="21"/>
        </w:rPr>
        <w:t xml:space="preserve">15.2 A review that only ratifies the output is not a review.</w:t>
      </w:r>
    </w:p>
    <w:p>
      <w:pPr>
        <w:spacing w:after="110"/>
      </w:pPr>
      <w:r>
        <w:rPr>
          <w:rFonts w:ascii="Calibri" w:cs="Calibri" w:eastAsia="Calibri" w:hAnsi="Calibri"/>
          <w:color w:val="333A45"/>
          <w:sz w:val="21"/>
          <w:szCs w:val="21"/>
        </w:rPr>
        <w:t xml:space="preserve">15.3 AI agents operate under their own credentials with least-privilege access. A person's own credentials must never be given to an agent.</w:t>
      </w:r>
    </w:p>
    <w:p>
      <w:pPr>
        <w:spacing w:after="110"/>
      </w:pPr>
      <w:r>
        <w:rPr>
          <w:rFonts w:ascii="Calibri" w:cs="Calibri" w:eastAsia="Calibri" w:hAnsi="Calibri"/>
          <w:color w:val="333A45"/>
          <w:sz w:val="21"/>
          <w:szCs w:val="21"/>
        </w:rPr>
        <w:t xml:space="preserve">15.4 </w:t>
      </w:r>
      <w:r>
        <w:rPr>
          <w:rFonts w:ascii="Calibri" w:cs="Calibri" w:eastAsia="Calibri" w:hAnsi="Calibri"/>
          <w:b/>
          <w:bCs/>
          <w:color w:val="333A45"/>
          <w:sz w:val="21"/>
          <w:szCs w:val="21"/>
        </w:rPr>
        <w:t xml:space="preserve">An agent that selects its own tools, data sources or next steps is exercising the autonomy that makes a tool a System</w:t>
      </w:r>
      <w:r>
        <w:rPr>
          <w:rFonts w:ascii="Calibri" w:cs="Calibri" w:eastAsia="Calibri" w:hAnsi="Calibri"/>
          <w:color w:val="333A45"/>
          <w:sz w:val="21"/>
          <w:szCs w:val="21"/>
        </w:rPr>
        <w:t xml:space="preserve"> (Section 4) and, where it may define further purposes, engages Section 11 in full. Its human-defined limits are recorded before it runs.</w:t>
      </w:r>
    </w:p>
    <w:p>
      <w:pPr>
        <w:spacing w:after="110"/>
      </w:pPr>
      <w:r>
        <w:rPr>
          <w:rFonts w:ascii="Calibri" w:cs="Calibri" w:eastAsia="Calibri" w:hAnsi="Calibri"/>
          <w:color w:val="333A45"/>
          <w:sz w:val="21"/>
          <w:szCs w:val="21"/>
        </w:rPr>
        <w:t xml:space="preserve">15.5 Consequential actions - making payments, sending external communications, changing records about people, deploying code, publishing, or deleting data - require a human checkpoint before execution unless the committee has expressly approved autonomous operation for that action and System.</w:t>
      </w:r>
    </w:p>
    <w:p>
      <w:pPr>
        <w:spacing w:after="110"/>
      </w:pPr>
      <w:r>
        <w:rPr>
          <w:rFonts w:ascii="Calibri" w:cs="Calibri" w:eastAsia="Calibri" w:hAnsi="Calibri"/>
          <w:color w:val="333A45"/>
          <w:sz w:val="21"/>
          <w:szCs w:val="21"/>
        </w:rPr>
        <w:t xml:space="preserve">15.6 Agent activity is logged and attributable to a named human owner; sessions are bounded in scope and duration; every agent has a documented means of immediate suspension. </w:t>
      </w:r>
      <w:r>
        <w:rPr>
          <w:rFonts w:ascii="Calibri" w:cs="Calibri" w:eastAsia="Calibri" w:hAnsi="Calibri"/>
          <w:b/>
          <w:bCs/>
          <w:color w:val="333A45"/>
          <w:sz w:val="21"/>
          <w:szCs w:val="21"/>
        </w:rPr>
        <w:t xml:space="preserve">Agent logs include the processing purpose logs required by 11.4.</w:t>
      </w:r>
    </w:p>
    <w:p>
      <w:pPr>
        <w:spacing w:after="110"/>
      </w:pPr>
      <w:r>
        <w:rPr>
          <w:rFonts w:ascii="Calibri" w:cs="Calibri" w:eastAsia="Calibri" w:hAnsi="Calibri"/>
          <w:color w:val="333A45"/>
          <w:sz w:val="21"/>
          <w:szCs w:val="21"/>
        </w:rPr>
        <w:t xml:space="preserve">15.7 Content an agent ingests from outside [ORGANISATION] is treated as untrusted input, including instructions embedded in that content.</w:t>
      </w:r>
    </w:p>
    <w:p>
      <w:pPr>
        <w:keepNext/>
        <w:pBdr>
          <w:bottom w:val="single" w:color="9DB9E8" w:sz="4" w:space="3"/>
        </w:pBdr>
        <w:spacing w:after="100" w:before="260"/>
      </w:pPr>
      <w:r>
        <w:rPr>
          <w:rFonts w:ascii="Calibri" w:cs="Calibri" w:eastAsia="Calibri" w:hAnsi="Calibri"/>
          <w:b/>
          <w:bCs/>
          <w:color w:val="2E5AAC"/>
          <w:sz w:val="26"/>
          <w:szCs w:val="26"/>
        </w:rPr>
        <w:t xml:space="preserve">16. Individuals' rights and access</w:t>
      </w:r>
    </w:p>
    <w:p>
      <w:pPr>
        <w:spacing w:after="110"/>
      </w:pPr>
      <w:r>
        <w:rPr>
          <w:rFonts w:ascii="Calibri" w:cs="Calibri" w:eastAsia="Calibri" w:hAnsi="Calibri"/>
          <w:color w:val="333A45"/>
          <w:sz w:val="21"/>
          <w:szCs w:val="21"/>
        </w:rPr>
        <w:t xml:space="preserve">16.1 [ORGANISATION] maintains a documented route by which a request from an individual is executed against every AI tool in the inventory, including prompts, uploads, transcripts, embeddings, caches and logs.</w:t>
      </w:r>
    </w:p>
    <w:p>
      <w:pPr>
        <w:spacing w:after="110"/>
      </w:pPr>
      <w:r>
        <w:rPr>
          <w:rFonts w:ascii="Calibri" w:cs="Calibri" w:eastAsia="Calibri" w:hAnsi="Calibri"/>
          <w:color w:val="333A45"/>
          <w:sz w:val="21"/>
          <w:szCs w:val="21"/>
        </w:rPr>
        <w:t xml:space="preserve">16.2 A tool from which personal data cannot be located and retrieved on request is not approved for personal data.</w:t>
      </w:r>
    </w:p>
    <w:p>
      <w:pPr>
        <w:spacing w:after="110"/>
      </w:pPr>
      <w:r>
        <w:rPr>
          <w:rFonts w:ascii="Calibri" w:cs="Calibri" w:eastAsia="Calibri" w:hAnsi="Calibri"/>
          <w:color w:val="333A45"/>
          <w:sz w:val="21"/>
          <w:szCs w:val="21"/>
        </w:rPr>
        <w:t xml:space="preserve">16.3 [ORGANISATION] maintains a </w:t>
      </w:r>
      <w:r>
        <w:rPr>
          <w:rFonts w:ascii="Calibri" w:cs="Calibri" w:eastAsia="Calibri" w:hAnsi="Calibri"/>
          <w:b/>
          <w:bCs/>
          <w:color w:val="333A45"/>
          <w:sz w:val="21"/>
          <w:szCs w:val="21"/>
        </w:rPr>
        <w:t xml:space="preserve">register</w:t>
      </w:r>
      <w:r>
        <w:rPr>
          <w:rFonts w:ascii="Calibri" w:cs="Calibri" w:eastAsia="Calibri" w:hAnsi="Calibri"/>
          <w:color w:val="333A45"/>
          <w:sz w:val="21"/>
          <w:szCs w:val="21"/>
        </w:rPr>
        <w:t xml:space="preserve"> accounting for information including individuals' rights of access, lawful bases for processing, </w:t>
      </w:r>
      <w:r>
        <w:rPr>
          <w:rFonts w:ascii="Calibri" w:cs="Calibri" w:eastAsia="Calibri" w:hAnsi="Calibri"/>
          <w:b/>
          <w:bCs/>
          <w:color w:val="333A45"/>
          <w:sz w:val="21"/>
          <w:szCs w:val="21"/>
        </w:rPr>
        <w:t xml:space="preserve">automated decision-making</w:t>
      </w:r>
      <w:r>
        <w:rPr>
          <w:rFonts w:ascii="Calibri" w:cs="Calibri" w:eastAsia="Calibri" w:hAnsi="Calibri"/>
          <w:color w:val="333A45"/>
          <w:sz w:val="21"/>
          <w:szCs w:val="21"/>
        </w:rPr>
        <w:t xml:space="preserve">, and the contractual obligations of joint controllers, processors and sub-processors.</w:t>
      </w:r>
    </w:p>
    <w:p>
      <w:pPr>
        <w:spacing w:after="110"/>
      </w:pPr>
      <w:r>
        <w:rPr>
          <w:rFonts w:ascii="Calibri" w:cs="Calibri" w:eastAsia="Calibri" w:hAnsi="Calibri"/>
          <w:color w:val="333A45"/>
          <w:sz w:val="21"/>
          <w:szCs w:val="21"/>
        </w:rPr>
        <w:t xml:space="preserve">16.4 A System must be designed so that </w:t>
      </w:r>
      <w:r>
        <w:rPr>
          <w:rFonts w:ascii="Calibri" w:cs="Calibri" w:eastAsia="Calibri" w:hAnsi="Calibri"/>
          <w:b/>
          <w:bCs/>
          <w:color w:val="333A45"/>
          <w:sz w:val="21"/>
          <w:szCs w:val="21"/>
        </w:rPr>
        <w:t xml:space="preserve">it will seek human intervention</w:t>
      </w:r>
      <w:r>
        <w:rPr>
          <w:rFonts w:ascii="Calibri" w:cs="Calibri" w:eastAsia="Calibri" w:hAnsi="Calibri"/>
          <w:color w:val="333A45"/>
          <w:sz w:val="21"/>
          <w:szCs w:val="21"/>
        </w:rPr>
        <w:t xml:space="preserve"> where the underlying regulations require it, and the design materials evidencing that are held.</w:t>
      </w:r>
    </w:p>
    <w:p>
      <w:pPr>
        <w:spacing w:after="110"/>
      </w:pPr>
      <w:r>
        <w:rPr>
          <w:rFonts w:ascii="Calibri" w:cs="Calibri" w:eastAsia="Calibri" w:hAnsi="Calibri"/>
          <w:color w:val="333A45"/>
          <w:sz w:val="21"/>
          <w:szCs w:val="21"/>
        </w:rPr>
        <w:t xml:space="preserve">16.5 The privacy notice must address </w:t>
      </w:r>
      <w:r>
        <w:rPr>
          <w:rFonts w:ascii="Calibri" w:cs="Calibri" w:eastAsia="Calibri" w:hAnsi="Calibri"/>
          <w:b/>
          <w:bCs/>
          <w:color w:val="333A45"/>
          <w:sz w:val="21"/>
          <w:szCs w:val="21"/>
        </w:rPr>
        <w:t xml:space="preserve">the impact of the System's use on the exercise of individuals' rights</w:t>
      </w:r>
      <w:r>
        <w:rPr>
          <w:rFonts w:ascii="Calibri" w:cs="Calibri" w:eastAsia="Calibri" w:hAnsi="Calibri"/>
          <w:color w:val="333A45"/>
          <w:sz w:val="21"/>
          <w:szCs w:val="21"/>
        </w:rPr>
        <w:t xml:space="preserve"> - Section 10.2.</w:t>
      </w:r>
    </w:p>
    <w:p>
      <w:pPr>
        <w:keepNext/>
        <w:pBdr>
          <w:bottom w:val="single" w:color="9DB9E8" w:sz="4" w:space="3"/>
        </w:pBdr>
        <w:spacing w:after="100" w:before="260"/>
      </w:pPr>
      <w:r>
        <w:rPr>
          <w:rFonts w:ascii="Calibri" w:cs="Calibri" w:eastAsia="Calibri" w:hAnsi="Calibri"/>
          <w:b/>
          <w:bCs/>
          <w:color w:val="2E5AAC"/>
          <w:sz w:val="26"/>
          <w:szCs w:val="26"/>
        </w:rPr>
        <w:t xml:space="preserve">17. Prohibited by [ORGANISATION]</w:t>
      </w:r>
    </w:p>
    <w:p>
      <w:pPr>
        <w:spacing w:after="110"/>
      </w:pPr>
      <w:r>
        <w:rPr>
          <w:rFonts w:ascii="Calibri" w:cs="Calibri" w:eastAsia="Calibri" w:hAnsi="Calibri"/>
          <w:color w:val="333A45"/>
          <w:sz w:val="21"/>
          <w:szCs w:val="21"/>
        </w:rPr>
        <w:t xml:space="preserve">17.1 Deploying a System for High Risk Processing without satisfying the certification gate at Section 5, or without a current ASO under Section 12.</w:t>
      </w:r>
    </w:p>
    <w:p>
      <w:pPr>
        <w:spacing w:after="110"/>
      </w:pPr>
      <w:r>
        <w:rPr>
          <w:rFonts w:ascii="Calibri" w:cs="Calibri" w:eastAsia="Calibri" w:hAnsi="Calibri"/>
          <w:color w:val="333A45"/>
          <w:sz w:val="21"/>
          <w:szCs w:val="21"/>
        </w:rPr>
        <w:t xml:space="preserve">17.2 Deploying a System whose human-defined limits on self-defined purposes cannot be stated - Section 11.3.</w:t>
      </w:r>
    </w:p>
    <w:p>
      <w:pPr>
        <w:spacing w:after="110"/>
      </w:pPr>
      <w:r>
        <w:rPr>
          <w:rFonts w:ascii="Calibri" w:cs="Calibri" w:eastAsia="Calibri" w:hAnsi="Calibri"/>
          <w:color w:val="333A45"/>
          <w:sz w:val="21"/>
          <w:szCs w:val="21"/>
        </w:rPr>
        <w:t xml:space="preserve">17.3 Stating or implying that a System is certified when it is not, or when the certification has expired, been revoked or been modified such that it is no longer valid.</w:t>
      </w:r>
    </w:p>
    <w:p>
      <w:pPr>
        <w:spacing w:after="110"/>
      </w:pPr>
      <w:r>
        <w:rPr>
          <w:rFonts w:ascii="Calibri" w:cs="Calibri" w:eastAsia="Calibri" w:hAnsi="Calibri"/>
          <w:color w:val="333A45"/>
          <w:sz w:val="21"/>
          <w:szCs w:val="21"/>
        </w:rPr>
        <w:t xml:space="preserve">17.4 Entering personal data into any tool not on the approved list.</w:t>
      </w:r>
    </w:p>
    <w:p>
      <w:pPr>
        <w:spacing w:after="110"/>
      </w:pPr>
      <w:r>
        <w:rPr>
          <w:rFonts w:ascii="Calibri" w:cs="Calibri" w:eastAsia="Calibri" w:hAnsi="Calibri"/>
          <w:color w:val="333A45"/>
          <w:sz w:val="21"/>
          <w:szCs w:val="21"/>
        </w:rPr>
        <w:t xml:space="preserve">17.5 Entering credentials, keys, secrets or security configuration into any AI tool.</w:t>
      </w:r>
    </w:p>
    <w:p>
      <w:pPr>
        <w:spacing w:after="110"/>
      </w:pPr>
      <w:r>
        <w:rPr>
          <w:rFonts w:ascii="Calibri" w:cs="Calibri" w:eastAsia="Calibri" w:hAnsi="Calibri"/>
          <w:color w:val="333A45"/>
          <w:sz w:val="21"/>
          <w:szCs w:val="21"/>
        </w:rPr>
        <w:t xml:space="preserve">17.6 Using AI output as the sole basis for a Level 4 decision about a person.</w:t>
      </w:r>
    </w:p>
    <w:p>
      <w:pPr>
        <w:spacing w:after="110"/>
      </w:pPr>
      <w:r>
        <w:rPr>
          <w:rFonts w:ascii="Calibri" w:cs="Calibri" w:eastAsia="Calibri" w:hAnsi="Calibri"/>
          <w:color w:val="333A45"/>
          <w:sz w:val="21"/>
          <w:szCs w:val="21"/>
        </w:rPr>
        <w:t xml:space="preserve">17.7 Disabling, bypassing or reducing processing purpose logging, algorithmic audit records, or any other evidence required by Sections 9 to 13.</w:t>
      </w:r>
    </w:p>
    <w:p>
      <w:pPr>
        <w:spacing w:after="110"/>
      </w:pPr>
      <w:r>
        <w:rPr>
          <w:rFonts w:ascii="Calibri" w:cs="Calibri" w:eastAsia="Calibri" w:hAnsi="Calibri"/>
          <w:color w:val="333A45"/>
          <w:sz w:val="21"/>
          <w:szCs w:val="21"/>
        </w:rPr>
        <w:t xml:space="preserve">17.8 Using AI to covertly monitor, profile or score employees.</w:t>
      </w:r>
    </w:p>
    <w:p>
      <w:pPr>
        <w:spacing w:after="110"/>
      </w:pPr>
      <w:r>
        <w:rPr>
          <w:rFonts w:ascii="Calibri" w:cs="Calibri" w:eastAsia="Calibri" w:hAnsi="Calibri"/>
          <w:color w:val="333A45"/>
          <w:sz w:val="21"/>
          <w:szCs w:val="21"/>
        </w:rPr>
        <w:t xml:space="preserve">17.9 Using AI to produce material that is unlawful, defamatory, harassing or discriminatory.</w:t>
      </w:r>
    </w:p>
    <w:p>
      <w:pPr>
        <w:spacing w:after="110"/>
      </w:pPr>
      <w:r>
        <w:rPr>
          <w:rFonts w:ascii="Calibri" w:cs="Calibri" w:eastAsia="Calibri" w:hAnsi="Calibri"/>
          <w:color w:val="333A45"/>
          <w:sz w:val="21"/>
          <w:szCs w:val="21"/>
        </w:rPr>
        <w:t xml:space="preserve">No exception may be granted against 17.1, 17.2, 17.3 or 17.7.</w:t>
      </w:r>
    </w:p>
    <w:p>
      <w:pPr>
        <w:keepNext/>
        <w:pBdr>
          <w:bottom w:val="single" w:color="9DB9E8" w:sz="4" w:space="3"/>
        </w:pBdr>
        <w:spacing w:after="100" w:before="260"/>
      </w:pPr>
      <w:r>
        <w:rPr>
          <w:rFonts w:ascii="Calibri" w:cs="Calibri" w:eastAsia="Calibri" w:hAnsi="Calibri"/>
          <w:b/>
          <w:bCs/>
          <w:color w:val="2E5AAC"/>
          <w:sz w:val="26"/>
          <w:szCs w:val="26"/>
        </w:rPr>
        <w:t xml:space="preserve">18. Verification of output</w:t>
      </w:r>
    </w:p>
    <w:p>
      <w:pPr>
        <w:spacing w:after="110"/>
      </w:pPr>
      <w:r>
        <w:rPr>
          <w:rFonts w:ascii="Calibri" w:cs="Calibri" w:eastAsia="Calibri" w:hAnsi="Calibri"/>
          <w:color w:val="333A45"/>
          <w:sz w:val="21"/>
          <w:szCs w:val="21"/>
        </w:rPr>
        <w:t xml:space="preserve">18.1 AI output is a draft. The person who uses it is accountable for it.</w:t>
      </w:r>
    </w:p>
    <w:p>
      <w:pPr>
        <w:spacing w:after="110"/>
      </w:pPr>
      <w:r>
        <w:rPr>
          <w:rFonts w:ascii="Calibri" w:cs="Calibri" w:eastAsia="Calibri" w:hAnsi="Calibri"/>
          <w:color w:val="333A45"/>
          <w:sz w:val="21"/>
          <w:szCs w:val="21"/>
        </w:rPr>
        <w:t xml:space="preserve">18.2 Any factual claim, figure, calculation, date, quotation, citation or regulatory reference taken from AI output and relied on externally, or in a decision, must be verified against a primary source before use.</w:t>
      </w:r>
    </w:p>
    <w:p>
      <w:pPr>
        <w:spacing w:after="110"/>
      </w:pPr>
      <w:r>
        <w:rPr>
          <w:rFonts w:ascii="Calibri" w:cs="Calibri" w:eastAsia="Calibri" w:hAnsi="Calibri"/>
          <w:color w:val="333A45"/>
          <w:sz w:val="21"/>
          <w:szCs w:val="21"/>
        </w:rPr>
        <w:t xml:space="preserve">18.3 Code generated by AI is reviewed before merge, with attention to secrets, licence terms and dependencies the model has introduced.</w:t>
      </w:r>
    </w:p>
    <w:p>
      <w:pPr>
        <w:spacing w:after="110"/>
      </w:pPr>
      <w:r>
        <w:rPr>
          <w:rFonts w:ascii="Calibri" w:cs="Calibri" w:eastAsia="Calibri" w:hAnsi="Calibri"/>
          <w:color w:val="333A45"/>
          <w:sz w:val="21"/>
          <w:szCs w:val="21"/>
        </w:rPr>
        <w:t xml:space="preserve">18.4 AI-generated citations are verified to exist and to say what they are said to say.</w:t>
      </w:r>
    </w:p>
    <w:p>
      <w:pPr>
        <w:spacing w:after="110"/>
      </w:pPr>
      <w:r>
        <w:rPr>
          <w:rFonts w:ascii="Calibri" w:cs="Calibri" w:eastAsia="Calibri" w:hAnsi="Calibri"/>
          <w:color w:val="333A45"/>
          <w:sz w:val="21"/>
          <w:szCs w:val="21"/>
        </w:rPr>
        <w:t xml:space="preserve">18.5 </w:t>
      </w:r>
      <w:r>
        <w:rPr>
          <w:rFonts w:ascii="Calibri" w:cs="Calibri" w:eastAsia="Calibri" w:hAnsi="Calibri"/>
          <w:b/>
          <w:bCs/>
          <w:color w:val="333A45"/>
          <w:sz w:val="21"/>
          <w:szCs w:val="21"/>
        </w:rPr>
        <w:t xml:space="preserve">Regulatory references in AI output are verified against the applicable regime.</w:t>
      </w:r>
      <w:r>
        <w:rPr>
          <w:rFonts w:ascii="Calibri" w:cs="Calibri" w:eastAsia="Calibri" w:hAnsi="Calibri"/>
          <w:color w:val="333A45"/>
          <w:sz w:val="21"/>
          <w:szCs w:val="21"/>
        </w:rPr>
        <w:t xml:space="preserve"> Section 22.3 records a real instance of a widely repeated citation error in this jurisdiction, and it is the reason this clause exists.</w:t>
      </w:r>
    </w:p>
    <w:p>
      <w:pPr>
        <w:keepNext/>
        <w:pBdr>
          <w:bottom w:val="single" w:color="9DB9E8" w:sz="4" w:space="3"/>
        </w:pBdr>
        <w:spacing w:after="100" w:before="260"/>
      </w:pPr>
      <w:r>
        <w:rPr>
          <w:rFonts w:ascii="Calibri" w:cs="Calibri" w:eastAsia="Calibri" w:hAnsi="Calibri"/>
          <w:b/>
          <w:bCs/>
          <w:color w:val="2E5AAC"/>
          <w:sz w:val="26"/>
          <w:szCs w:val="26"/>
        </w:rPr>
        <w:t xml:space="preserve">19. Preventing harm</w:t>
      </w:r>
    </w:p>
    <w:p>
      <w:pPr>
        <w:spacing w:after="110"/>
      </w:pPr>
      <w:r>
        <w:rPr>
          <w:rFonts w:ascii="Calibri" w:cs="Calibri" w:eastAsia="Calibri" w:hAnsi="Calibri"/>
          <w:color w:val="333A45"/>
          <w:sz w:val="21"/>
          <w:szCs w:val="21"/>
        </w:rPr>
        <w:t xml:space="preserve">19.1 [ORGANISATION]'s personal information protection programme is designed to </w:t>
      </w:r>
      <w:r>
        <w:rPr>
          <w:rFonts w:ascii="Calibri" w:cs="Calibri" w:eastAsia="Calibri" w:hAnsi="Calibri"/>
          <w:b/>
          <w:bCs/>
          <w:color w:val="333A45"/>
          <w:sz w:val="21"/>
          <w:szCs w:val="21"/>
        </w:rPr>
        <w:t xml:space="preserve">prevent the misuse of personal information</w:t>
      </w:r>
      <w:r>
        <w:rPr>
          <w:rFonts w:ascii="Calibri" w:cs="Calibri" w:eastAsia="Calibri" w:hAnsi="Calibri"/>
          <w:color w:val="333A45"/>
          <w:sz w:val="21"/>
          <w:szCs w:val="21"/>
        </w:rPr>
        <w:t xml:space="preserve">, and its organisational controls are </w:t>
      </w:r>
      <w:r>
        <w:rPr>
          <w:rFonts w:ascii="Calibri" w:cs="Calibri" w:eastAsia="Calibri" w:hAnsi="Calibri"/>
          <w:b/>
          <w:bCs/>
          <w:color w:val="333A45"/>
          <w:sz w:val="21"/>
          <w:szCs w:val="21"/>
        </w:rPr>
        <w:t xml:space="preserve">proportionate to the likelihood and severity of any harm</w:t>
      </w:r>
      <w:r>
        <w:rPr>
          <w:rFonts w:ascii="Calibri" w:cs="Calibri" w:eastAsia="Calibri" w:hAnsi="Calibri"/>
          <w:color w:val="333A45"/>
          <w:sz w:val="21"/>
          <w:szCs w:val="21"/>
        </w:rPr>
        <w:t xml:space="preserve"> threatened by the collection, use or transfer of that information.</w:t>
      </w:r>
    </w:p>
    <w:p>
      <w:pPr>
        <w:spacing w:after="110"/>
      </w:pPr>
      <w:r>
        <w:rPr>
          <w:rFonts w:ascii="Calibri" w:cs="Calibri" w:eastAsia="Calibri" w:hAnsi="Calibri"/>
          <w:color w:val="333A45"/>
          <w:sz w:val="21"/>
          <w:szCs w:val="21"/>
        </w:rPr>
        <w:t xml:space="preserve">19.2 [ORGANISATION]'s privacy practices and policy are in accordance with the principles of the applicable law, are </w:t>
      </w:r>
      <w:r>
        <w:rPr>
          <w:rFonts w:ascii="Calibri" w:cs="Calibri" w:eastAsia="Calibri" w:hAnsi="Calibri"/>
          <w:b/>
          <w:bCs/>
          <w:color w:val="333A45"/>
          <w:sz w:val="21"/>
          <w:szCs w:val="21"/>
        </w:rPr>
        <w:t xml:space="preserve">easy to find and accessible</w:t>
      </w:r>
      <w:r>
        <w:rPr>
          <w:rFonts w:ascii="Calibri" w:cs="Calibri" w:eastAsia="Calibri" w:hAnsi="Calibri"/>
          <w:color w:val="333A45"/>
          <w:sz w:val="21"/>
          <w:szCs w:val="21"/>
        </w:rPr>
        <w:t xml:space="preserve">, and apply to </w:t>
      </w:r>
      <w:r>
        <w:rPr>
          <w:rFonts w:ascii="Calibri" w:cs="Calibri" w:eastAsia="Calibri" w:hAnsi="Calibri"/>
          <w:b/>
          <w:bCs/>
          <w:color w:val="333A45"/>
          <w:sz w:val="21"/>
          <w:szCs w:val="21"/>
        </w:rPr>
        <w:t xml:space="preserve">all personal information, whether collected online or offline</w:t>
      </w:r>
      <w:r>
        <w:rPr>
          <w:rFonts w:ascii="Calibri" w:cs="Calibri" w:eastAsia="Calibri" w:hAnsi="Calibri"/>
          <w:color w:val="333A45"/>
          <w:sz w:val="21"/>
          <w:szCs w:val="21"/>
        </w:rPr>
        <w:t xml:space="preserve">.</w:t>
      </w:r>
    </w:p>
    <w:p>
      <w:pPr>
        <w:spacing w:after="110"/>
      </w:pPr>
      <w:r>
        <w:rPr>
          <w:rFonts w:ascii="Calibri" w:cs="Calibri" w:eastAsia="Calibri" w:hAnsi="Calibri"/>
          <w:color w:val="333A45"/>
          <w:sz w:val="21"/>
          <w:szCs w:val="21"/>
        </w:rPr>
        <w:t xml:space="preserve">19.3 The certification assessment scheme organises its requirements around preventing harm, notice, collection limitation, uses of personal information, choice, integrity of personal information, security safeguards, access and correction, and accountability, governance and oversight. [ORGANISATION] maps its controls to those headings so that readiness is assessed in the terms the assessment will use.</w:t>
      </w:r>
    </w:p>
    <w:p>
      <w:pPr>
        <w:keepNext/>
        <w:pBdr>
          <w:bottom w:val="single" w:color="9DB9E8" w:sz="4" w:space="3"/>
        </w:pBdr>
        <w:spacing w:after="100" w:before="260"/>
      </w:pPr>
      <w:r>
        <w:rPr>
          <w:rFonts w:ascii="Calibri" w:cs="Calibri" w:eastAsia="Calibri" w:hAnsi="Calibri"/>
          <w:b/>
          <w:bCs/>
          <w:color w:val="2E5AAC"/>
          <w:sz w:val="26"/>
          <w:szCs w:val="26"/>
        </w:rPr>
        <w:t xml:space="preserve">20. Intellectual property, records and public-facing AI</w:t>
      </w:r>
    </w:p>
    <w:p>
      <w:pPr>
        <w:spacing w:after="110"/>
      </w:pPr>
      <w:r>
        <w:rPr>
          <w:rFonts w:ascii="Calibri" w:cs="Calibri" w:eastAsia="Calibri" w:hAnsi="Calibri"/>
          <w:color w:val="333A45"/>
          <w:sz w:val="21"/>
          <w:szCs w:val="21"/>
        </w:rPr>
        <w:t xml:space="preserve">20.1 AI-generated material used externally is reviewed for third-party rights before publication.</w:t>
      </w:r>
    </w:p>
    <w:p>
      <w:pPr>
        <w:spacing w:after="110"/>
      </w:pPr>
      <w:r>
        <w:rPr>
          <w:rFonts w:ascii="Calibri" w:cs="Calibri" w:eastAsia="Calibri" w:hAnsi="Calibri"/>
          <w:color w:val="333A45"/>
          <w:sz w:val="21"/>
          <w:szCs w:val="21"/>
        </w:rPr>
        <w:t xml:space="preserve">20.2 [ORGANISATION] material must not be placed in tools whose terms grant the supplier rights over input or output beyond what the approval accepted.</w:t>
      </w:r>
    </w:p>
    <w:p>
      <w:pPr>
        <w:spacing w:after="110"/>
      </w:pPr>
      <w:r>
        <w:rPr>
          <w:rFonts w:ascii="Calibri" w:cs="Calibri" w:eastAsia="Calibri" w:hAnsi="Calibri"/>
          <w:color w:val="333A45"/>
          <w:sz w:val="21"/>
          <w:szCs w:val="21"/>
        </w:rPr>
        <w:t xml:space="preserve">20.3 Records supporting compliance - determinations, assessments, approvals, contracts, processing purpose logs, algorithmic audits, verification records and breach records - are retained for [PERIOD] and are producible on request, including to the Commissioner.</w:t>
      </w:r>
    </w:p>
    <w:p>
      <w:pPr>
        <w:spacing w:after="110"/>
      </w:pPr>
      <w:r>
        <w:rPr>
          <w:rFonts w:ascii="Calibri" w:cs="Calibri" w:eastAsia="Calibri" w:hAnsi="Calibri"/>
          <w:color w:val="333A45"/>
          <w:sz w:val="21"/>
          <w:szCs w:val="21"/>
        </w:rPr>
        <w:t xml:space="preserve">20.4 A public-facing System requires committee approval before launch, discloses that the person is interacting with an AI system, offers a route to a human, and is bounded in what it may commit [ORGANISATION] to.</w:t>
      </w:r>
    </w:p>
    <w:p>
      <w:pPr>
        <w:keepNext/>
        <w:pBdr>
          <w:bottom w:val="single" w:color="9DB9E8" w:sz="4" w:space="3"/>
        </w:pBdr>
        <w:spacing w:after="100" w:before="260"/>
      </w:pPr>
      <w:r>
        <w:rPr>
          <w:rFonts w:ascii="Calibri" w:cs="Calibri" w:eastAsia="Calibri" w:hAnsi="Calibri"/>
          <w:b/>
          <w:bCs/>
          <w:color w:val="2E5AAC"/>
          <w:sz w:val="26"/>
          <w:szCs w:val="26"/>
        </w:rPr>
        <w:t xml:space="preserve">21. Responsibilities and readiness</w:t>
      </w:r>
    </w:p>
    <w:p>
      <w:pPr>
        <w:spacing w:after="110"/>
      </w:pPr>
      <w:r>
        <w:rPr>
          <w:rFonts w:ascii="Calibri" w:cs="Calibri" w:eastAsia="Calibri" w:hAnsi="Calibri"/>
          <w:color w:val="333A45"/>
          <w:sz w:val="21"/>
          <w:szCs w:val="21"/>
        </w:rPr>
        <w:t xml:space="preserve">21.1 </w:t>
      </w:r>
      <w:r>
        <w:rPr>
          <w:rFonts w:ascii="Calibri" w:cs="Calibri" w:eastAsia="Calibri" w:hAnsi="Calibri"/>
          <w:b/>
          <w:bCs/>
          <w:color w:val="333A45"/>
          <w:sz w:val="21"/>
          <w:szCs w:val="21"/>
        </w:rPr>
        <w:t xml:space="preserve">All staff</w:t>
      </w:r>
      <w:r>
        <w:rPr>
          <w:rFonts w:ascii="Calibri" w:cs="Calibri" w:eastAsia="Calibri" w:hAnsi="Calibri"/>
          <w:color w:val="333A45"/>
          <w:sz w:val="21"/>
          <w:szCs w:val="21"/>
        </w:rPr>
        <w:t xml:space="preserve"> - use approved tools only; apply the correct level; verify output; report suspected breaches immediately; never disable logging or audit records.</w:t>
      </w:r>
    </w:p>
    <w:p>
      <w:pPr>
        <w:spacing w:after="110"/>
      </w:pPr>
      <w:r>
        <w:rPr>
          <w:rFonts w:ascii="Calibri" w:cs="Calibri" w:eastAsia="Calibri" w:hAnsi="Calibri"/>
          <w:b/>
          <w:bCs/>
          <w:color w:val="333A45"/>
          <w:sz w:val="21"/>
          <w:szCs w:val="21"/>
        </w:rPr>
        <w:t xml:space="preserve">Business owners</w:t>
      </w:r>
      <w:r>
        <w:rPr>
          <w:rFonts w:ascii="Calibri" w:cs="Calibri" w:eastAsia="Calibri" w:hAnsi="Calibri"/>
          <w:color w:val="333A45"/>
          <w:sz w:val="21"/>
          <w:szCs w:val="21"/>
        </w:rPr>
        <w:t xml:space="preserve"> - the inventory record, the System and role determinations, the impact assessment, the supplier relationship.</w:t>
      </w:r>
    </w:p>
    <w:p>
      <w:pPr>
        <w:spacing w:after="110"/>
      </w:pPr>
      <w:r>
        <w:rPr>
          <w:rFonts w:ascii="Calibri" w:cs="Calibri" w:eastAsia="Calibri" w:hAnsi="Calibri"/>
          <w:b/>
          <w:bCs/>
          <w:color w:val="333A45"/>
          <w:sz w:val="21"/>
          <w:szCs w:val="21"/>
        </w:rPr>
        <w:t xml:space="preserve">Automated Systems Officer</w:t>
      </w:r>
      <w:r>
        <w:rPr>
          <w:rFonts w:ascii="Calibri" w:cs="Calibri" w:eastAsia="Calibri" w:hAnsi="Calibri"/>
          <w:color w:val="333A45"/>
          <w:sz w:val="21"/>
          <w:szCs w:val="21"/>
        </w:rPr>
        <w:t xml:space="preserve"> - monitoring of Systems used for High Risk Processing, independent review of audit documentation, the gap analysis and management action plan.</w:t>
      </w:r>
    </w:p>
    <w:p>
      <w:pPr>
        <w:spacing w:after="110"/>
      </w:pPr>
      <w:r>
        <w:rPr>
          <w:rFonts w:ascii="Calibri" w:cs="Calibri" w:eastAsia="Calibri" w:hAnsi="Calibri"/>
          <w:b/>
          <w:bCs/>
          <w:color w:val="333A45"/>
          <w:sz w:val="21"/>
          <w:szCs w:val="21"/>
        </w:rPr>
        <w:t xml:space="preserve">Data protection lead</w:t>
      </w:r>
      <w:r>
        <w:rPr>
          <w:rFonts w:ascii="Calibri" w:cs="Calibri" w:eastAsia="Calibri" w:hAnsi="Calibri"/>
          <w:color w:val="333A45"/>
          <w:sz w:val="21"/>
          <w:szCs w:val="21"/>
        </w:rPr>
        <w:t xml:space="preserve"> - the High Risk determinations, notices, individuals' rights, the register, breach notification, and which regime applies under Section 3.</w:t>
      </w:r>
    </w:p>
    <w:p>
      <w:pPr>
        <w:spacing w:after="110"/>
      </w:pPr>
      <w:r>
        <w:rPr>
          <w:rFonts w:ascii="Calibri" w:cs="Calibri" w:eastAsia="Calibri" w:hAnsi="Calibri"/>
          <w:b/>
          <w:bCs/>
          <w:color w:val="333A45"/>
          <w:sz w:val="21"/>
          <w:szCs w:val="21"/>
        </w:rPr>
        <w:t xml:space="preserve">Policy owner</w:t>
      </w:r>
      <w:r>
        <w:rPr>
          <w:rFonts w:ascii="Calibri" w:cs="Calibri" w:eastAsia="Calibri" w:hAnsi="Calibri"/>
          <w:color w:val="333A45"/>
          <w:sz w:val="21"/>
          <w:szCs w:val="21"/>
        </w:rPr>
        <w:t xml:space="preserve"> - the approved tools list, security review, exceptions, and this policy.</w:t>
      </w:r>
    </w:p>
    <w:p>
      <w:pPr>
        <w:spacing w:after="110"/>
      </w:pPr>
      <w:r>
        <w:rPr>
          <w:rFonts w:ascii="Calibri" w:cs="Calibri" w:eastAsia="Calibri" w:hAnsi="Calibri"/>
          <w:b/>
          <w:bCs/>
          <w:color w:val="333A45"/>
          <w:sz w:val="21"/>
          <w:szCs w:val="21"/>
        </w:rPr>
        <w:t xml:space="preserve">AI Governance Committee</w:t>
      </w:r>
      <w:r>
        <w:rPr>
          <w:rFonts w:ascii="Calibri" w:cs="Calibri" w:eastAsia="Calibri" w:hAnsi="Calibri"/>
          <w:color w:val="333A45"/>
          <w:sz w:val="21"/>
          <w:szCs w:val="21"/>
        </w:rPr>
        <w:t xml:space="preserve"> - Level 4 approvals, certification readiness, the ASO succession position, exceptions, metrics and regulatory change.</w:t>
      </w:r>
    </w:p>
    <w:p>
      <w:pPr>
        <w:spacing w:after="110"/>
      </w:pPr>
      <w:r>
        <w:rPr>
          <w:rFonts w:ascii="Calibri" w:cs="Calibri" w:eastAsia="Calibri" w:hAnsi="Calibri"/>
          <w:color w:val="333A45"/>
          <w:sz w:val="21"/>
          <w:szCs w:val="21"/>
        </w:rPr>
        <w:t xml:space="preserve">21.2 </w:t>
      </w:r>
      <w:r>
        <w:rPr>
          <w:rFonts w:ascii="Calibri" w:cs="Calibri" w:eastAsia="Calibri" w:hAnsi="Calibri"/>
          <w:b/>
          <w:bCs/>
          <w:color w:val="333A45"/>
          <w:sz w:val="21"/>
          <w:szCs w:val="21"/>
        </w:rPr>
        <w:t xml:space="preserve">The certification framework's implementation timeline is at the Commissioner's discretion, and [ORGANISATION] does not wait for it.</w:t>
      </w:r>
      <w:r>
        <w:rPr>
          <w:rFonts w:ascii="Calibri" w:cs="Calibri" w:eastAsia="Calibri" w:hAnsi="Calibri"/>
          <w:color w:val="333A45"/>
          <w:sz w:val="21"/>
          <w:szCs w:val="21"/>
        </w:rPr>
        <w:t xml:space="preserve"> The evidence the scheme requires - the impact assessment, the risk register, the processing purpose logs, the algorithmic audits, the ASO appointment - takes longer to build than a certification takes to apply for, and cannot be produced retrospectively for a System already in service.</w:t>
      </w:r>
    </w:p>
    <w:p>
      <w:pPr>
        <w:keepNext/>
        <w:pBdr>
          <w:bottom w:val="single" w:color="9DB9E8" w:sz="4" w:space="3"/>
        </w:pBdr>
        <w:spacing w:after="100" w:before="260"/>
      </w:pPr>
      <w:r>
        <w:rPr>
          <w:rFonts w:ascii="Calibri" w:cs="Calibri" w:eastAsia="Calibri" w:hAnsi="Calibri"/>
          <w:b/>
          <w:bCs/>
          <w:color w:val="2E5AAC"/>
          <w:sz w:val="26"/>
          <w:szCs w:val="26"/>
        </w:rPr>
        <w:t xml:space="preserve">22. What this policy does not state, and why</w:t>
      </w:r>
    </w:p>
    <w:p>
      <w:pPr>
        <w:keepNext/>
        <w:spacing w:after="80" w:before="200"/>
      </w:pPr>
      <w:r>
        <w:rPr>
          <w:rFonts w:ascii="Calibri" w:cs="Calibri" w:eastAsia="Calibri" w:hAnsi="Calibri"/>
          <w:b/>
          <w:bCs/>
          <w:color w:val="1F3864"/>
          <w:sz w:val="22"/>
          <w:szCs w:val="22"/>
        </w:rPr>
        <w:t xml:space="preserve">22.1 The instruments behind it</w:t>
      </w:r>
    </w:p>
    <w:p>
      <w:pPr>
        <w:spacing w:after="110"/>
      </w:pPr>
      <w:r>
        <w:rPr>
          <w:rFonts w:ascii="Calibri" w:cs="Calibri" w:eastAsia="Calibri" w:hAnsi="Calibri"/>
          <w:color w:val="333A45"/>
          <w:sz w:val="21"/>
          <w:szCs w:val="21"/>
        </w:rPr>
        <w:t xml:space="preserve">This policy rests principally on the </w:t>
      </w:r>
      <w:r>
        <w:rPr>
          <w:rFonts w:ascii="Calibri" w:cs="Calibri" w:eastAsia="Calibri" w:hAnsi="Calibri"/>
          <w:b/>
          <w:bCs/>
          <w:color w:val="333A45"/>
          <w:sz w:val="21"/>
          <w:szCs w:val="21"/>
        </w:rPr>
        <w:t xml:space="preserve">DIFC Regulation 10 Accreditation and Certification Framework</w:t>
      </w:r>
      <w:r>
        <w:rPr>
          <w:rFonts w:ascii="Calibri" w:cs="Calibri" w:eastAsia="Calibri" w:hAnsi="Calibri"/>
          <w:color w:val="333A45"/>
          <w:sz w:val="21"/>
          <w:szCs w:val="21"/>
        </w:rPr>
        <w:t xml:space="preserve"> issued by the Commissioner of Data Protection, which [ORGANISATION] holds in full.</w:t>
      </w:r>
    </w:p>
    <w:p>
      <w:pPr>
        <w:spacing w:after="110"/>
      </w:pPr>
      <w:r>
        <w:rPr>
          <w:rFonts w:ascii="Calibri" w:cs="Calibri" w:eastAsia="Calibri" w:hAnsi="Calibri"/>
          <w:b/>
          <w:bCs/>
          <w:color w:val="333A45"/>
          <w:sz w:val="21"/>
          <w:szCs w:val="21"/>
        </w:rPr>
        <w:t xml:space="preserve">It does not hold Regulation 10 itself, nor a current consolidation of the DIFC data protection law.</w:t>
      </w:r>
      <w:r>
        <w:rPr>
          <w:rFonts w:ascii="Calibri" w:cs="Calibri" w:eastAsia="Calibri" w:hAnsi="Calibri"/>
          <w:color w:val="333A45"/>
          <w:sz w:val="21"/>
          <w:szCs w:val="21"/>
        </w:rPr>
        <w:t xml:space="preserve"> The Framework implements provisions of both and refers to them repeatedly. Where it quotes them, this policy follows the quotation; where it only cites them, </w:t>
      </w:r>
      <w:r>
        <w:rPr>
          <w:rFonts w:ascii="Calibri" w:cs="Calibri" w:eastAsia="Calibri" w:hAnsi="Calibri"/>
          <w:b/>
          <w:bCs/>
          <w:color w:val="333A45"/>
          <w:sz w:val="21"/>
          <w:szCs w:val="21"/>
        </w:rPr>
        <w:t xml:space="preserve">this policy states the Framework's requirement and not the underlying provision.</w:t>
      </w:r>
    </w:p>
    <w:p>
      <w:pPr>
        <w:spacing w:after="110"/>
      </w:pPr>
      <w:r>
        <w:rPr>
          <w:rFonts w:ascii="Calibri" w:cs="Calibri" w:eastAsia="Calibri" w:hAnsi="Calibri"/>
          <w:color w:val="333A45"/>
          <w:sz w:val="21"/>
          <w:szCs w:val="21"/>
        </w:rPr>
        <w:t xml:space="preserve">Accordingly this policy does not state:</w:t>
      </w:r>
    </w:p>
    <w:p>
      <w:pPr>
        <w:pStyle w:val="ListParagraph"/>
        <w:numPr>
          <w:ilvl w:val="0"/>
          <w:numId w:val="2"/>
        </w:numPr>
        <w:spacing w:after="70"/>
      </w:pPr>
      <w:r>
        <w:rPr>
          <w:rFonts w:ascii="Calibri" w:cs="Calibri" w:eastAsia="Calibri" w:hAnsi="Calibri"/>
          <w:b/>
          <w:bCs/>
          <w:color w:val="333A45"/>
          <w:sz w:val="21"/>
          <w:szCs w:val="21"/>
        </w:rPr>
        <w:t xml:space="preserve">the definition of High Risk Processing Activities</w:t>
      </w:r>
      <w:r>
        <w:rPr>
          <w:rFonts w:ascii="Calibri" w:cs="Calibri" w:eastAsia="Calibri" w:hAnsi="Calibri"/>
          <w:color w:val="333A45"/>
          <w:sz w:val="21"/>
          <w:szCs w:val="21"/>
        </w:rPr>
        <w:t xml:space="preserve"> - the trigger for the whole regime. Section 5.7 routes it to the data protection lead;</w:t>
      </w:r>
    </w:p>
    <w:p>
      <w:pPr>
        <w:pStyle w:val="ListParagraph"/>
        <w:numPr>
          <w:ilvl w:val="0"/>
          <w:numId w:val="2"/>
        </w:numPr>
        <w:spacing w:after="70"/>
      </w:pPr>
      <w:r>
        <w:rPr>
          <w:rFonts w:ascii="Calibri" w:cs="Calibri" w:eastAsia="Calibri" w:hAnsi="Calibri"/>
          <w:color w:val="333A45"/>
          <w:sz w:val="21"/>
          <w:szCs w:val="21"/>
        </w:rPr>
        <w:t xml:space="preserve">the content of the regulation provisions the Framework cites for notice particulars, design principles and the certification obligation;</w:t>
      </w:r>
    </w:p>
    <w:p>
      <w:pPr>
        <w:pStyle w:val="ListParagraph"/>
        <w:numPr>
          <w:ilvl w:val="0"/>
          <w:numId w:val="2"/>
        </w:numPr>
        <w:spacing w:after="70"/>
      </w:pPr>
      <w:r>
        <w:rPr>
          <w:rFonts w:ascii="Calibri" w:cs="Calibri" w:eastAsia="Calibri" w:hAnsi="Calibri"/>
          <w:color w:val="333A45"/>
          <w:sz w:val="21"/>
          <w:szCs w:val="21"/>
        </w:rPr>
        <w:t xml:space="preserve">the articles of the DIFC law governing prior consultation, contract clauses, government authority requests, notice, the Data Protection Officer, or accreditation;</w:t>
      </w:r>
    </w:p>
    <w:p>
      <w:pPr>
        <w:pStyle w:val="ListParagraph"/>
        <w:numPr>
          <w:ilvl w:val="0"/>
          <w:numId w:val="2"/>
        </w:numPr>
        <w:spacing w:after="70"/>
      </w:pPr>
      <w:r>
        <w:rPr>
          <w:rFonts w:ascii="Calibri" w:cs="Calibri" w:eastAsia="Calibri" w:hAnsi="Calibri"/>
          <w:color w:val="333A45"/>
          <w:sz w:val="21"/>
          <w:szCs w:val="21"/>
        </w:rPr>
        <w:t xml:space="preserve">the penalties for contravention.</w:t>
      </w:r>
    </w:p>
    <w:p>
      <w:pPr>
        <w:keepNext/>
        <w:spacing w:after="80" w:before="200"/>
      </w:pPr>
      <w:r>
        <w:rPr>
          <w:rFonts w:ascii="Calibri" w:cs="Calibri" w:eastAsia="Calibri" w:hAnsi="Calibri"/>
          <w:b/>
          <w:bCs/>
          <w:color w:val="1F3864"/>
          <w:sz w:val="22"/>
          <w:szCs w:val="22"/>
        </w:rPr>
        <w:t xml:space="preserve">22.2 The other two regimes</w:t>
      </w:r>
    </w:p>
    <w:p>
      <w:pPr>
        <w:spacing w:after="110"/>
      </w:pPr>
      <w:r>
        <w:rPr>
          <w:rFonts w:ascii="Calibri" w:cs="Calibri" w:eastAsia="Calibri" w:hAnsi="Calibri"/>
          <w:color w:val="333A45"/>
          <w:sz w:val="21"/>
          <w:szCs w:val="21"/>
        </w:rPr>
        <w:t xml:space="preserve">This policy states the </w:t>
      </w:r>
      <w:r>
        <w:rPr>
          <w:rFonts w:ascii="Calibri" w:cs="Calibri" w:eastAsia="Calibri" w:hAnsi="Calibri"/>
          <w:b/>
          <w:bCs/>
          <w:color w:val="333A45"/>
          <w:sz w:val="21"/>
          <w:szCs w:val="21"/>
        </w:rPr>
        <w:t xml:space="preserve">breach position</w:t>
      </w:r>
      <w:r>
        <w:rPr>
          <w:rFonts w:ascii="Calibri" w:cs="Calibri" w:eastAsia="Calibri" w:hAnsi="Calibri"/>
          <w:color w:val="333A45"/>
          <w:sz w:val="21"/>
          <w:szCs w:val="21"/>
        </w:rPr>
        <w:t xml:space="preserve"> for ADGM and for the federal regime because each has been verified against the official text, and because getting that specific point wrong is the most consequential error available here. </w:t>
      </w:r>
      <w:r>
        <w:rPr>
          <w:rFonts w:ascii="Calibri" w:cs="Calibri" w:eastAsia="Calibri" w:hAnsi="Calibri"/>
          <w:b/>
          <w:bCs/>
          <w:color w:val="333A45"/>
          <w:sz w:val="21"/>
          <w:szCs w:val="21"/>
        </w:rPr>
        <w:t xml:space="preserve">It states nothing else about either regime.</w:t>
      </w:r>
      <w:r>
        <w:rPr>
          <w:rFonts w:ascii="Calibri" w:cs="Calibri" w:eastAsia="Calibri" w:hAnsi="Calibri"/>
          <w:color w:val="333A45"/>
          <w:sz w:val="21"/>
          <w:szCs w:val="21"/>
        </w:rPr>
        <w:t xml:space="preserve"> An ADGM or federal-regime entity needs its own document.</w:t>
      </w:r>
    </w:p>
    <w:p>
      <w:pPr>
        <w:spacing w:after="110"/>
      </w:pPr>
      <w:r>
        <w:rPr>
          <w:rFonts w:ascii="Calibri" w:cs="Calibri" w:eastAsia="Calibri" w:hAnsi="Calibri"/>
          <w:color w:val="333A45"/>
          <w:sz w:val="21"/>
          <w:szCs w:val="21"/>
        </w:rPr>
        <w:t xml:space="preserve">It also does not state the financial services regulators' requirements in either zone - Section 3.6.</w:t>
      </w:r>
    </w:p>
    <w:p>
      <w:pPr>
        <w:keepNext/>
        <w:spacing w:after="80" w:before="200"/>
      </w:pPr>
      <w:r>
        <w:rPr>
          <w:rFonts w:ascii="Calibri" w:cs="Calibri" w:eastAsia="Calibri" w:hAnsi="Calibri"/>
          <w:b/>
          <w:bCs/>
          <w:color w:val="1F3864"/>
          <w:sz w:val="22"/>
          <w:szCs w:val="22"/>
        </w:rPr>
        <w:t xml:space="preserve">22.3 A caution about published sources</w:t>
      </w:r>
    </w:p>
    <w:p>
      <w:pPr>
        <w:spacing w:after="110"/>
      </w:pPr>
      <w:r>
        <w:rPr>
          <w:rFonts w:ascii="Calibri" w:cs="Calibri" w:eastAsia="Calibri" w:hAnsi="Calibri"/>
          <w:color w:val="333A45"/>
          <w:sz w:val="21"/>
          <w:szCs w:val="21"/>
        </w:rPr>
        <w:t xml:space="preserve">A specific error circulates widely in this jurisdiction and has appeared in professional commentary: </w:t>
      </w:r>
      <w:r>
        <w:rPr>
          <w:rFonts w:ascii="Calibri" w:cs="Calibri" w:eastAsia="Calibri" w:hAnsi="Calibri"/>
          <w:b/>
          <w:bCs/>
          <w:color w:val="333A45"/>
          <w:sz w:val="21"/>
          <w:szCs w:val="21"/>
        </w:rPr>
        <w:t xml:space="preserve">the phrase "without undue delay and, where feasible, not later than 72 hours after having become aware of it", attributed to the federal law's breach article.</w:t>
      </w:r>
    </w:p>
    <w:p>
      <w:pPr>
        <w:spacing w:after="110"/>
      </w:pPr>
      <w:r>
        <w:rPr>
          <w:rFonts w:ascii="Calibri" w:cs="Calibri" w:eastAsia="Calibri" w:hAnsi="Calibri"/>
          <w:color w:val="333A45"/>
          <w:sz w:val="21"/>
          <w:szCs w:val="21"/>
        </w:rPr>
        <w:t xml:space="preserve">That wording is not in the federal law. It is the wording of a European provision, and the real 72-hour duty in the UAE sits in </w:t>
      </w:r>
      <w:r>
        <w:rPr>
          <w:rFonts w:ascii="Calibri" w:cs="Calibri" w:eastAsia="Calibri" w:hAnsi="Calibri"/>
          <w:b/>
          <w:bCs/>
          <w:color w:val="333A45"/>
          <w:sz w:val="21"/>
          <w:szCs w:val="21"/>
        </w:rPr>
        <w:t xml:space="preserve">ADGM</w:t>
      </w:r>
      <w:r>
        <w:rPr>
          <w:rFonts w:ascii="Calibri" w:cs="Calibri" w:eastAsia="Calibri" w:hAnsi="Calibri"/>
          <w:color w:val="333A45"/>
          <w:sz w:val="21"/>
          <w:szCs w:val="21"/>
        </w:rPr>
        <w:t xml:space="preserve">, whose regulations adopted similar language. Commentary took a free-zone rule and attached a federal article number to it.</w:t>
      </w:r>
    </w:p>
    <w:p>
      <w:pPr>
        <w:spacing w:after="110"/>
      </w:pPr>
      <w:r>
        <w:rPr>
          <w:rFonts w:ascii="Calibri" w:cs="Calibri" w:eastAsia="Calibri" w:hAnsi="Calibri"/>
          <w:color w:val="333A45"/>
          <w:sz w:val="21"/>
          <w:szCs w:val="21"/>
        </w:rPr>
        <w:t xml:space="preserve">Related claims that also fail against the official text: that the federal Executive Regulations were issued in 2023 - they have not been, as at the date of this policy; that a specific maximum fine is set in the federal decree-law - it is not; and that a subject-access response period is specified in it - none is.</w:t>
      </w:r>
    </w:p>
    <w:p>
      <w:pPr>
        <w:spacing w:after="110"/>
      </w:pPr>
      <w:r>
        <w:rPr>
          <w:rFonts w:ascii="Calibri" w:cs="Calibri" w:eastAsia="Calibri" w:hAnsi="Calibri"/>
          <w:b/>
          <w:bCs/>
          <w:color w:val="333A45"/>
          <w:sz w:val="21"/>
          <w:szCs w:val="21"/>
        </w:rPr>
        <w:t xml:space="preserve">This is why Section 18.5 exists.</w:t>
      </w:r>
      <w:r>
        <w:rPr>
          <w:rFonts w:ascii="Calibri" w:cs="Calibri" w:eastAsia="Calibri" w:hAnsi="Calibri"/>
          <w:color w:val="333A45"/>
          <w:sz w:val="21"/>
          <w:szCs w:val="21"/>
        </w:rPr>
        <w:t xml:space="preserve"> A citation that verifies against a plausible source and fails against the primary text is the failure mode this policy is most concerned with, and it has been performed here by humans, in print, before any AI tool was involved.</w:t>
      </w:r>
    </w:p>
    <w:p>
      <w:pPr>
        <w:keepNext/>
        <w:pBdr>
          <w:bottom w:val="single" w:color="9DB9E8" w:sz="4" w:space="3"/>
        </w:pBdr>
        <w:spacing w:after="100" w:before="260"/>
      </w:pPr>
      <w:r>
        <w:rPr>
          <w:rFonts w:ascii="Calibri" w:cs="Calibri" w:eastAsia="Calibri" w:hAnsi="Calibri"/>
          <w:b/>
          <w:bCs/>
          <w:color w:val="2E5AAC"/>
          <w:sz w:val="26"/>
          <w:szCs w:val="26"/>
        </w:rPr>
        <w:t xml:space="preserve">23. Knowledge, skills and acknowledgement</w:t>
      </w:r>
    </w:p>
    <w:p>
      <w:pPr>
        <w:spacing w:after="110"/>
      </w:pPr>
      <w:r>
        <w:rPr>
          <w:rFonts w:ascii="Calibri" w:cs="Calibri" w:eastAsia="Calibri" w:hAnsi="Calibri"/>
          <w:color w:val="333A45"/>
          <w:sz w:val="21"/>
          <w:szCs w:val="21"/>
        </w:rPr>
        <w:t xml:space="preserve">23.1 Staff who use AI tools with personal data complete training covering this policy, </w:t>
      </w:r>
      <w:r>
        <w:rPr>
          <w:rFonts w:ascii="Calibri" w:cs="Calibri" w:eastAsia="Calibri" w:hAnsi="Calibri"/>
          <w:b/>
          <w:bCs/>
          <w:color w:val="333A45"/>
          <w:sz w:val="21"/>
          <w:szCs w:val="21"/>
        </w:rPr>
        <w:t xml:space="preserve">which regime applies (Section 3)</w:t>
      </w:r>
      <w:r>
        <w:rPr>
          <w:rFonts w:ascii="Calibri" w:cs="Calibri" w:eastAsia="Calibri" w:hAnsi="Calibri"/>
          <w:color w:val="333A45"/>
          <w:sz w:val="21"/>
          <w:szCs w:val="21"/>
        </w:rPr>
        <w:t xml:space="preserve">, the System determination (Section 4), and the breach duties (Section 14), before access is granted and at least [annually] thereafter.</w:t>
      </w:r>
    </w:p>
    <w:p>
      <w:pPr>
        <w:spacing w:after="110"/>
      </w:pPr>
      <w:r>
        <w:rPr>
          <w:rFonts w:ascii="Calibri" w:cs="Calibri" w:eastAsia="Calibri" w:hAnsi="Calibri"/>
          <w:color w:val="333A45"/>
          <w:sz w:val="21"/>
          <w:szCs w:val="21"/>
        </w:rPr>
        <w:t xml:space="preserve">23.2 Staff who operate, oversee or make decisions informed by a System used for High Risk Processing complete additional training on Sections 9 to 13.</w:t>
      </w:r>
    </w:p>
    <w:p>
      <w:pPr>
        <w:spacing w:after="110"/>
      </w:pPr>
      <w:r>
        <w:rPr>
          <w:rFonts w:ascii="Calibri" w:cs="Calibri" w:eastAsia="Calibri" w:hAnsi="Calibri"/>
          <w:color w:val="333A45"/>
          <w:sz w:val="21"/>
          <w:szCs w:val="21"/>
        </w:rPr>
        <w:t xml:space="preserve">23.3 Staff acknowledge this policy on joining, on material revision, and at least annually.</w:t>
      </w:r>
    </w:p>
    <w:p>
      <w:pPr>
        <w:spacing w:after="110"/>
      </w:pPr>
      <w:r>
        <w:rPr>
          <w:rFonts w:ascii="Calibri" w:cs="Calibri" w:eastAsia="Calibri" w:hAnsi="Calibri"/>
          <w:color w:val="333A45"/>
          <w:sz w:val="21"/>
          <w:szCs w:val="21"/>
        </w:rPr>
        <w:t xml:space="preserve">23.4 Questions go to [CONTACT]. Asking before acting is always acceptable.</w:t>
      </w:r>
    </w:p>
    <w:p>
      <w:pPr>
        <w:spacing w:after="110"/>
      </w:pPr>
      <w:r>
        <w:rPr>
          <w:rFonts w:ascii="Calibri" w:cs="Calibri" w:eastAsia="Calibri" w:hAnsi="Calibri"/>
          <w:b/>
          <w:bCs/>
          <w:color w:val="333A45"/>
          <w:sz w:val="21"/>
          <w:szCs w:val="21"/>
        </w:rPr>
        <w:t xml:space="preserve">Version history:</w:t>
      </w:r>
      <w:r>
        <w:rPr>
          <w:rFonts w:ascii="Calibri" w:cs="Calibri" w:eastAsia="Calibri" w:hAnsi="Calibri"/>
          <w:color w:val="333A45"/>
          <w:sz w:val="21"/>
          <w:szCs w:val="21"/>
        </w:rPr>
        <w:t xml:space="preserve"> 1.0 - initial policy, published 2 September 2026; verified within its stated scope (DIFC-registered entities; evidence tiers stated in the research note and source register).</w:t>
      </w:r>
    </w:p>
    <w:p>
      <w:pPr>
        <w:spacing w:after="110"/>
      </w:pPr>
      <w:r>
        <w:rPr>
          <w:rFonts w:ascii="Calibri" w:cs="Calibri" w:eastAsia="Calibri" w:hAnsi="Calibri"/>
          <w:i/>
          <w:iCs/>
          <w:color w:val="5A6472"/>
          <w:sz w:val="19"/>
          <w:szCs w:val="19"/>
        </w:rPr>
        <w:t xml:space="preserve">This document is an educational policy template and does not constitute legal advice. It is written for a DIFC-registered entity, reflects obligations as set out in the accompanying research note, and must be reviewed by the data protection lead or qualified legal counsel before adoption.</w:t>
      </w:r>
    </w:p>
    <w:sectPr>
      <w:footerReference w:type="default" r:id="rId7"/>
      <w:pgSz w:w="11906" w:h="16838" w:orient="portrait"/>
      <w:pgMar w:top="1240" w:right="1300" w:bottom="12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DB9E8" w:sz="4" w:space="4"/>
      </w:pBdr>
      <w:jc w:val="center"/>
    </w:pPr>
    <w:r>
      <w:rPr>
        <w:rFonts w:ascii="Calibri" w:cs="Calibri" w:eastAsia="Calibri" w:hAnsi="Calibri"/>
        <w:color w:val="5A6472"/>
        <w:sz w:val="16"/>
        <w:szCs w:val="16"/>
      </w:rPr>
      <w:t xml:space="preserve">AI Acceptable Use Policy - v1.0 - Internal   |   Page </w:t>
    </w:r>
    <w:r>
      <w:rPr>
        <w:rFonts w:ascii="Calibri" w:cs="Calibri" w:eastAsia="Calibri" w:hAnsi="Calibri"/>
        <w:color w:val="5A6472"/>
        <w:sz w:val="16"/>
        <w:szCs w:val="16"/>
      </w:rPr>
      <w:fldChar w:fldCharType="begin"/>
      <w:instrText xml:space="preserve">PAGE</w:instrText>
      <w:fldChar w:fldCharType="separate"/>
      <w:fldChar w:fldCharType="end"/>
    </w:r>
    <w:r>
      <w:rPr>
        <w:rFonts w:ascii="Calibri" w:cs="Calibri" w:eastAsia="Calibri" w:hAnsi="Calibri"/>
        <w:color w:val="5A6472"/>
        <w:sz w:val="16"/>
        <w:szCs w:val="16"/>
      </w:rPr>
      <w:t xml:space="preserve"> of </w:t>
    </w:r>
    <w:r>
      <w:rPr>
        <w:rFonts w:ascii="Calibri" w:cs="Calibri" w:eastAsia="Calibri" w:hAnsi="Calibri"/>
        <w:color w:val="5A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rPr>
        <w:color w:val="2E5AA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A4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Acceptable Use Policy (UAE)</dc:title>
  <dc:creator>Narendra Karki</dc:creator>
  <cp:lastModifiedBy>Narendra Karki</cp:lastModifiedBy>
  <cp:revision>1</cp:revision>
  <dcterms:created xsi:type="dcterms:W3CDTF">2026-09-02T04:27:09.321Z</dcterms:created>
  <dcterms:modified xsi:type="dcterms:W3CDTF">2026-09-02T04:27:09.322Z</dcterms:modified>
</cp:coreProperties>
</file>

<file path=docProps/custom.xml><?xml version="1.0" encoding="utf-8"?>
<Properties xmlns="http://schemas.openxmlformats.org/officeDocument/2006/custom-properties" xmlns:vt="http://schemas.openxmlformats.org/officeDocument/2006/docPropsVTypes"/>
</file>