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AAC" w:sz="12" w:space="6"/>
        </w:pBdr>
        <w:spacing w:after="60"/>
      </w:pPr>
      <w:r>
        <w:rPr>
          <w:rFonts w:ascii="Calibri" w:cs="Calibri" w:eastAsia="Calibri" w:hAnsi="Calibri"/>
          <w:b/>
          <w:bCs/>
          <w:color w:val="1F3864"/>
          <w:sz w:val="42"/>
          <w:szCs w:val="42"/>
        </w:rPr>
        <w:t xml:space="preserve">Source register - United Arab Emirates AI policy set</w:t>
      </w:r>
    </w:p>
    <w:p>
      <w:pPr>
        <w:spacing w:after="110"/>
      </w:pPr>
      <w:r>
        <w:rPr>
          <w:rFonts w:ascii="Calibri" w:cs="Calibri" w:eastAsia="Calibri" w:hAnsi="Calibri"/>
          <w:color w:val="333A45"/>
          <w:sz w:val="21"/>
          <w:szCs w:val="21"/>
        </w:rPr>
        <w:t xml:space="preserve">Every document referred to, used, or deliberately not used in producing the UAE AI Acceptable Use Policy v1.0, the Enterprise Annex v1.0, and the research note.</w:t>
      </w:r>
    </w:p>
    <w:p>
      <w:pPr>
        <w:spacing w:after="110"/>
      </w:pPr>
      <w:r>
        <w:rPr>
          <w:rFonts w:ascii="Calibri" w:cs="Calibri" w:eastAsia="Calibri" w:hAnsi="Calibri"/>
          <w:color w:val="333A45"/>
          <w:sz w:val="21"/>
          <w:szCs w:val="21"/>
        </w:rPr>
        <w:t xml:space="preserve">State as at 31 August 2026. Hashes are SHA-256 of the file as supplied, truncated to 16 characters.</w:t>
      </w:r>
    </w:p>
    <w:p>
      <w:pPr>
        <w:keepNext/>
        <w:pBdr>
          <w:bottom w:val="single" w:color="9DB9E8" w:sz="4" w:space="3"/>
        </w:pBdr>
        <w:spacing w:after="100" w:before="260"/>
      </w:pPr>
      <w:r>
        <w:rPr>
          <w:rFonts w:ascii="Calibri" w:cs="Calibri" w:eastAsia="Calibri" w:hAnsi="Calibri"/>
          <w:b/>
          <w:bCs/>
          <w:color w:val="2E5AAC"/>
          <w:sz w:val="26"/>
          <w:szCs w:val="26"/>
        </w:rPr>
        <w:t xml:space="preserve">0. Read this first</w:t>
      </w:r>
    </w:p>
    <w:p>
      <w:pPr>
        <w:spacing w:after="110"/>
      </w:pPr>
      <w:r>
        <w:rPr>
          <w:rFonts w:ascii="Calibri" w:cs="Calibri" w:eastAsia="Calibri" w:hAnsi="Calibri"/>
          <w:b/>
          <w:bCs/>
          <w:color w:val="333A45"/>
          <w:sz w:val="21"/>
          <w:szCs w:val="21"/>
        </w:rPr>
        <w:t xml:space="preserve">The UAE is three data protection jurisdictions, not one.</w:t>
      </w:r>
      <w:r>
        <w:rPr>
          <w:rFonts w:ascii="Calibri" w:cs="Calibri" w:eastAsia="Calibri" w:hAnsi="Calibri"/>
          <w:color w:val="333A45"/>
          <w:sz w:val="21"/>
          <w:szCs w:val="21"/>
        </w:rPr>
        <w:t xml:space="preserve"> DIFC, ADGM and the federal regime have different regulators, different obligations and three different answers to the same breach question. </w:t>
      </w:r>
      <w:r>
        <w:rPr>
          <w:rFonts w:ascii="Calibri" w:cs="Calibri" w:eastAsia="Calibri" w:hAnsi="Calibri"/>
          <w:b/>
          <w:bCs/>
          <w:color w:val="333A45"/>
          <w:sz w:val="21"/>
          <w:szCs w:val="21"/>
        </w:rPr>
        <w:t xml:space="preserve">The free zones are an exclusion from the federal regime, not a variation on it.</w:t>
      </w:r>
    </w:p>
    <w:p>
      <w:pPr>
        <w:spacing w:after="110"/>
      </w:pPr>
      <w:r>
        <w:rPr>
          <w:rFonts w:ascii="Calibri" w:cs="Calibri" w:eastAsia="Calibri" w:hAnsi="Calibri"/>
          <w:b/>
          <w:bCs/>
          <w:color w:val="333A45"/>
          <w:sz w:val="21"/>
          <w:szCs w:val="21"/>
        </w:rPr>
        <w:t xml:space="preserve">This set is written for a DIFC-registered entity.</w:t>
      </w:r>
      <w:r>
        <w:rPr>
          <w:rFonts w:ascii="Calibri" w:cs="Calibri" w:eastAsia="Calibri" w:hAnsi="Calibri"/>
          <w:color w:val="333A45"/>
          <w:sz w:val="21"/>
          <w:szCs w:val="21"/>
        </w:rPr>
        <w:t xml:space="preserve"> It states the ADGM and federal breach positions because misapplying them is the most consequential error available in this jurisdiction - and one that has been made in print. It states nothing else about either regime.</w:t>
      </w:r>
    </w:p>
    <w:p>
      <w:pPr>
        <w:spacing w:after="110"/>
      </w:pPr>
      <w:r>
        <w:rPr>
          <w:rFonts w:ascii="Calibri" w:cs="Calibri" w:eastAsia="Calibri" w:hAnsi="Calibri"/>
          <w:b/>
          <w:bCs/>
          <w:color w:val="333A45"/>
          <w:sz w:val="21"/>
          <w:szCs w:val="21"/>
        </w:rPr>
        <w:t xml:space="preserve">This set has two tiers of evidence and marks the seam between them.</w:t>
      </w:r>
      <w:r>
        <w:rPr>
          <w:rFonts w:ascii="Calibri" w:cs="Calibri" w:eastAsia="Calibri" w:hAnsi="Calibri"/>
          <w:color w:val="333A45"/>
          <w:sz w:val="21"/>
          <w:szCs w:val="21"/>
        </w:rPr>
        <w:t xml:space="preserve"> Section 1 is held and read in full. Section 2 was verified previously against official government sources but is not present in this container. Everything downstream of that distinction is labelled in the research note.</w:t>
      </w:r>
    </w:p>
    <w:p>
      <w:pPr>
        <w:keepNext/>
        <w:pBdr>
          <w:bottom w:val="single" w:color="9DB9E8" w:sz="4" w:space="3"/>
        </w:pBdr>
        <w:spacing w:after="100" w:before="260"/>
      </w:pPr>
      <w:r>
        <w:rPr>
          <w:rFonts w:ascii="Calibri" w:cs="Calibri" w:eastAsia="Calibri" w:hAnsi="Calibri"/>
          <w:b/>
          <w:bCs/>
          <w:color w:val="2E5AAC"/>
          <w:sz w:val="26"/>
          <w:szCs w:val="26"/>
        </w:rPr>
        <w:t xml:space="preserve">1. TIER 1 - HELD IN FULL AND CITED</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3000"/>
        <w:gridCol w:w="3000"/>
        <w:gridCol w:w="3000"/>
      </w:tblGrid>
      <w:tr>
        <w:trPr>
          <w:tblHeader/>
        </w:trPr>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Instrument</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Detail</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SHA-256</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DIFC REGULATION 10 - Accreditation and Certification Framework For Autonomous and Semi-Autonomous Systems Processing Personal Data</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Issued by the Commissioner of Data Protection, Dubai International Financial Centre. 121 pp, read in full</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1557019ef9551bbe</w:t>
            </w:r>
          </w:p>
        </w:tc>
      </w:tr>
    </w:tbl>
    <w:p>
      <w:pPr>
        <w:spacing w:after="120"/>
      </w:pPr>
    </w:p>
    <w:p>
      <w:pPr>
        <w:spacing w:after="110"/>
      </w:pPr>
      <w:r>
        <w:rPr>
          <w:rFonts w:ascii="Calibri" w:cs="Calibri" w:eastAsia="Calibri" w:hAnsi="Calibri"/>
          <w:b/>
          <w:bCs/>
          <w:color w:val="333A45"/>
          <w:sz w:val="21"/>
          <w:szCs w:val="21"/>
        </w:rPr>
        <w:t xml:space="preserve">Cited:</w:t>
      </w:r>
      <w:r>
        <w:rPr>
          <w:rFonts w:ascii="Calibri" w:cs="Calibri" w:eastAsia="Calibri" w:hAnsi="Calibri"/>
          <w:color w:val="333A45"/>
          <w:sz w:val="21"/>
          <w:szCs w:val="21"/>
        </w:rPr>
        <w:t xml:space="preserve"> the definitions table (System, Certification Applicant, Framework, Commissioner, Confirmation Statement); "What is the Framework?" and "Why is the Framework necessary?"; Part 2 Introduction and Preliminary Questions; the Regulation 10.1.1 role definitions quoted in Part 2; Systems Certification Program Requirements 1.1-1.8, 2.1-2.4, 3.1-3.3 and 4.1-4.5; Appendix A (templates); Appendix C Sections 0 to 8 and Section 0's assessment criteria; and the notice and disclaimer carried on every page.</w:t>
      </w:r>
    </w:p>
    <w:p>
      <w:pPr>
        <w:spacing w:after="110"/>
      </w:pPr>
      <w:r>
        <w:rPr>
          <w:rFonts w:ascii="Calibri" w:cs="Calibri" w:eastAsia="Calibri" w:hAnsi="Calibri"/>
          <w:b/>
          <w:bCs/>
          <w:color w:val="333A45"/>
          <w:sz w:val="21"/>
          <w:szCs w:val="21"/>
        </w:rPr>
        <w:t xml:space="preserve">Twenty-seven substantive passages were checked verbatim against this document</w:t>
      </w:r>
      <w:r>
        <w:rPr>
          <w:rFonts w:ascii="Calibri" w:cs="Calibri" w:eastAsia="Calibri" w:hAnsi="Calibri"/>
          <w:color w:val="333A45"/>
          <w:sz w:val="21"/>
          <w:szCs w:val="21"/>
        </w:rPr>
        <w:t xml:space="preserve"> before the policy was written.</w:t>
      </w:r>
    </w:p>
    <w:p>
      <w:pPr>
        <w:spacing w:after="110"/>
      </w:pPr>
      <w:r>
        <w:rPr>
          <w:rFonts w:ascii="Calibri" w:cs="Calibri" w:eastAsia="Calibri" w:hAnsi="Calibri"/>
          <w:b/>
          <w:bCs/>
          <w:color w:val="333A45"/>
          <w:sz w:val="21"/>
          <w:szCs w:val="21"/>
        </w:rPr>
        <w:t xml:space="preserve">This is the only genuinely AI-specific instrument across the five jurisdictions in this programme.</w:t>
      </w:r>
      <w:r>
        <w:rPr>
          <w:rFonts w:ascii="Calibri" w:cs="Calibri" w:eastAsia="Calibri" w:hAnsi="Calibri"/>
          <w:color w:val="333A45"/>
          <w:sz w:val="21"/>
          <w:szCs w:val="21"/>
        </w:rPr>
        <w:t xml:space="preserve"> Every other set reaches AI through general data protection obligations. This one addresses autonomous and semi-autonomous systems directly, and it is the reason the UAE policy has sections with no counterpart elsewhere.</w:t>
      </w:r>
    </w:p>
    <w:p>
      <w:pPr>
        <w:keepNext/>
        <w:pBdr>
          <w:bottom w:val="single" w:color="9DB9E8" w:sz="4" w:space="3"/>
        </w:pBdr>
        <w:spacing w:after="100" w:before="260"/>
      </w:pPr>
      <w:r>
        <w:rPr>
          <w:rFonts w:ascii="Calibri" w:cs="Calibri" w:eastAsia="Calibri" w:hAnsi="Calibri"/>
          <w:b/>
          <w:bCs/>
          <w:color w:val="2E5AAC"/>
          <w:sz w:val="26"/>
          <w:szCs w:val="26"/>
        </w:rPr>
        <w:t xml:space="preserve">2. TIER 2 - VERIFIED PREVIOUSLY AGAINST OFFICIAL TEXTS, NOT HELD IN THIS CONTAINER</w:t>
      </w:r>
    </w:p>
    <w:p>
      <w:pPr>
        <w:spacing w:after="110"/>
      </w:pPr>
      <w:r>
        <w:rPr>
          <w:rFonts w:ascii="Calibri" w:cs="Calibri" w:eastAsia="Calibri" w:hAnsi="Calibri"/>
          <w:color w:val="333A45"/>
          <w:sz w:val="21"/>
          <w:szCs w:val="21"/>
        </w:rPr>
        <w:t xml:space="preserve">The following were established in earlier work against </w:t>
      </w:r>
      <w:r>
        <w:rPr>
          <w:rFonts w:ascii="Calibri" w:cs="Calibri" w:eastAsia="Calibri" w:hAnsi="Calibri"/>
          <w:b/>
          <w:bCs/>
          <w:color w:val="333A45"/>
          <w:sz w:val="21"/>
          <w:szCs w:val="21"/>
        </w:rPr>
        <w:t xml:space="preserve">official government sources</w:t>
      </w:r>
      <w:r>
        <w:rPr>
          <w:rFonts w:ascii="Calibri" w:cs="Calibri" w:eastAsia="Calibri" w:hAnsi="Calibri"/>
          <w:color w:val="333A45"/>
          <w:sz w:val="21"/>
          <w:szCs w:val="21"/>
        </w:rPr>
        <w:t xml:space="preserve"> - the UAE legislation portal copy of the federal decree-law, and the ADGM and DIFC instruments transcribed into the platform's corpus from their official texts. </w:t>
      </w:r>
      <w:r>
        <w:rPr>
          <w:rFonts w:ascii="Calibri" w:cs="Calibri" w:eastAsia="Calibri" w:hAnsi="Calibri"/>
          <w:b/>
          <w:bCs/>
          <w:color w:val="333A45"/>
          <w:sz w:val="21"/>
          <w:szCs w:val="21"/>
        </w:rPr>
        <w:t xml:space="preserve">Those texts are not present in the container used to write this set.</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Position</w:t>
            </w: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Source</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DIFC</w:t>
            </w:r>
            <w:r>
              <w:rPr>
                <w:rFonts w:ascii="Calibri" w:cs="Calibri" w:eastAsia="Calibri" w:hAnsi="Calibri"/>
                <w:color w:val="333A45"/>
                <w:sz w:val="19"/>
                <w:szCs w:val="19"/>
              </w:rPr>
              <w:t xml:space="preserve">: breach notification "as soon as practicable in the circumstances", </w:t>
            </w:r>
            <w:r>
              <w:rPr>
                <w:rFonts w:ascii="Calibri" w:cs="Calibri" w:eastAsia="Calibri" w:hAnsi="Calibri"/>
                <w:b/>
                <w:bCs/>
                <w:color w:val="333A45"/>
                <w:sz w:val="19"/>
                <w:szCs w:val="19"/>
              </w:rPr>
              <w:t xml:space="preserve">no fixed period</w:t>
            </w:r>
            <w:r>
              <w:rPr>
                <w:rFonts w:ascii="Calibri" w:cs="Calibri" w:eastAsia="Calibri" w:hAnsi="Calibri"/>
                <w:color w:val="333A45"/>
                <w:sz w:val="19"/>
                <w:szCs w:val="19"/>
              </w:rPr>
              <w:t xml:space="preserve">; trigger is a breach compromising a data subject's confidentiality, security or privacy</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DIFC data protection law, breach article</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ADGM</w:t>
            </w:r>
            <w:r>
              <w:rPr>
                <w:rFonts w:ascii="Calibri" w:cs="Calibri" w:eastAsia="Calibri" w:hAnsi="Calibri"/>
                <w:color w:val="333A45"/>
                <w:sz w:val="19"/>
                <w:szCs w:val="19"/>
              </w:rPr>
              <w:t xml:space="preserve">: </w:t>
            </w:r>
            <w:r>
              <w:rPr>
                <w:rFonts w:ascii="Calibri" w:cs="Calibri" w:eastAsia="Calibri" w:hAnsi="Calibri"/>
                <w:b/>
                <w:bCs/>
                <w:color w:val="333A45"/>
                <w:sz w:val="19"/>
                <w:szCs w:val="19"/>
              </w:rPr>
              <w:t xml:space="preserve">72 hours</w:t>
            </w:r>
            <w:r>
              <w:rPr>
                <w:rFonts w:ascii="Calibri" w:cs="Calibri" w:eastAsia="Calibri" w:hAnsi="Calibri"/>
                <w:color w:val="333A45"/>
                <w:sz w:val="19"/>
                <w:szCs w:val="19"/>
              </w:rPr>
              <w:t xml:space="preserve"> from awareness; disapplied where the breach is unlikely to result in a risk</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ADGM Data Protection Regulations, breach section</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Federal</w:t>
            </w:r>
            <w:r>
              <w:rPr>
                <w:rFonts w:ascii="Calibri" w:cs="Calibri" w:eastAsia="Calibri" w:hAnsi="Calibri"/>
                <w:color w:val="333A45"/>
                <w:sz w:val="19"/>
                <w:szCs w:val="19"/>
              </w:rPr>
              <w:t xml:space="preserve">: notify the Bureau on becoming aware, within the period and per the measures and requirements </w:t>
            </w:r>
            <w:r>
              <w:rPr>
                <w:rFonts w:ascii="Calibri" w:cs="Calibri" w:eastAsia="Calibri" w:hAnsi="Calibri"/>
                <w:b/>
                <w:bCs/>
                <w:color w:val="333A45"/>
                <w:sz w:val="19"/>
                <w:szCs w:val="19"/>
              </w:rPr>
              <w:t xml:space="preserve">set by the Executive Regulations</w:t>
            </w:r>
            <w:r>
              <w:rPr>
                <w:rFonts w:ascii="Calibri" w:cs="Calibri" w:eastAsia="Calibri" w:hAnsi="Calibri"/>
                <w:color w:val="333A45"/>
                <w:sz w:val="19"/>
                <w:szCs w:val="19"/>
              </w:rPr>
              <w:t xml:space="preserve">; </w:t>
            </w:r>
            <w:r>
              <w:rPr>
                <w:rFonts w:ascii="Calibri" w:cs="Calibri" w:eastAsia="Calibri" w:hAnsi="Calibri"/>
                <w:b/>
                <w:bCs/>
                <w:color w:val="333A45"/>
                <w:sz w:val="19"/>
                <w:szCs w:val="19"/>
              </w:rPr>
              <w:t xml:space="preserve">those Regulations have not been issued</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Federal decree-law, breach article</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Federal scope exclusions</w:t>
            </w:r>
            <w:r>
              <w:rPr>
                <w:rFonts w:ascii="Calibri" w:cs="Calibri" w:eastAsia="Calibri" w:hAnsi="Calibri"/>
                <w:color w:val="333A45"/>
                <w:sz w:val="19"/>
                <w:szCs w:val="19"/>
              </w:rPr>
              <w:t xml:space="preserve">, including government data, security and judicial authorities, personal purposes, </w:t>
            </w:r>
            <w:r>
              <w:rPr>
                <w:rFonts w:ascii="Calibri" w:cs="Calibri" w:eastAsia="Calibri" w:hAnsi="Calibri"/>
                <w:b/>
                <w:bCs/>
                <w:color w:val="333A45"/>
                <w:sz w:val="19"/>
                <w:szCs w:val="19"/>
              </w:rPr>
              <w:t xml:space="preserve">health data with its own legislation</w:t>
            </w:r>
            <w:r>
              <w:rPr>
                <w:rFonts w:ascii="Calibri" w:cs="Calibri" w:eastAsia="Calibri" w:hAnsi="Calibri"/>
                <w:color w:val="333A45"/>
                <w:sz w:val="19"/>
                <w:szCs w:val="19"/>
              </w:rPr>
              <w:t xml:space="preserve">, </w:t>
            </w:r>
            <w:r>
              <w:rPr>
                <w:rFonts w:ascii="Calibri" w:cs="Calibri" w:eastAsia="Calibri" w:hAnsi="Calibri"/>
                <w:b/>
                <w:bCs/>
                <w:color w:val="333A45"/>
                <w:sz w:val="19"/>
                <w:szCs w:val="19"/>
              </w:rPr>
              <w:t xml:space="preserve">banking and credit data with its own legislation</w:t>
            </w:r>
            <w:r>
              <w:rPr>
                <w:rFonts w:ascii="Calibri" w:cs="Calibri" w:eastAsia="Calibri" w:hAnsi="Calibri"/>
                <w:color w:val="333A45"/>
                <w:sz w:val="19"/>
                <w:szCs w:val="19"/>
              </w:rPr>
              <w:t xml:space="preserve">, and </w:t>
            </w:r>
            <w:r>
              <w:rPr>
                <w:rFonts w:ascii="Calibri" w:cs="Calibri" w:eastAsia="Calibri" w:hAnsi="Calibri"/>
                <w:b/>
                <w:bCs/>
                <w:color w:val="333A45"/>
                <w:sz w:val="19"/>
                <w:szCs w:val="19"/>
              </w:rPr>
              <w:t xml:space="preserve">free-zone companies with their own data protection law</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Federal decree-law, scope article</w:t>
            </w:r>
          </w:p>
        </w:tc>
      </w:tr>
    </w:tbl>
    <w:p>
      <w:pPr>
        <w:spacing w:after="120"/>
      </w:pPr>
    </w:p>
    <w:p>
      <w:pPr>
        <w:spacing w:after="110"/>
      </w:pPr>
      <w:r>
        <w:rPr>
          <w:rFonts w:ascii="Calibri" w:cs="Calibri" w:eastAsia="Calibri" w:hAnsi="Calibri"/>
          <w:b/>
          <w:bCs/>
          <w:color w:val="333A45"/>
          <w:sz w:val="21"/>
          <w:szCs w:val="21"/>
        </w:rPr>
        <w:t xml:space="preserve">These four items are used at policy 3.1-3.5 and 14.1-14.3 and nowhere else.</w:t>
      </w:r>
      <w:r>
        <w:rPr>
          <w:rFonts w:ascii="Calibri" w:cs="Calibri" w:eastAsia="Calibri" w:hAnsi="Calibri"/>
          <w:color w:val="333A45"/>
          <w:sz w:val="21"/>
          <w:szCs w:val="21"/>
        </w:rPr>
        <w:t xml:space="preserve"> No other clause in the set depends on tier 2 evidence.</w:t>
      </w:r>
    </w:p>
    <w:p>
      <w:pPr>
        <w:spacing w:after="110"/>
      </w:pPr>
      <w:r>
        <w:rPr>
          <w:rFonts w:ascii="Calibri" w:cs="Calibri" w:eastAsia="Calibri" w:hAnsi="Calibri"/>
          <w:b/>
          <w:bCs/>
          <w:color w:val="333A45"/>
          <w:sz w:val="21"/>
          <w:szCs w:val="21"/>
        </w:rPr>
        <w:t xml:space="preserve">A recorded caveat carried forward:</w:t>
      </w:r>
      <w:r>
        <w:rPr>
          <w:rFonts w:ascii="Calibri" w:cs="Calibri" w:eastAsia="Calibri" w:hAnsi="Calibri"/>
          <w:color w:val="333A45"/>
          <w:sz w:val="21"/>
          <w:szCs w:val="21"/>
        </w:rPr>
        <w:t xml:space="preserve"> the DIFC consolidation previously held is dated March 2022 and </w:t>
      </w:r>
      <w:r>
        <w:rPr>
          <w:rFonts w:ascii="Calibri" w:cs="Calibri" w:eastAsia="Calibri" w:hAnsi="Calibri"/>
          <w:b/>
          <w:bCs/>
          <w:color w:val="333A45"/>
          <w:sz w:val="21"/>
          <w:szCs w:val="21"/>
        </w:rPr>
        <w:t xml:space="preserve">predates both the 2023 amendments to that law and Regulation 10 itself</w:t>
      </w:r>
      <w:r>
        <w:rPr>
          <w:rFonts w:ascii="Calibri" w:cs="Calibri" w:eastAsia="Calibri" w:hAnsi="Calibri"/>
          <w:color w:val="333A45"/>
          <w:sz w:val="21"/>
          <w:szCs w:val="21"/>
        </w:rPr>
        <w:t xml:space="preserve">. The open-ended breach reading is true of that text and should be re-checked against a current consolidation.</w:t>
      </w:r>
    </w:p>
    <w:p>
      <w:pPr>
        <w:keepNext/>
        <w:pBdr>
          <w:bottom w:val="single" w:color="9DB9E8" w:sz="4" w:space="3"/>
        </w:pBdr>
        <w:spacing w:after="100" w:before="260"/>
      </w:pPr>
      <w:r>
        <w:rPr>
          <w:rFonts w:ascii="Calibri" w:cs="Calibri" w:eastAsia="Calibri" w:hAnsi="Calibri"/>
          <w:b/>
          <w:bCs/>
          <w:color w:val="2E5AAC"/>
          <w:sz w:val="26"/>
          <w:szCs w:val="26"/>
        </w:rPr>
        <w:t xml:space="preserve">3. TIER 3 - NOT HELD</w:t>
      </w:r>
    </w:p>
    <w:p>
      <w:pPr>
        <w:keepNext/>
        <w:spacing w:after="80" w:before="200"/>
      </w:pPr>
      <w:r>
        <w:rPr>
          <w:rFonts w:ascii="Calibri" w:cs="Calibri" w:eastAsia="Calibri" w:hAnsi="Calibri"/>
          <w:b/>
          <w:bCs/>
          <w:color w:val="1F3864"/>
          <w:sz w:val="22"/>
          <w:szCs w:val="22"/>
        </w:rPr>
        <w:t xml:space="preserve">3.1 The instruments the Framework implements</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What is missing</w:t>
            </w: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Consequence</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Regulation 10 itself</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The Framework implements it and cites 10.1.1, 10.2.2(a)-(g), 10.3.1 and 10.3.3. </w:t>
            </w:r>
            <w:r>
              <w:rPr>
                <w:rFonts w:ascii="Calibri" w:cs="Calibri" w:eastAsia="Calibri" w:hAnsi="Calibri"/>
                <w:b/>
                <w:bCs/>
                <w:color w:val="333A45"/>
                <w:sz w:val="19"/>
                <w:szCs w:val="19"/>
              </w:rPr>
              <w:t xml:space="preserve">Where the Framework quotes a provision, this set follows the quotation; where it only cites one, this set states the Framework's requirement and not the underlying provision</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 current consolidation of the DIFC data protection law</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Articles 16-18 (DPO), 20 (prior consultation), 24 (contract clauses), 28 (authority requests), 29 (notice particulars) and 50-51 (accreditation) are cited by the Framework and are </w:t>
            </w:r>
            <w:r>
              <w:rPr>
                <w:rFonts w:ascii="Calibri" w:cs="Calibri" w:eastAsia="Calibri" w:hAnsi="Calibri"/>
                <w:b/>
                <w:bCs/>
                <w:color w:val="333A45"/>
                <w:sz w:val="19"/>
                <w:szCs w:val="19"/>
              </w:rPr>
              <w:t xml:space="preserve">not stated in this set</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The definition of "High Risk Processing Activities"</w:t>
            </w:r>
          </w:p>
        </w:tc>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This is the trigger for the entire regime and it is not defined in the Framework.</w:t>
            </w:r>
            <w:r>
              <w:rPr>
                <w:rFonts w:ascii="Calibri" w:cs="Calibri" w:eastAsia="Calibri" w:hAnsi="Calibri"/>
                <w:color w:val="333A45"/>
                <w:sz w:val="19"/>
                <w:szCs w:val="19"/>
              </w:rPr>
              <w:t xml:space="preserve"> Policy 5.7 routes the determination to the data protection lead, requires it in writing, and requires the cautious answer where uncertain</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The Guidance and FAQs accompanying the Framework</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Referenced at Framework 3.1 and in Part 2's Introduction</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Guidance on Article 24 Contract Clauses</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Referenced in a footnote to Framework 2.1</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The application and report templates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"All templates are available upon request from the Commissioner or relevant delegate"</w:t>
            </w:r>
          </w:p>
        </w:tc>
      </w:tr>
    </w:tbl>
    <w:p>
      <w:pPr>
        <w:spacing w:after="120"/>
      </w:pPr>
    </w:p>
    <w:p>
      <w:pPr>
        <w:keepNext/>
        <w:spacing w:after="80" w:before="200"/>
      </w:pPr>
      <w:r>
        <w:rPr>
          <w:rFonts w:ascii="Calibri" w:cs="Calibri" w:eastAsia="Calibri" w:hAnsi="Calibri"/>
          <w:b/>
          <w:bCs/>
          <w:color w:val="1F3864"/>
          <w:sz w:val="22"/>
          <w:szCs w:val="22"/>
        </w:rPr>
        <w:t xml:space="preserve">3.2 Other</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What is missing</w:t>
            </w: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Consequence</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The federal Executive Regulations</w:t>
            </w:r>
          </w:p>
        </w:tc>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Not issued.</w:t>
            </w:r>
            <w:r>
              <w:rPr>
                <w:rFonts w:ascii="Calibri" w:cs="Calibri" w:eastAsia="Calibri" w:hAnsi="Calibri"/>
                <w:color w:val="333A45"/>
                <w:sz w:val="19"/>
                <w:szCs w:val="19"/>
              </w:rPr>
              <w:t xml:space="preserve"> No federal breach period is established, and this set does not supply one</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DFSA rules (DIFC) and FSRA rules (ADGM)</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Both free zones exist to host financial institutions</w:t>
            </w:r>
            <w:r>
              <w:rPr>
                <w:rFonts w:ascii="Calibri" w:cs="Calibri" w:eastAsia="Calibri" w:hAnsi="Calibri"/>
                <w:color w:val="333A45"/>
                <w:sz w:val="19"/>
                <w:szCs w:val="19"/>
              </w:rPr>
              <w:t xml:space="preserve">, so for a regulated firm these may bite harder than the data protection regime does. Annex A13.4 says so explicitly and asserts nothing about them</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Penalties, in any of the three regimes</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Not stated anywhere in this set</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Employment law, anti-discrimination law, intellectual property law</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20 is a house standard</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Enforcement decisions and case law</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None relied on anywhere</w:t>
            </w:r>
          </w:p>
        </w:tc>
      </w:tr>
    </w:tbl>
    <w:p>
      <w:pPr>
        <w:spacing w:after="120"/>
      </w:pPr>
    </w:p>
    <w:p>
      <w:pPr>
        <w:keepNext/>
        <w:pBdr>
          <w:bottom w:val="single" w:color="9DB9E8" w:sz="4" w:space="3"/>
        </w:pBdr>
        <w:spacing w:after="100" w:before="260"/>
      </w:pPr>
      <w:r>
        <w:rPr>
          <w:rFonts w:ascii="Calibri" w:cs="Calibri" w:eastAsia="Calibri" w:hAnsi="Calibri"/>
          <w:b/>
          <w:bCs/>
          <w:color w:val="2E5AAC"/>
          <w:sz w:val="26"/>
          <w:szCs w:val="26"/>
        </w:rPr>
        <w:t xml:space="preserve">4. Two defects in the source, recorded</w:t>
      </w:r>
    </w:p>
    <w:p>
      <w:pPr>
        <w:spacing w:after="110"/>
      </w:pPr>
      <w:r>
        <w:rPr>
          <w:rFonts w:ascii="Calibri" w:cs="Calibri" w:eastAsia="Calibri" w:hAnsi="Calibri"/>
          <w:b/>
          <w:bCs/>
          <w:color w:val="333A45"/>
          <w:sz w:val="21"/>
          <w:szCs w:val="21"/>
        </w:rPr>
        <w:t xml:space="preserve">4.1 The officer has two names.</w:t>
      </w:r>
      <w:r>
        <w:rPr>
          <w:rFonts w:ascii="Calibri" w:cs="Calibri" w:eastAsia="Calibri" w:hAnsi="Calibri"/>
          <w:color w:val="333A45"/>
          <w:sz w:val="21"/>
          <w:szCs w:val="21"/>
        </w:rPr>
        <w:t xml:space="preserve"> The Framework calls the role the </w:t>
      </w:r>
      <w:r>
        <w:rPr>
          <w:rFonts w:ascii="Calibri" w:cs="Calibri" w:eastAsia="Calibri" w:hAnsi="Calibri"/>
          <w:b/>
          <w:bCs/>
          <w:color w:val="333A45"/>
          <w:sz w:val="21"/>
          <w:szCs w:val="21"/>
        </w:rPr>
        <w:t xml:space="preserve">"Automated Systems Officer (ASO)"</w:t>
      </w:r>
      <w:r>
        <w:rPr>
          <w:rFonts w:ascii="Calibri" w:cs="Calibri" w:eastAsia="Calibri" w:hAnsi="Calibri"/>
          <w:color w:val="333A45"/>
          <w:sz w:val="21"/>
          <w:szCs w:val="21"/>
        </w:rPr>
        <w:t xml:space="preserve"> where it defines it substantively (requirement 3.1) and the </w:t>
      </w:r>
      <w:r>
        <w:rPr>
          <w:rFonts w:ascii="Calibri" w:cs="Calibri" w:eastAsia="Calibri" w:hAnsi="Calibri"/>
          <w:b/>
          <w:bCs/>
          <w:color w:val="333A45"/>
          <w:sz w:val="21"/>
          <w:szCs w:val="21"/>
        </w:rPr>
        <w:t xml:space="preserve">"Autonomous Systems Officer (ASO)"</w:t>
      </w:r>
      <w:r>
        <w:rPr>
          <w:rFonts w:ascii="Calibri" w:cs="Calibri" w:eastAsia="Calibri" w:hAnsi="Calibri"/>
          <w:color w:val="333A45"/>
          <w:sz w:val="21"/>
          <w:szCs w:val="21"/>
        </w:rPr>
        <w:t xml:space="preserve"> in the audit criteria (4.3.5). This set uses the first and records the variant, because an organisation searching its own documents for one form will miss the other.</w:t>
      </w:r>
    </w:p>
    <w:p>
      <w:pPr>
        <w:spacing w:after="110"/>
      </w:pPr>
      <w:r>
        <w:rPr>
          <w:rFonts w:ascii="Calibri" w:cs="Calibri" w:eastAsia="Calibri" w:hAnsi="Calibri"/>
          <w:b/>
          <w:bCs/>
          <w:color w:val="333A45"/>
          <w:sz w:val="21"/>
          <w:szCs w:val="21"/>
        </w:rPr>
        <w:t xml:space="preserve">4.2 A duplicated clause.</w:t>
      </w:r>
      <w:r>
        <w:rPr>
          <w:rFonts w:ascii="Calibri" w:cs="Calibri" w:eastAsia="Calibri" w:hAnsi="Calibri"/>
          <w:color w:val="333A45"/>
          <w:sz w:val="21"/>
          <w:szCs w:val="21"/>
        </w:rPr>
        <w:t xml:space="preserve"> Audit criterion 4.3.5 ends with "...unless an exception to this rule for extenuating circumstances is approved by the Commissioner" </w:t>
      </w:r>
      <w:r>
        <w:rPr>
          <w:rFonts w:ascii="Calibri" w:cs="Calibri" w:eastAsia="Calibri" w:hAnsi="Calibri"/>
          <w:b/>
          <w:bCs/>
          <w:color w:val="333A45"/>
          <w:sz w:val="21"/>
          <w:szCs w:val="21"/>
        </w:rPr>
        <w:t xml:space="preserve">twice</w:t>
      </w:r>
      <w:r>
        <w:rPr>
          <w:rFonts w:ascii="Calibri" w:cs="Calibri" w:eastAsia="Calibri" w:hAnsi="Calibri"/>
          <w:color w:val="333A45"/>
          <w:sz w:val="21"/>
          <w:szCs w:val="21"/>
        </w:rPr>
        <w:t xml:space="preserve">. The requirement is unambiguous; the duplication is recorded so a reader comparing texts does not infer two different exceptions. A similar artefact appears at 4.2 ("at least once in during the three (3) year validity").</w:t>
      </w:r>
    </w:p>
    <w:p>
      <w:pPr>
        <w:spacing w:after="110"/>
      </w:pPr>
      <w:r>
        <w:rPr>
          <w:rFonts w:ascii="Calibri" w:cs="Calibri" w:eastAsia="Calibri" w:hAnsi="Calibri"/>
          <w:b/>
          <w:bCs/>
          <w:color w:val="333A45"/>
          <w:sz w:val="21"/>
          <w:szCs w:val="21"/>
        </w:rPr>
        <w:t xml:space="preserve">Neither affects any obligation.</w:t>
      </w:r>
      <w:r>
        <w:rPr>
          <w:rFonts w:ascii="Calibri" w:cs="Calibri" w:eastAsia="Calibri" w:hAnsi="Calibri"/>
          <w:color w:val="333A45"/>
          <w:sz w:val="21"/>
          <w:szCs w:val="21"/>
        </w:rPr>
        <w:t xml:space="preserve"> Both are recorded because a source defect that goes unrecorded becomes a discrepancy someone later has to rediscover.</w:t>
      </w:r>
    </w:p>
    <w:p>
      <w:pPr>
        <w:keepNext/>
        <w:pBdr>
          <w:bottom w:val="single" w:color="9DB9E8" w:sz="4" w:space="3"/>
        </w:pBdr>
        <w:spacing w:after="100" w:before="260"/>
      </w:pPr>
      <w:r>
        <w:rPr>
          <w:rFonts w:ascii="Calibri" w:cs="Calibri" w:eastAsia="Calibri" w:hAnsi="Calibri"/>
          <w:b/>
          <w:bCs/>
          <w:color w:val="2E5AAC"/>
          <w:sz w:val="26"/>
          <w:szCs w:val="26"/>
        </w:rPr>
        <w:t xml:space="preserve">5. The issuer's own disclaimer</w:t>
      </w:r>
    </w:p>
    <w:p>
      <w:pPr>
        <w:spacing w:after="110"/>
      </w:pPr>
      <w:r>
        <w:rPr>
          <w:rFonts w:ascii="Calibri" w:cs="Calibri" w:eastAsia="Calibri" w:hAnsi="Calibri"/>
          <w:color w:val="333A45"/>
          <w:sz w:val="21"/>
          <w:szCs w:val="21"/>
        </w:rPr>
        <w:t xml:space="preserve">Every page of the Framework carries a notice stating that its content "is provided for informational purposes only and </w:t>
      </w:r>
      <w:r>
        <w:rPr>
          <w:rFonts w:ascii="Calibri" w:cs="Calibri" w:eastAsia="Calibri" w:hAnsi="Calibri"/>
          <w:b/>
          <w:bCs/>
          <w:color w:val="333A45"/>
          <w:sz w:val="21"/>
          <w:szCs w:val="21"/>
        </w:rPr>
        <w:t xml:space="preserve">should not be considered complete, up to date or a substitute for specific professional advice</w:t>
      </w:r>
      <w:r>
        <w:rPr>
          <w:rFonts w:ascii="Calibri" w:cs="Calibri" w:eastAsia="Calibri" w:hAnsi="Calibri"/>
          <w:color w:val="333A45"/>
          <w:sz w:val="21"/>
          <w:szCs w:val="21"/>
        </w:rPr>
        <w:t xml:space="preserve">".</w:t>
      </w:r>
    </w:p>
    <w:p>
      <w:pPr>
        <w:spacing w:after="110"/>
      </w:pPr>
      <w:r>
        <w:rPr>
          <w:rFonts w:ascii="Calibri" w:cs="Calibri" w:eastAsia="Calibri" w:hAnsi="Calibri"/>
          <w:b/>
          <w:bCs/>
          <w:color w:val="333A45"/>
          <w:sz w:val="21"/>
          <w:szCs w:val="21"/>
        </w:rPr>
        <w:t xml:space="preserve">The issuing authority disclaims the completeness and currency of its own framework document.</w:t>
      </w:r>
      <w:r>
        <w:rPr>
          <w:rFonts w:ascii="Calibri" w:cs="Calibri" w:eastAsia="Calibri" w:hAnsi="Calibri"/>
          <w:color w:val="333A45"/>
          <w:sz w:val="21"/>
          <w:szCs w:val="21"/>
        </w:rPr>
        <w:t xml:space="preserve"> That is unusual enough to record here rather than only in the research note. Annex A13.5 treats it as a standing reason to verify the current position before any decision of consequence, and A4.5 requires the committee to record which version of the Framework its position rests on.</w:t>
      </w:r>
    </w:p>
    <w:p>
      <w:pPr>
        <w:keepNext/>
        <w:pBdr>
          <w:bottom w:val="single" w:color="9DB9E8" w:sz="4" w:space="3"/>
        </w:pBdr>
        <w:spacing w:after="100" w:before="260"/>
      </w:pPr>
      <w:r>
        <w:rPr>
          <w:rFonts w:ascii="Calibri" w:cs="Calibri" w:eastAsia="Calibri" w:hAnsi="Calibri"/>
          <w:b/>
          <w:bCs/>
          <w:color w:val="2E5AAC"/>
          <w:sz w:val="26"/>
          <w:szCs w:val="26"/>
        </w:rPr>
        <w:t xml:space="preserve">6. Documents supplied in the same batch and NOT used here</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3000"/>
        <w:gridCol w:w="3000"/>
        <w:gridCol w:w="3000"/>
      </w:tblGrid>
      <w:tr>
        <w:trPr>
          <w:tblHeader/>
        </w:trPr>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Document</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Jurisdiction</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SHA-256</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Personal Data Protection Act 2012 (2020 Revised Edition)</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Singapore</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d41a91872422d696</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Digital Personal Data Protection Rules, 2025 - G.S.R. 846(E)</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India</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eabc7d05e0131446</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Corrigenda - G.S.R. 892(E)</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India</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8f8d9526b5118018</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Data Protection Board composition - G.S.R. 845(E)</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India</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812fe0ce802fe78f</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NDMO Data Management and Personal Data Protection Standards v1.5</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Saudi Arabia</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784fdaae1ff5d9de</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Data Sharing Policy v2.0</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Saudi Arabia</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93e843b8a20a75de</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Data Classification Policy v1</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Saudi Arabia</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bfad974c5343b264</w:t>
            </w:r>
          </w:p>
        </w:tc>
      </w:tr>
    </w:tbl>
    <w:p>
      <w:pPr>
        <w:spacing w:after="120"/>
      </w:pPr>
    </w:p>
    <w:p>
      <w:pPr>
        <w:spacing w:after="110"/>
      </w:pPr>
      <w:r>
        <w:rPr>
          <w:rFonts w:ascii="Calibri" w:cs="Calibri" w:eastAsia="Calibri" w:hAnsi="Calibri"/>
          <w:b/>
          <w:bCs/>
          <w:color w:val="333A45"/>
          <w:sz w:val="21"/>
          <w:szCs w:val="21"/>
        </w:rPr>
        <w:t xml:space="preserve">No provision of any of these entered the UAE set</w:t>
      </w:r>
      <w:r>
        <w:rPr>
          <w:rFonts w:ascii="Calibri" w:cs="Calibri" w:eastAsia="Calibri" w:hAnsi="Calibri"/>
          <w:color w:val="333A45"/>
          <w:sz w:val="21"/>
          <w:szCs w:val="21"/>
        </w:rPr>
        <w:t xml:space="preserve">, and no comparison to any other jurisdiction appears in any UAE document.</w:t>
      </w:r>
    </w:p>
    <w:p>
      <w:pPr>
        <w:spacing w:after="110"/>
      </w:pPr>
      <w:r>
        <w:rPr>
          <w:rFonts w:ascii="Calibri" w:cs="Calibri" w:eastAsia="Calibri" w:hAnsi="Calibri"/>
          <w:b/>
          <w:bCs/>
          <w:color w:val="333A45"/>
          <w:sz w:val="21"/>
          <w:szCs w:val="21"/>
        </w:rPr>
        <w:t xml:space="preserve">One point deserves naming.</w:t>
      </w:r>
      <w:r>
        <w:rPr>
          <w:rFonts w:ascii="Calibri" w:cs="Calibri" w:eastAsia="Calibri" w:hAnsi="Calibri"/>
          <w:color w:val="333A45"/>
          <w:sz w:val="21"/>
          <w:szCs w:val="21"/>
        </w:rPr>
        <w:t xml:space="preserve"> The Framework's own definitions note says the System definition "has been adapted on the basis of the OECD guidelines and the Regulation of the European Union on harmonised rules on AI ('EU AI Act')". </w:t>
      </w:r>
      <w:r>
        <w:rPr>
          <w:rFonts w:ascii="Calibri" w:cs="Calibri" w:eastAsia="Calibri" w:hAnsi="Calibri"/>
          <w:b/>
          <w:bCs/>
          <w:color w:val="333A45"/>
          <w:sz w:val="21"/>
          <w:szCs w:val="21"/>
        </w:rPr>
        <w:t xml:space="preserve">That acknowledgement is part of the DIFC instrument and is quoted as such.</w:t>
      </w:r>
      <w:r>
        <w:rPr>
          <w:rFonts w:ascii="Calibri" w:cs="Calibri" w:eastAsia="Calibri" w:hAnsi="Calibri"/>
          <w:color w:val="333A45"/>
          <w:sz w:val="21"/>
          <w:szCs w:val="21"/>
        </w:rPr>
        <w:t xml:space="preserve"> It does not make either source authority here, and no obligation in this set was taken from either.</w:t>
      </w:r>
    </w:p>
    <w:p>
      <w:pPr>
        <w:keepNext/>
        <w:pBdr>
          <w:bottom w:val="single" w:color="9DB9E8" w:sz="4" w:space="3"/>
        </w:pBdr>
        <w:spacing w:after="100" w:before="260"/>
      </w:pPr>
      <w:r>
        <w:rPr>
          <w:rFonts w:ascii="Calibri" w:cs="Calibri" w:eastAsia="Calibri" w:hAnsi="Calibri"/>
          <w:b/>
          <w:bCs/>
          <w:color w:val="2E5AAC"/>
          <w:sz w:val="26"/>
          <w:szCs w:val="26"/>
        </w:rPr>
        <w:t xml:space="preserve">7. Document architecture</w:t>
      </w:r>
    </w:p>
    <w:p>
      <w:pPr>
        <w:spacing w:after="110"/>
      </w:pPr>
      <w:r>
        <w:rPr>
          <w:rFonts w:ascii="Calibri" w:cs="Calibri" w:eastAsia="Calibri" w:hAnsi="Calibri"/>
          <w:color w:val="333A45"/>
          <w:sz w:val="21"/>
          <w:szCs w:val="21"/>
        </w:rPr>
        <w:t xml:space="preserve">[ORGANISATION] supplied an existing policy set as a structural template. Only its architecture was used: section order, tone, the convention that provision identifiers live in the research note rather than the policy body, and the practice of flagging house standards that exceed the instrument.</w:t>
      </w:r>
    </w:p>
    <w:p>
      <w:pPr>
        <w:spacing w:after="110"/>
      </w:pPr>
      <w:r>
        <w:rPr>
          <w:rFonts w:ascii="Calibri" w:cs="Calibri" w:eastAsia="Calibri" w:hAnsi="Calibri"/>
          <w:b/>
          <w:bCs/>
          <w:color w:val="333A45"/>
          <w:sz w:val="21"/>
          <w:szCs w:val="21"/>
        </w:rPr>
        <w:t xml:space="preserve">No legal source from that template was carried across.</w:t>
      </w:r>
      <w:r>
        <w:rPr>
          <w:rFonts w:ascii="Calibri" w:cs="Calibri" w:eastAsia="Calibri" w:hAnsi="Calibri"/>
          <w:color w:val="333A45"/>
          <w:sz w:val="21"/>
          <w:szCs w:val="21"/>
        </w:rPr>
        <w:t xml:space="preserve"> Every obligation in this set was derived independently from the Framework, or from the tier 2 positions at section 2. Where the template carried a citation and no equivalent provision is held, the clause here is an unsourced house standard and is labelled as such in the policy text itself.</w:t>
      </w:r>
    </w:p>
    <w:p>
      <w:pPr>
        <w:keepNext/>
        <w:pBdr>
          <w:bottom w:val="single" w:color="9DB9E8" w:sz="4" w:space="3"/>
        </w:pBdr>
        <w:spacing w:after="100" w:before="260"/>
      </w:pPr>
      <w:r>
        <w:rPr>
          <w:rFonts w:ascii="Calibri" w:cs="Calibri" w:eastAsia="Calibri" w:hAnsi="Calibri"/>
          <w:b/>
          <w:bCs/>
          <w:color w:val="2E5AAC"/>
          <w:sz w:val="26"/>
          <w:szCs w:val="26"/>
        </w:rPr>
        <w:t xml:space="preserve">8. Documents PRODUCED</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3000"/>
        <w:gridCol w:w="3000"/>
        <w:gridCol w:w="3000"/>
      </w:tblGrid>
      <w:tr>
        <w:trPr>
          <w:tblHeader/>
        </w:trPr>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Document</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Version</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Status</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UAE_AI_Acceptable_Use_Policy.md</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w:t>
            </w:r>
          </w:p>
        </w:tc>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Published 2 Sep 2026</w:t>
            </w:r>
            <w:r>
              <w:rPr>
                <w:rFonts w:ascii="Calibri" w:cs="Calibri" w:eastAsia="Calibri" w:hAnsi="Calibri"/>
                <w:color w:val="333A45"/>
                <w:sz w:val="19"/>
                <w:szCs w:val="19"/>
              </w:rPr>
              <w:t xml:space="preserve"> - verified within stated scope (DIFC-registered entities)</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UAE_AI_Governance_Enterprise_Annex.md</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Published 2 Sep 2026</w:t>
            </w:r>
            <w:r>
              <w:rPr>
                <w:rFonts w:ascii="Calibri" w:cs="Calibri" w:eastAsia="Calibri" w:hAnsi="Calibri"/>
                <w:color w:val="333A45"/>
                <w:sz w:val="19"/>
                <w:szCs w:val="19"/>
              </w:rPr>
              <w:t xml:space="preserve"> - verified within stated scope (DIFC-registered entities)</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UAE_policy_research_note.md</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Citations by tier, findings, the map of the gaps</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UAE_source_register.md</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1.1</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This document</w:t>
            </w:r>
          </w:p>
        </w:tc>
      </w:tr>
    </w:tbl>
    <w:p>
      <w:pPr>
        <w:spacing w:after="120"/>
      </w:pPr>
    </w:p>
    <w:p>
      <w:pPr>
        <w:keepNext/>
        <w:pBdr>
          <w:bottom w:val="single" w:color="9DB9E8" w:sz="4" w:space="3"/>
        </w:pBdr>
        <w:spacing w:after="100" w:before="260"/>
      </w:pPr>
      <w:r>
        <w:rPr>
          <w:rFonts w:ascii="Calibri" w:cs="Calibri" w:eastAsia="Calibri" w:hAnsi="Calibri"/>
          <w:b/>
          <w:bCs/>
          <w:color w:val="2E5AAC"/>
          <w:sz w:val="26"/>
          <w:szCs w:val="26"/>
        </w:rPr>
        <w:t xml:space="preserve">9. Sources NOT used, as a matter of method</w:t>
      </w:r>
    </w:p>
    <w:p>
      <w:pPr>
        <w:pStyle w:val="ListParagraph"/>
        <w:numPr>
          <w:ilvl w:val="0"/>
          <w:numId w:val="2"/>
        </w:numPr>
        <w:spacing w:after="70"/>
      </w:pPr>
      <w:r>
        <w:rPr>
          <w:rFonts w:ascii="Calibri" w:cs="Calibri" w:eastAsia="Calibri" w:hAnsi="Calibri"/>
          <w:b/>
          <w:bCs/>
          <w:color w:val="333A45"/>
          <w:sz w:val="21"/>
          <w:szCs w:val="21"/>
        </w:rPr>
        <w:t xml:space="preserve">No web content entered any obligation.</w:t>
      </w:r>
    </w:p>
    <w:p>
      <w:pPr>
        <w:pStyle w:val="ListParagraph"/>
        <w:numPr>
          <w:ilvl w:val="0"/>
          <w:numId w:val="2"/>
        </w:numPr>
        <w:spacing w:after="70"/>
      </w:pPr>
      <w:r>
        <w:rPr>
          <w:rFonts w:ascii="Calibri" w:cs="Calibri" w:eastAsia="Calibri" w:hAnsi="Calibri"/>
          <w:b/>
          <w:bCs/>
          <w:color w:val="333A45"/>
          <w:sz w:val="21"/>
          <w:szCs w:val="21"/>
        </w:rPr>
        <w:t xml:space="preserve">No AI-generated legal content.</w:t>
      </w:r>
      <w:r>
        <w:rPr>
          <w:rFonts w:ascii="Calibri" w:cs="Calibri" w:eastAsia="Calibri" w:hAnsi="Calibri"/>
          <w:color w:val="333A45"/>
          <w:sz w:val="21"/>
          <w:szCs w:val="21"/>
        </w:rPr>
        <w:t xml:space="preserve"> Every tier 1 provision resolves to text in the file at section 1.</w:t>
      </w:r>
    </w:p>
    <w:p>
      <w:pPr>
        <w:pStyle w:val="ListParagraph"/>
        <w:numPr>
          <w:ilvl w:val="0"/>
          <w:numId w:val="2"/>
        </w:numPr>
        <w:spacing w:after="70"/>
      </w:pPr>
      <w:r>
        <w:rPr>
          <w:rFonts w:ascii="Calibri" w:cs="Calibri" w:eastAsia="Calibri" w:hAnsi="Calibri"/>
          <w:b/>
          <w:bCs/>
          <w:color w:val="333A45"/>
          <w:sz w:val="21"/>
          <w:szCs w:val="21"/>
        </w:rPr>
        <w:t xml:space="preserve">No secondary commentary, law-firm briefing, vendor page, or comparative summary.</w:t>
      </w:r>
      <w:r>
        <w:rPr>
          <w:rFonts w:ascii="Calibri" w:cs="Calibri" w:eastAsia="Calibri" w:hAnsi="Calibri"/>
          <w:color w:val="333A45"/>
          <w:sz w:val="21"/>
          <w:szCs w:val="21"/>
        </w:rPr>
        <w:t xml:space="preserve"> Section 10 explains why that rule is load-bearing in this jurisdiction specifically.</w:t>
      </w:r>
    </w:p>
    <w:p>
      <w:pPr>
        <w:pStyle w:val="ListParagraph"/>
        <w:numPr>
          <w:ilvl w:val="0"/>
          <w:numId w:val="2"/>
        </w:numPr>
        <w:spacing w:after="70"/>
      </w:pPr>
      <w:r>
        <w:rPr>
          <w:rFonts w:ascii="Calibri" w:cs="Calibri" w:eastAsia="Calibri" w:hAnsi="Calibri"/>
          <w:b/>
          <w:bCs/>
          <w:color w:val="333A45"/>
          <w:sz w:val="21"/>
          <w:szCs w:val="21"/>
        </w:rPr>
        <w:t xml:space="preserve">No comparison to any other jurisdiction.</w:t>
      </w:r>
    </w:p>
    <w:p>
      <w:pPr>
        <w:keepNext/>
        <w:pBdr>
          <w:bottom w:val="single" w:color="9DB9E8" w:sz="4" w:space="3"/>
        </w:pBdr>
        <w:spacing w:after="100" w:before="260"/>
      </w:pPr>
      <w:r>
        <w:rPr>
          <w:rFonts w:ascii="Calibri" w:cs="Calibri" w:eastAsia="Calibri" w:hAnsi="Calibri"/>
          <w:b/>
          <w:bCs/>
          <w:color w:val="2E5AAC"/>
          <w:sz w:val="26"/>
          <w:szCs w:val="26"/>
        </w:rPr>
        <w:t xml:space="preserve">10. The verifications that mattered most</w:t>
      </w:r>
    </w:p>
    <w:p>
      <w:pPr>
        <w:keepNext/>
        <w:spacing w:after="80" w:before="200"/>
      </w:pPr>
      <w:r>
        <w:rPr>
          <w:rFonts w:ascii="Calibri" w:cs="Calibri" w:eastAsia="Calibri" w:hAnsi="Calibri"/>
          <w:b/>
          <w:bCs/>
          <w:color w:val="1F3864"/>
          <w:sz w:val="22"/>
          <w:szCs w:val="22"/>
        </w:rPr>
        <w:t xml:space="preserve">10.1 Three regimes, three answers - and a well-documented error</w:t>
      </w:r>
    </w:p>
    <w:p>
      <w:pPr>
        <w:spacing w:after="110"/>
      </w:pPr>
      <w:r>
        <w:rPr>
          <w:rFonts w:ascii="Calibri" w:cs="Calibri" w:eastAsia="Calibri" w:hAnsi="Calibri"/>
          <w:color w:val="333A45"/>
          <w:sz w:val="21"/>
          <w:szCs w:val="21"/>
        </w:rPr>
        <w:t xml:space="preserve">The single most consequential thing to get right here is which regime governs, and the breach clock is where getting it wrong does the most damage:</w:t>
      </w:r>
    </w:p>
    <w:p>
      <w:pPr>
        <w:pStyle w:val="ListParagraph"/>
        <w:numPr>
          <w:ilvl w:val="0"/>
          <w:numId w:val="2"/>
        </w:numPr>
        <w:spacing w:after="70"/>
      </w:pPr>
      <w:r>
        <w:rPr>
          <w:rFonts w:ascii="Calibri" w:cs="Calibri" w:eastAsia="Calibri" w:hAnsi="Calibri"/>
          <w:b/>
          <w:bCs/>
          <w:color w:val="333A45"/>
          <w:sz w:val="21"/>
          <w:szCs w:val="21"/>
        </w:rPr>
        <w:t xml:space="preserve">DIFC</w:t>
      </w:r>
      <w:r>
        <w:rPr>
          <w:rFonts w:ascii="Calibri" w:cs="Calibri" w:eastAsia="Calibri" w:hAnsi="Calibri"/>
          <w:color w:val="333A45"/>
          <w:sz w:val="21"/>
          <w:szCs w:val="21"/>
        </w:rPr>
        <w:t xml:space="preserve">: as soon as practicable, </w:t>
      </w:r>
      <w:r>
        <w:rPr>
          <w:rFonts w:ascii="Calibri" w:cs="Calibri" w:eastAsia="Calibri" w:hAnsi="Calibri"/>
          <w:b/>
          <w:bCs/>
          <w:color w:val="333A45"/>
          <w:sz w:val="21"/>
          <w:szCs w:val="21"/>
        </w:rPr>
        <w:t xml:space="preserve">no period at all</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b/>
          <w:bCs/>
          <w:color w:val="333A45"/>
          <w:sz w:val="21"/>
          <w:szCs w:val="21"/>
        </w:rPr>
        <w:t xml:space="preserve">ADGM</w:t>
      </w:r>
      <w:r>
        <w:rPr>
          <w:rFonts w:ascii="Calibri" w:cs="Calibri" w:eastAsia="Calibri" w:hAnsi="Calibri"/>
          <w:color w:val="333A45"/>
          <w:sz w:val="21"/>
          <w:szCs w:val="21"/>
        </w:rPr>
        <w:t xml:space="preserve">: </w:t>
      </w:r>
      <w:r>
        <w:rPr>
          <w:rFonts w:ascii="Calibri" w:cs="Calibri" w:eastAsia="Calibri" w:hAnsi="Calibri"/>
          <w:b/>
          <w:bCs/>
          <w:color w:val="333A45"/>
          <w:sz w:val="21"/>
          <w:szCs w:val="21"/>
        </w:rPr>
        <w:t xml:space="preserve">72 hours</w:t>
      </w:r>
      <w:r>
        <w:rPr>
          <w:rFonts w:ascii="Calibri" w:cs="Calibri" w:eastAsia="Calibri" w:hAnsi="Calibri"/>
          <w:color w:val="333A45"/>
          <w:sz w:val="21"/>
          <w:szCs w:val="21"/>
        </w:rPr>
        <w:t xml:space="preserve"> from awareness;</w:t>
      </w:r>
    </w:p>
    <w:p>
      <w:pPr>
        <w:pStyle w:val="ListParagraph"/>
        <w:numPr>
          <w:ilvl w:val="0"/>
          <w:numId w:val="2"/>
        </w:numPr>
        <w:spacing w:after="70"/>
      </w:pPr>
      <w:r>
        <w:rPr>
          <w:rFonts w:ascii="Calibri" w:cs="Calibri" w:eastAsia="Calibri" w:hAnsi="Calibri"/>
          <w:b/>
          <w:bCs/>
          <w:color w:val="333A45"/>
          <w:sz w:val="21"/>
          <w:szCs w:val="21"/>
        </w:rPr>
        <w:t xml:space="preserve">Federal</w:t>
      </w:r>
      <w:r>
        <w:rPr>
          <w:rFonts w:ascii="Calibri" w:cs="Calibri" w:eastAsia="Calibri" w:hAnsi="Calibri"/>
          <w:color w:val="333A45"/>
          <w:sz w:val="21"/>
          <w:szCs w:val="21"/>
        </w:rPr>
        <w:t xml:space="preserve">: </w:t>
      </w:r>
      <w:r>
        <w:rPr>
          <w:rFonts w:ascii="Calibri" w:cs="Calibri" w:eastAsia="Calibri" w:hAnsi="Calibri"/>
          <w:b/>
          <w:bCs/>
          <w:color w:val="333A45"/>
          <w:sz w:val="21"/>
          <w:szCs w:val="21"/>
        </w:rPr>
        <w:t xml:space="preserve">no period established</w:t>
      </w:r>
      <w:r>
        <w:rPr>
          <w:rFonts w:ascii="Calibri" w:cs="Calibri" w:eastAsia="Calibri" w:hAnsi="Calibri"/>
          <w:color w:val="333A45"/>
          <w:sz w:val="21"/>
          <w:szCs w:val="21"/>
        </w:rPr>
        <w:t xml:space="preserve">, because the Executive Regulations that would set it have not been issued.</w:t>
      </w:r>
    </w:p>
    <w:p>
      <w:pPr>
        <w:spacing w:after="110"/>
      </w:pPr>
      <w:r>
        <w:rPr>
          <w:rFonts w:ascii="Calibri" w:cs="Calibri" w:eastAsia="Calibri" w:hAnsi="Calibri"/>
          <w:color w:val="333A45"/>
          <w:sz w:val="21"/>
          <w:szCs w:val="21"/>
        </w:rPr>
        <w:t xml:space="preserve">A specific misattribution circulates widely and has appeared in professional commentary: the phrase "without undue delay and, where feasible, not later than 72 hours after having become aware of it", attributed to the </w:t>
      </w:r>
      <w:r>
        <w:rPr>
          <w:rFonts w:ascii="Calibri" w:cs="Calibri" w:eastAsia="Calibri" w:hAnsi="Calibri"/>
          <w:b/>
          <w:bCs/>
          <w:color w:val="333A45"/>
          <w:sz w:val="21"/>
          <w:szCs w:val="21"/>
        </w:rPr>
        <w:t xml:space="preserve">federal</w:t>
      </w:r>
      <w:r>
        <w:rPr>
          <w:rFonts w:ascii="Calibri" w:cs="Calibri" w:eastAsia="Calibri" w:hAnsi="Calibri"/>
          <w:color w:val="333A45"/>
          <w:sz w:val="21"/>
          <w:szCs w:val="21"/>
        </w:rPr>
        <w:t xml:space="preserve"> law's breach article. That wording is not in the federal decree-law. It is European provision wording, and the real 72-hour duty sits in </w:t>
      </w:r>
      <w:r>
        <w:rPr>
          <w:rFonts w:ascii="Calibri" w:cs="Calibri" w:eastAsia="Calibri" w:hAnsi="Calibri"/>
          <w:b/>
          <w:bCs/>
          <w:color w:val="333A45"/>
          <w:sz w:val="21"/>
          <w:szCs w:val="21"/>
        </w:rPr>
        <w:t xml:space="preserve">ADGM</w:t>
      </w:r>
      <w:r>
        <w:rPr>
          <w:rFonts w:ascii="Calibri" w:cs="Calibri" w:eastAsia="Calibri" w:hAnsi="Calibri"/>
          <w:color w:val="333A45"/>
          <w:sz w:val="21"/>
          <w:szCs w:val="21"/>
        </w:rPr>
        <w:t xml:space="preserve">, whose regulations adopted similar language - which is why the sentence matches something. </w:t>
      </w:r>
      <w:r>
        <w:rPr>
          <w:rFonts w:ascii="Calibri" w:cs="Calibri" w:eastAsia="Calibri" w:hAnsi="Calibri"/>
          <w:b/>
          <w:bCs/>
          <w:color w:val="333A45"/>
          <w:sz w:val="21"/>
          <w:szCs w:val="21"/>
        </w:rPr>
        <w:t xml:space="preserve">Commentary took a free-zone rule and attached a federal article number to it.</w:t>
      </w:r>
    </w:p>
    <w:p>
      <w:pPr>
        <w:spacing w:after="110"/>
      </w:pPr>
      <w:r>
        <w:rPr>
          <w:rFonts w:ascii="Calibri" w:cs="Calibri" w:eastAsia="Calibri" w:hAnsi="Calibri"/>
          <w:color w:val="333A45"/>
          <w:sz w:val="21"/>
          <w:szCs w:val="21"/>
        </w:rPr>
        <w:t xml:space="preserve">Related claims that fail against the official text: that the federal Executive Regulations were issued in 2023 (they were not, and the claim never appears with a Cabinet Decision number or on the official portal); that a specific maximum fine is set in the decree-law (no amount is in it); and that a fixed subject-access response period applies (none is specified). Several commonly cited article numbers for breach, impact assessment and consent were also checked and found misattributed.</w:t>
      </w:r>
    </w:p>
    <w:p>
      <w:pPr>
        <w:spacing w:after="110"/>
      </w:pPr>
      <w:r>
        <w:rPr>
          <w:rFonts w:ascii="Calibri" w:cs="Calibri" w:eastAsia="Calibri" w:hAnsi="Calibri"/>
          <w:b/>
          <w:bCs/>
          <w:color w:val="333A45"/>
          <w:sz w:val="21"/>
          <w:szCs w:val="21"/>
        </w:rPr>
        <w:t xml:space="preserve">This is worth recording as more than an anecdote.</w:t>
      </w:r>
      <w:r>
        <w:rPr>
          <w:rFonts w:ascii="Calibri" w:cs="Calibri" w:eastAsia="Calibri" w:hAnsi="Calibri"/>
          <w:color w:val="333A45"/>
          <w:sz w:val="21"/>
          <w:szCs w:val="21"/>
        </w:rPr>
        <w:t xml:space="preserve"> It is a real, published instance of a citation that verifies against a plausible secondary source and fails against the primary text - the exact failure this programme's verification discipline exists to catch, performed by humans, in print, before any AI tool was involved. Policy 18.5 exists because of it, and annex A9.3 forbids using a 72-hour figure as the DIFC target by default.</w:t>
      </w:r>
    </w:p>
    <w:p>
      <w:pPr>
        <w:keepNext/>
        <w:spacing w:after="80" w:before="200"/>
      </w:pPr>
      <w:r>
        <w:rPr>
          <w:rFonts w:ascii="Calibri" w:cs="Calibri" w:eastAsia="Calibri" w:hAnsi="Calibri"/>
          <w:b/>
          <w:bCs/>
          <w:color w:val="1F3864"/>
          <w:sz w:val="22"/>
          <w:szCs w:val="22"/>
        </w:rPr>
        <w:t xml:space="preserve">10.2 Autonomy, not automation, is the boundary</w:t>
      </w:r>
    </w:p>
    <w:p>
      <w:pPr>
        <w:spacing w:after="110"/>
      </w:pPr>
      <w:r>
        <w:rPr>
          <w:rFonts w:ascii="Calibri" w:cs="Calibri" w:eastAsia="Calibri" w:hAnsi="Calibri"/>
          <w:color w:val="333A45"/>
          <w:sz w:val="21"/>
          <w:szCs w:val="21"/>
        </w:rPr>
        <w:t xml:space="preserve">The Framework defines a </w:t>
      </w:r>
      <w:r>
        <w:rPr>
          <w:rFonts w:ascii="Calibri" w:cs="Calibri" w:eastAsia="Calibri" w:hAnsi="Calibri"/>
          <w:b/>
          <w:bCs/>
          <w:color w:val="333A45"/>
          <w:sz w:val="21"/>
          <w:szCs w:val="21"/>
        </w:rPr>
        <w:t xml:space="preserve">System</w:t>
      </w:r>
      <w:r>
        <w:rPr>
          <w:rFonts w:ascii="Calibri" w:cs="Calibri" w:eastAsia="Calibri" w:hAnsi="Calibri"/>
          <w:color w:val="333A45"/>
          <w:sz w:val="21"/>
          <w:szCs w:val="21"/>
        </w:rPr>
        <w:t xml:space="preserve"> as a machine-based system operating in an </w:t>
      </w:r>
      <w:r>
        <w:rPr>
          <w:rFonts w:ascii="Calibri" w:cs="Calibri" w:eastAsia="Calibri" w:hAnsi="Calibri"/>
          <w:b/>
          <w:bCs/>
          <w:color w:val="333A45"/>
          <w:sz w:val="21"/>
          <w:szCs w:val="21"/>
        </w:rPr>
        <w:t xml:space="preserve">autonomous or semi-autonomous</w:t>
      </w:r>
      <w:r>
        <w:rPr>
          <w:rFonts w:ascii="Calibri" w:cs="Calibri" w:eastAsia="Calibri" w:hAnsi="Calibri"/>
          <w:color w:val="333A45"/>
          <w:sz w:val="21"/>
          <w:szCs w:val="21"/>
        </w:rPr>
        <w:t xml:space="preserve"> manner that processes personal data for human-defined purposes or purposes it defines itself, and generates output on that basis - and expressly excludes </w:t>
      </w:r>
      <w:r>
        <w:rPr>
          <w:rFonts w:ascii="Calibri" w:cs="Calibri" w:eastAsia="Calibri" w:hAnsi="Calibri"/>
          <w:b/>
          <w:bCs/>
          <w:color w:val="333A45"/>
          <w:sz w:val="21"/>
          <w:szCs w:val="21"/>
        </w:rPr>
        <w:t xml:space="preserve">"purely automated systems (i.e. systems which have no degree of autonomy in their operation and whose operation is deterministically controlled by humans)"</w:t>
      </w:r>
      <w:r>
        <w:rPr>
          <w:rFonts w:ascii="Calibri" w:cs="Calibri" w:eastAsia="Calibri" w:hAnsi="Calibri"/>
          <w:color w:val="333A45"/>
          <w:sz w:val="21"/>
          <w:szCs w:val="21"/>
        </w:rPr>
        <w:t xml:space="preserve">, because the underlying law already governs automated processing.</w:t>
      </w:r>
    </w:p>
    <w:p>
      <w:pPr>
        <w:spacing w:after="110"/>
      </w:pPr>
      <w:r>
        <w:rPr>
          <w:rFonts w:ascii="Calibri" w:cs="Calibri" w:eastAsia="Calibri" w:hAnsi="Calibri"/>
          <w:b/>
          <w:bCs/>
          <w:color w:val="333A45"/>
          <w:sz w:val="21"/>
          <w:szCs w:val="21"/>
        </w:rPr>
        <w:t xml:space="preserve">This is not the boundary other frameworks draw</w:t>
      </w:r>
      <w:r>
        <w:rPr>
          <w:rFonts w:ascii="Calibri" w:cs="Calibri" w:eastAsia="Calibri" w:hAnsi="Calibri"/>
          <w:color w:val="333A45"/>
          <w:sz w:val="21"/>
          <w:szCs w:val="21"/>
        </w:rPr>
        <w:t xml:space="preserve">, and applying a familiar one would put the wrong tools in scope and leave the right ones out. Policy Section 4 turns it into a worked test, and 4.5 records the consequence an organisation is most likely to miss: </w:t>
      </w:r>
      <w:r>
        <w:rPr>
          <w:rFonts w:ascii="Calibri" w:cs="Calibri" w:eastAsia="Calibri" w:hAnsi="Calibri"/>
          <w:b/>
          <w:bCs/>
          <w:color w:val="333A45"/>
          <w:sz w:val="21"/>
          <w:szCs w:val="21"/>
        </w:rPr>
        <w:t xml:space="preserve">a tool becomes a System without being replaced</w:t>
      </w:r>
      <w:r>
        <w:rPr>
          <w:rFonts w:ascii="Calibri" w:cs="Calibri" w:eastAsia="Calibri" w:hAnsi="Calibri"/>
          <w:color w:val="333A45"/>
          <w:sz w:val="21"/>
          <w:szCs w:val="21"/>
        </w:rPr>
        <w:t xml:space="preserve"> the moment a vendor adds tool-use, retrieval, memory or planning. Annex A2.6 makes vendor release notes a governance input.</w:t>
      </w:r>
    </w:p>
    <w:p>
      <w:pPr>
        <w:keepNext/>
        <w:spacing w:after="80" w:before="200"/>
      </w:pPr>
      <w:r>
        <w:rPr>
          <w:rFonts w:ascii="Calibri" w:cs="Calibri" w:eastAsia="Calibri" w:hAnsi="Calibri"/>
          <w:b/>
          <w:bCs/>
          <w:color w:val="1F3864"/>
          <w:sz w:val="22"/>
          <w:szCs w:val="22"/>
        </w:rPr>
        <w:t xml:space="preserve">10.3 The provision that has no counterpart anywhere else in this programme</w:t>
      </w:r>
    </w:p>
    <w:p>
      <w:pPr>
        <w:spacing w:after="110"/>
      </w:pPr>
      <w:r>
        <w:rPr>
          <w:rFonts w:ascii="Calibri" w:cs="Calibri" w:eastAsia="Calibri" w:hAnsi="Calibri"/>
          <w:color w:val="333A45"/>
          <w:sz w:val="21"/>
          <w:szCs w:val="21"/>
        </w:rPr>
        <w:t xml:space="preserve">Framework requirement 2.3: </w:t>
      </w:r>
      <w:r>
        <w:rPr>
          <w:rFonts w:ascii="Calibri" w:cs="Calibri" w:eastAsia="Calibri" w:hAnsi="Calibri"/>
          <w:b/>
          <w:bCs/>
          <w:color w:val="333A45"/>
          <w:sz w:val="21"/>
          <w:szCs w:val="21"/>
        </w:rPr>
        <w:t xml:space="preserve">"Any Self-defined purposes generated by the System, i.e. automated decision-making, shall conform to a predefined set of human approved principles."</w:t>
      </w:r>
    </w:p>
    <w:p>
      <w:pPr>
        <w:spacing w:after="110"/>
      </w:pPr>
      <w:r>
        <w:rPr>
          <w:rFonts w:ascii="Calibri" w:cs="Calibri" w:eastAsia="Calibri" w:hAnsi="Calibri"/>
          <w:color w:val="333A45"/>
          <w:sz w:val="21"/>
          <w:szCs w:val="21"/>
        </w:rPr>
        <w:t xml:space="preserve">The evidence it asks for is more specific than the requirement: </w:t>
      </w:r>
      <w:r>
        <w:rPr>
          <w:rFonts w:ascii="Calibri" w:cs="Calibri" w:eastAsia="Calibri" w:hAnsi="Calibri"/>
          <w:b/>
          <w:bCs/>
          <w:color w:val="333A45"/>
          <w:sz w:val="21"/>
          <w:szCs w:val="21"/>
        </w:rPr>
        <w:t xml:space="preserve">code review records addressing "the absence of self-defined purposes"</w:t>
      </w:r>
      <w:r>
        <w:rPr>
          <w:rFonts w:ascii="Calibri" w:cs="Calibri" w:eastAsia="Calibri" w:hAnsi="Calibri"/>
          <w:color w:val="333A45"/>
          <w:sz w:val="21"/>
          <w:szCs w:val="21"/>
        </w:rPr>
        <w:t xml:space="preserve">; </w:t>
      </w:r>
      <w:r>
        <w:rPr>
          <w:rFonts w:ascii="Calibri" w:cs="Calibri" w:eastAsia="Calibri" w:hAnsi="Calibri"/>
          <w:b/>
          <w:bCs/>
          <w:color w:val="333A45"/>
          <w:sz w:val="21"/>
          <w:szCs w:val="21"/>
        </w:rPr>
        <w:t xml:space="preserve">processing purpose logs</w:t>
      </w:r>
      <w:r>
        <w:rPr>
          <w:rFonts w:ascii="Calibri" w:cs="Calibri" w:eastAsia="Calibri" w:hAnsi="Calibri"/>
          <w:color w:val="333A45"/>
          <w:sz w:val="21"/>
          <w:szCs w:val="21"/>
        </w:rPr>
        <w:t xml:space="preserve"> tracking what the System actually processed for; and </w:t>
      </w:r>
      <w:r>
        <w:rPr>
          <w:rFonts w:ascii="Calibri" w:cs="Calibri" w:eastAsia="Calibri" w:hAnsi="Calibri"/>
          <w:b/>
          <w:bCs/>
          <w:color w:val="333A45"/>
          <w:sz w:val="21"/>
          <w:szCs w:val="21"/>
        </w:rPr>
        <w:t xml:space="preserve">algorithmic audits</w:t>
      </w:r>
      <w:r>
        <w:rPr>
          <w:rFonts w:ascii="Calibri" w:cs="Calibri" w:eastAsia="Calibri" w:hAnsi="Calibri"/>
          <w:color w:val="333A45"/>
          <w:sz w:val="21"/>
          <w:szCs w:val="21"/>
        </w:rPr>
        <w:t xml:space="preserve"> assessing the algorithms against the human-defined purposes with corrective actions taken. The notice particulars go further still, requiring disclosure of "</w:t>
      </w:r>
      <w:r>
        <w:rPr>
          <w:rFonts w:ascii="Calibri" w:cs="Calibri" w:eastAsia="Calibri" w:hAnsi="Calibri"/>
          <w:b/>
          <w:bCs/>
          <w:color w:val="333A45"/>
          <w:sz w:val="21"/>
          <w:szCs w:val="21"/>
        </w:rPr>
        <w:t xml:space="preserve">all human-defined limits within which, the System is capable of itself defining further purposes for Processing of Personal Data</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Three consequences the set draws, none of which would appear in a policy written from a general data protection law:</w:t>
      </w:r>
    </w:p>
    <w:p>
      <w:pPr>
        <w:pStyle w:val="ListParagraph"/>
        <w:numPr>
          <w:ilvl w:val="0"/>
          <w:numId w:val="2"/>
        </w:numPr>
        <w:spacing w:after="70"/>
      </w:pPr>
      <w:r>
        <w:rPr>
          <w:rFonts w:ascii="Calibri" w:cs="Calibri" w:eastAsia="Calibri" w:hAnsi="Calibri"/>
          <w:b/>
          <w:bCs/>
          <w:color w:val="333A45"/>
          <w:sz w:val="21"/>
          <w:szCs w:val="21"/>
        </w:rPr>
        <w:t xml:space="preserve">Processing purpose logging is a design requirement</w:t>
      </w:r>
      <w:r>
        <w:rPr>
          <w:rFonts w:ascii="Calibri" w:cs="Calibri" w:eastAsia="Calibri" w:hAnsi="Calibri"/>
          <w:color w:val="333A45"/>
          <w:sz w:val="21"/>
          <w:szCs w:val="21"/>
        </w:rPr>
        <w:t xml:space="preserve">, and a System that cannot produce such a log is not approvable for High Risk Processing (policy 11.5, annex A6.3);</w:t>
      </w:r>
    </w:p>
    <w:p>
      <w:pPr>
        <w:pStyle w:val="ListParagraph"/>
        <w:numPr>
          <w:ilvl w:val="0"/>
          <w:numId w:val="2"/>
        </w:numPr>
        <w:spacing w:after="70"/>
      </w:pPr>
      <w:r>
        <w:rPr>
          <w:rFonts w:ascii="Calibri" w:cs="Calibri" w:eastAsia="Calibri" w:hAnsi="Calibri"/>
          <w:b/>
          <w:bCs/>
          <w:color w:val="333A45"/>
          <w:sz w:val="21"/>
          <w:szCs w:val="21"/>
        </w:rPr>
        <w:t xml:space="preserve">a code review that confirms the intended purposes without addressing whether others can be generated is incomplete</w:t>
      </w:r>
      <w:r>
        <w:rPr>
          <w:rFonts w:ascii="Calibri" w:cs="Calibri" w:eastAsia="Calibri" w:hAnsi="Calibri"/>
          <w:color w:val="333A45"/>
          <w:sz w:val="21"/>
          <w:szCs w:val="21"/>
        </w:rPr>
        <w:t xml:space="preserve"> (annex A6.5);</w:t>
      </w:r>
    </w:p>
    <w:p>
      <w:pPr>
        <w:pStyle w:val="ListParagraph"/>
        <w:numPr>
          <w:ilvl w:val="0"/>
          <w:numId w:val="2"/>
        </w:numPr>
        <w:spacing w:after="70"/>
      </w:pPr>
      <w:r>
        <w:rPr>
          <w:rFonts w:ascii="Calibri" w:cs="Calibri" w:eastAsia="Calibri" w:hAnsi="Calibri"/>
          <w:b/>
          <w:bCs/>
          <w:color w:val="333A45"/>
          <w:sz w:val="21"/>
          <w:szCs w:val="21"/>
        </w:rPr>
        <w:t xml:space="preserve">processing for a purpose outside the approved set is an incident, not a finding</w:t>
      </w:r>
      <w:r>
        <w:rPr>
          <w:rFonts w:ascii="Calibri" w:cs="Calibri" w:eastAsia="Calibri" w:hAnsi="Calibri"/>
          <w:color w:val="333A45"/>
          <w:sz w:val="21"/>
          <w:szCs w:val="21"/>
        </w:rPr>
        <w:t xml:space="preserve"> (annex A6.6, A9.6).</w:t>
      </w:r>
    </w:p>
    <w:p>
      <w:pPr>
        <w:keepNext/>
        <w:spacing w:after="80" w:before="200"/>
      </w:pPr>
      <w:r>
        <w:rPr>
          <w:rFonts w:ascii="Calibri" w:cs="Calibri" w:eastAsia="Calibri" w:hAnsi="Calibri"/>
          <w:b/>
          <w:bCs/>
          <w:color w:val="1F3864"/>
          <w:sz w:val="22"/>
          <w:szCs w:val="22"/>
        </w:rPr>
        <w:t xml:space="preserve">10.4 The constraint most likely to be breached by accident</w:t>
      </w:r>
    </w:p>
    <w:p>
      <w:pPr>
        <w:spacing w:after="110"/>
      </w:pPr>
      <w:r>
        <w:rPr>
          <w:rFonts w:ascii="Calibri" w:cs="Calibri" w:eastAsia="Calibri" w:hAnsi="Calibri"/>
          <w:color w:val="333A45"/>
          <w:sz w:val="21"/>
          <w:szCs w:val="21"/>
        </w:rPr>
        <w:t xml:space="preserve">Audit criterion 4.3.5: </w:t>
      </w:r>
      <w:r>
        <w:rPr>
          <w:rFonts w:ascii="Calibri" w:cs="Calibri" w:eastAsia="Calibri" w:hAnsi="Calibri"/>
          <w:b/>
          <w:bCs/>
          <w:color w:val="333A45"/>
          <w:sz w:val="21"/>
          <w:szCs w:val="21"/>
        </w:rPr>
        <w:t xml:space="preserve">no more than a one-month gap</w:t>
      </w:r>
      <w:r>
        <w:rPr>
          <w:rFonts w:ascii="Calibri" w:cs="Calibri" w:eastAsia="Calibri" w:hAnsi="Calibri"/>
          <w:color w:val="333A45"/>
          <w:sz w:val="21"/>
          <w:szCs w:val="21"/>
        </w:rPr>
        <w:t xml:space="preserve"> before the operation of a System for High Risk Processing, or </w:t>
      </w:r>
      <w:r>
        <w:rPr>
          <w:rFonts w:ascii="Calibri" w:cs="Calibri" w:eastAsia="Calibri" w:hAnsi="Calibri"/>
          <w:b/>
          <w:bCs/>
          <w:color w:val="333A45"/>
          <w:sz w:val="21"/>
          <w:szCs w:val="21"/>
        </w:rPr>
        <w:t xml:space="preserve">between an outgoing ASO and a replacement</w:t>
      </w:r>
      <w:r>
        <w:rPr>
          <w:rFonts w:ascii="Calibri" w:cs="Calibri" w:eastAsia="Calibri" w:hAnsi="Calibri"/>
          <w:color w:val="333A45"/>
          <w:sz w:val="21"/>
          <w:szCs w:val="21"/>
        </w:rPr>
        <w:t xml:space="preserve">, absent an exception approved by the Commissioner.</w:t>
      </w:r>
    </w:p>
    <w:p>
      <w:pPr>
        <w:spacing w:after="110"/>
      </w:pPr>
      <w:r>
        <w:rPr>
          <w:rFonts w:ascii="Calibri" w:cs="Calibri" w:eastAsia="Calibri" w:hAnsi="Calibri"/>
          <w:color w:val="333A45"/>
          <w:sz w:val="21"/>
          <w:szCs w:val="21"/>
        </w:rPr>
        <w:t xml:space="preserve">An ordinary resignation breaches this. Policy 12.4 and annex A5.2-A5.4 therefore require a named deputy at all times, a succession process </w:t>
      </w:r>
      <w:r>
        <w:rPr>
          <w:rFonts w:ascii="Calibri" w:cs="Calibri" w:eastAsia="Calibri" w:hAnsi="Calibri"/>
          <w:b/>
          <w:bCs/>
          <w:color w:val="333A45"/>
          <w:sz w:val="21"/>
          <w:szCs w:val="21"/>
        </w:rPr>
        <w:t xml:space="preserve">triggered on the day notice is given rather than the day of departure</w:t>
      </w:r>
      <w:r>
        <w:rPr>
          <w:rFonts w:ascii="Calibri" w:cs="Calibri" w:eastAsia="Calibri" w:hAnsi="Calibri"/>
          <w:color w:val="333A45"/>
          <w:sz w:val="21"/>
          <w:szCs w:val="21"/>
        </w:rPr>
        <w:t xml:space="preserve">, and a metric counting days of vacancy - with an overrun reported to the accountable executive as a compliance failure, not a recruitment delay.</w:t>
      </w:r>
    </w:p>
    <w:p>
      <w:pPr>
        <w:keepNext/>
        <w:spacing w:after="80" w:before="200"/>
      </w:pPr>
      <w:r>
        <w:rPr>
          <w:rFonts w:ascii="Calibri" w:cs="Calibri" w:eastAsia="Calibri" w:hAnsi="Calibri"/>
          <w:b/>
          <w:bCs/>
          <w:color w:val="1F3864"/>
          <w:sz w:val="22"/>
          <w:szCs w:val="22"/>
        </w:rPr>
        <w:t xml:space="preserve">10.5 Evidence that cannot be produced retrospectively</w:t>
      </w:r>
    </w:p>
    <w:p>
      <w:pPr>
        <w:spacing w:after="110"/>
      </w:pPr>
      <w:r>
        <w:rPr>
          <w:rFonts w:ascii="Calibri" w:cs="Calibri" w:eastAsia="Calibri" w:hAnsi="Calibri"/>
          <w:color w:val="333A45"/>
          <w:sz w:val="21"/>
          <w:szCs w:val="21"/>
        </w:rPr>
        <w:t xml:space="preserve">Framework requirement 1.2's acceptable evidence includes an impact assessment that "includes management actions plans to address how controls have been integrated into development process </w:t>
      </w:r>
      <w:r>
        <w:rPr>
          <w:rFonts w:ascii="Calibri" w:cs="Calibri" w:eastAsia="Calibri" w:hAnsi="Calibri"/>
          <w:b/>
          <w:bCs/>
          <w:color w:val="333A45"/>
          <w:sz w:val="21"/>
          <w:szCs w:val="21"/>
        </w:rPr>
        <w:t xml:space="preserve">(and evidence that controls have been integrated)</w:t>
      </w:r>
      <w:r>
        <w:rPr>
          <w:rFonts w:ascii="Calibri" w:cs="Calibri" w:eastAsia="Calibri" w:hAnsi="Calibri"/>
          <w:color w:val="333A45"/>
          <w:sz w:val="21"/>
          <w:szCs w:val="21"/>
        </w:rPr>
        <w:t xml:space="preserve">".</w:t>
      </w:r>
    </w:p>
    <w:p>
      <w:pPr>
        <w:spacing w:after="110"/>
      </w:pPr>
      <w:r>
        <w:rPr>
          <w:rFonts w:ascii="Calibri" w:cs="Calibri" w:eastAsia="Calibri" w:hAnsi="Calibri"/>
          <w:b/>
          <w:bCs/>
          <w:color w:val="333A45"/>
          <w:sz w:val="21"/>
          <w:szCs w:val="21"/>
        </w:rPr>
        <w:t xml:space="preserve">That cannot be met by a document written after deployment.</w:t>
      </w:r>
      <w:r>
        <w:rPr>
          <w:rFonts w:ascii="Calibri" w:cs="Calibri" w:eastAsia="Calibri" w:hAnsi="Calibri"/>
          <w:color w:val="333A45"/>
          <w:sz w:val="21"/>
          <w:szCs w:val="21"/>
        </w:rPr>
        <w:t xml:space="preserve"> Combined with the Commissioner's discretion over the implementation timeline, it produces the position at policy 21.2 and annex A4.4: readiness is not deferred until enforcement begins, because the evidence the scheme requires takes longer to build than the certification takes to apply for, and it has to be built during development or not at all.</w:t>
      </w:r>
    </w:p>
    <w:p>
      <w:pPr>
        <w:keepNext/>
        <w:pBdr>
          <w:bottom w:val="single" w:color="9DB9E8" w:sz="4" w:space="3"/>
        </w:pBdr>
        <w:spacing w:after="100" w:before="260"/>
      </w:pPr>
      <w:r>
        <w:rPr>
          <w:rFonts w:ascii="Calibri" w:cs="Calibri" w:eastAsia="Calibri" w:hAnsi="Calibri"/>
          <w:b/>
          <w:bCs/>
          <w:color w:val="2E5AAC"/>
          <w:sz w:val="26"/>
          <w:szCs w:val="26"/>
        </w:rPr>
        <w:t xml:space="preserve">11. Standing caveat</w:t>
      </w:r>
    </w:p>
    <w:p>
      <w:pPr>
        <w:spacing w:after="110"/>
      </w:pPr>
      <w:r>
        <w:rPr>
          <w:rFonts w:ascii="Calibri" w:cs="Calibri" w:eastAsia="Calibri" w:hAnsi="Calibri"/>
          <w:color w:val="333A45"/>
          <w:sz w:val="21"/>
          <w:szCs w:val="21"/>
        </w:rPr>
        <w:t xml:space="preserve">No provision cited in this set has been reviewed by qualified counsel. These documents are educational templates, are written for a DIFC-registered entity, and do not constitute legal advice.</w:t>
      </w:r>
    </w:p>
    <w:sectPr>
      <w:footerReference w:type="default" r:id="rId7"/>
      <w:pgSz w:w="11906" w:h="16838" w:orient="portrait"/>
      <w:pgMar w:top="1240" w:right="1300" w:bottom="12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9E8" w:sz="4" w:space="4"/>
      </w:pBdr>
      <w:jc w:val="center"/>
    </w:pPr>
    <w:r>
      <w:rPr>
        <w:rFonts w:ascii="Calibri" w:cs="Calibri" w:eastAsia="Calibri" w:hAnsi="Calibri"/>
        <w:color w:val="5A6472"/>
        <w:sz w:val="16"/>
        <w:szCs w:val="16"/>
      </w:rPr>
      <w:t xml:space="preserve">UAE AI policy set - source register - v1.1   |   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rPr>
        <w:color w:val="2E5AA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Register - UAE AI Policy Set</dc:title>
  <dc:creator>Narendra Karki</dc:creator>
  <cp:lastModifiedBy>Narendra Karki</cp:lastModifiedBy>
  <cp:revision>1</cp:revision>
  <dcterms:created xsi:type="dcterms:W3CDTF">2026-09-02T04:27:09.690Z</dcterms:created>
  <dcterms:modified xsi:type="dcterms:W3CDTF">2026-09-02T04:27:09.690Z</dcterms:modified>
</cp:coreProperties>
</file>

<file path=docProps/custom.xml><?xml version="1.0" encoding="utf-8"?>
<Properties xmlns="http://schemas.openxmlformats.org/officeDocument/2006/custom-properties" xmlns:vt="http://schemas.openxmlformats.org/officeDocument/2006/docPropsVTypes"/>
</file>