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Artificial Intelligence Acceptable Use Policy - Japan</w:t>
      </w:r>
    </w:p>
    <w:p>
      <w:pPr>
        <w:pStyle w:val="Heading2"/>
        <w:spacing w:after="100" w:before="200"/>
      </w:pPr>
      <w:r>
        <w:rPr>
          <w:color w:val="2E74B5"/>
        </w:rPr>
        <w:t xml:space="preserve">The Act on the Protection of Personal Information as the binding law, the AI Promotion Act and the METI/MIC AI Guidelines as soft law, with the 2026 APPI amendment named and not relied on</w:t>
      </w:r>
    </w:p>
    <w:p>
      <w:pPr>
        <w:spacing w:after="120"/>
      </w:pPr>
      <w:r>
        <w:rPr>
          <w:b/>
          <w:bCs/>
        </w:rPr>
        <w:t xml:space="preserve">Organisation:</w:t>
      </w:r>
      <w:r>
        <w:t xml:space="preserve"> [ORGANISATION]</w:t>
      </w:r>
    </w:p>
    <w:p>
      <w:pPr>
        <w:spacing w:after="120"/>
      </w:pPr>
      <w:r>
        <w:rPr>
          <w:b/>
          <w:bCs/>
        </w:rPr>
        <w:t xml:space="preserve">Effective date:</w:t>
      </w:r>
      <w:r>
        <w:t xml:space="preserve"> [DATE] </w:t>
      </w:r>
      <w:r>
        <w:rPr>
          <w:b/>
          <w:bCs/>
        </w:rPr>
        <w:t xml:space="preserve">Version:</w:t>
      </w:r>
      <w:r>
        <w:t xml:space="preserve"> 1.0</w:t>
      </w:r>
    </w:p>
    <w:p>
      <w:pPr>
        <w:spacing w:after="120"/>
      </w:pPr>
      <w:r>
        <w:rPr>
          <w:b/>
          <w:bCs/>
        </w:rPr>
        <w:t xml:space="preserve">Policy owner:</w:t>
      </w:r>
      <w:r>
        <w:t xml:space="preserve"> [CISO] </w:t>
      </w:r>
      <w:r>
        <w:rPr>
          <w:b/>
          <w:bCs/>
        </w:rPr>
        <w:t xml:space="preserve">Privacy lead:</w:t>
      </w:r>
      <w:r>
        <w:t xml:space="preserve"> [Privacy Protection Officer]</w:t>
      </w:r>
    </w:p>
    <w:p>
      <w:pPr>
        <w:spacing w:after="120"/>
      </w:pPr>
      <w:r>
        <w:rPr>
          <w:b/>
          <w:bCs/>
        </w:rPr>
        <w:t xml:space="preserve">Classification:</w:t>
      </w:r>
      <w:r>
        <w:t xml:space="preserve"> Internal</w:t>
      </w:r>
    </w:p>
    <w:p>
      <w:pPr>
        <w:spacing w:after="120"/>
      </w:pPr>
      <w:r>
        <w:rPr>
          <w:b/>
          <w:bCs/>
        </w:rPr>
        <w:t xml:space="preserve">Review:</w:t>
      </w:r>
      <w:r>
        <w:t xml:space="preserve"> at least every six months, and on material change in tools or regulation</w:t>
      </w:r>
    </w:p>
    <w:p>
      <w:pPr>
        <w:pStyle w:val="Heading1"/>
        <w:spacing w:after="120" w:before="280"/>
      </w:pPr>
      <w:r>
        <w:rPr>
          <w:color w:val="2E74B5"/>
        </w:rPr>
        <w:t xml:space="preserve">1. Purpose</w:t>
      </w:r>
    </w:p>
    <w:p>
      <w:pPr>
        <w:spacing w:after="120"/>
      </w:pPr>
      <w:r>
        <w:t xml:space="preserve">[ORGANISATION] permits the use of artificial intelligence (AI) tools to improve productivity, provided that use protects the organisation's data, its customers and staff, its intellectual property, and its obligations under Japanese law. This policy sets the requirements for all such use.</w:t>
      </w:r>
    </w:p>
    <w:p>
      <w:pPr>
        <w:spacing w:after="120"/>
      </w:pPr>
      <w:r>
        <w:t xml:space="preserve">Four features of the Japanese framework shape this document.</w:t>
      </w:r>
    </w:p>
    <w:p>
      <w:pPr>
        <w:pStyle w:val="Heading2"/>
        <w:spacing w:after="100" w:before="200"/>
      </w:pPr>
      <w:r>
        <w:rPr>
          <w:color w:val="2E74B5"/>
        </w:rPr>
        <w:t xml:space="preserve">1.1 Japan's AI Act binds no one and penalises nothing</w:t>
      </w:r>
    </w:p>
    <w:p>
      <w:pPr>
        <w:spacing w:after="120"/>
      </w:pPr>
      <w:r>
        <w:t xml:space="preserve">The Act on Promotion of Research and Development, and Utilization of Artificial Intelligence-related Technology (Act No. 53 of 2025), in effect since 2025, is a promotion law. It sets basic principles, directs the national government to formulate a basic plan and establish an AI Strategic Headquarters under the Cabinet, and asks business operators that use AI to endeavour to use it actively and to cooperate with government measures. It imposes no compliance obligation on a private operator, creates no individual right, and carries no penalty. What it does that reaches [ORGANISATION] is one principle - that AI development and use must not be for wrongful purposes or by inappropriate methods that harm citizens' rights and interests, and must be transparent - and one mechanism: the government analyses cases where rights are infringed and issues guidance. This policy treats that principle as a house standard and the guidance channel as a reason to get the binding law right.</w:t>
      </w:r>
    </w:p>
    <w:p>
      <w:pPr>
        <w:pStyle w:val="Heading2"/>
        <w:spacing w:after="100" w:before="200"/>
      </w:pPr>
      <w:r>
        <w:rPr>
          <w:color w:val="2E74B5"/>
        </w:rPr>
        <w:t xml:space="preserve">1.2 The binding law is the APPI, and it does not mention AI</w:t>
      </w:r>
    </w:p>
    <w:p>
      <w:pPr>
        <w:spacing w:after="120"/>
      </w:pPr>
      <w:r>
        <w:t xml:space="preserve">Every enforceable privacy duty on [ORGANISATION] is in the Act on the Protection of Personal Information. It regulates any business handling personal information without reference to AI: a specified purpose of use that may not be exceeded without consent, a prohibition on acquisition by wrongful means and on use that may foment an unlawful or unjust act, express consent before sensitive personal information is acquired, security measures, leak reporting to the Personal Information Protection Commission, restrictions on third-party and cross-border provision, and rights of disclosure, correction and cessation of use. AI does not create an exception to any of them. Clause 3 routes each.</w:t>
      </w:r>
    </w:p>
    <w:p>
      <w:pPr>
        <w:pStyle w:val="Heading2"/>
        <w:spacing w:after="100" w:before="200"/>
      </w:pPr>
      <w:r>
        <w:rPr>
          <w:color w:val="2E74B5"/>
        </w:rPr>
        <w:t xml:space="preserve">1.3 Japan's individual lever against harmful AI processing is the cessation right</w:t>
      </w:r>
    </w:p>
    <w:p>
      <w:pPr>
        <w:spacing w:after="120"/>
      </w:pPr>
      <w:r>
        <w:t xml:space="preserve">The APPI gives no automated-decision-specific right. Its instrument for a person harmed by how their data is processed - including by an AI system - is the right to cease use: a person may demand that a business cease using or delete their personal data, or cease providing it to a third party, where the data is no longer needed, where a reportable leak has occurred, or where the handling </w:t>
      </w:r>
      <w:r>
        <w:rPr>
          <w:b/>
          <w:bCs/>
        </w:rPr>
        <w:t xml:space="preserve">is likely to harm the person's rights or interests</w:t>
      </w:r>
      <w:r>
        <w:t xml:space="preserve">. That last ground is broad and is the one an AI use is most likely to engage. Clause 13 makes responding to it an operating duty, and clause 12 records for every system whether its processing could meet that threshold.</w:t>
      </w:r>
    </w:p>
    <w:p>
      <w:pPr>
        <w:pStyle w:val="Heading2"/>
        <w:spacing w:after="100" w:before="200"/>
      </w:pPr>
      <w:r>
        <w:rPr>
          <w:color w:val="2E74B5"/>
        </w:rPr>
        <w:t xml:space="preserve">1.4 The AI-specific expectations are guidance, and a binding amendment is coming</w:t>
      </w:r>
    </w:p>
    <w:p>
      <w:pPr>
        <w:spacing w:after="120"/>
      </w:pPr>
      <w:r>
        <w:t xml:space="preserve">The government's AI expectations live in the AI Guidelines for Business (METI and MIC, version 1.1, 2025), issued under the AI Promotion Act's direction to set guidelines in line with international norms. They are voluntary. They divide AI actors into developers, providers and business users and set common guiding principles - human -centric, safety, fairness, privacy protection, security, transparency, accountability, literacy, fair competition and innovation. This policy adopts them as house standards and labels them. Separately, the Personal Information Protection Commission has decided, in its January 2026 triennial-review reform policy, to amend the APPI - relaxing consent for statistical use including AI development, adding rules for the personal data of those under sixteen and for facial-feature data, and introducing administrative monetary penalties. </w:t>
      </w:r>
      <w:r>
        <w:rPr>
          <w:b/>
          <w:bCs/>
        </w:rPr>
        <w:t xml:space="preserve">That amendment is not law</w:t>
      </w:r>
      <w:r>
        <w:t xml:space="preserve">; clause 4 states it and relies on none of it.</w:t>
      </w:r>
    </w:p>
    <w:p>
      <w:pPr>
        <w:pStyle w:val="Heading1"/>
        <w:spacing w:after="120" w:before="280"/>
      </w:pPr>
      <w:r>
        <w:rPr>
          <w:color w:val="2E74B5"/>
        </w:rPr>
        <w:t xml:space="preserve">2. Scope</w:t>
      </w:r>
    </w:p>
    <w:p>
      <w:pPr>
        <w:spacing w:after="120"/>
      </w:pPr>
      <w:r>
        <w:t xml:space="preserve">This policy applies to all employees, contractors,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20"/>
      </w:pPr>
      <w:r>
        <w:t xml:space="preserve">Compliance is mandatory. Breaches may result in disciplinary action up to and including dismissal.</w:t>
      </w:r>
    </w:p>
    <w:p>
      <w:pPr>
        <w:pStyle w:val="Heading2"/>
        <w:spacing w:after="100" w:before="200"/>
      </w:pPr>
      <w:r>
        <w:rPr>
          <w:color w:val="2E74B5"/>
        </w:rPr>
        <w:t xml:space="preserve">2.1 Which law reaches [ORGANISATION]</w:t>
      </w:r>
    </w:p>
    <w:p>
      <w:pPr>
        <w:spacing w:after="120"/>
      </w:pPr>
      <w:r>
        <w:t xml:space="preserve">2.1.1 The APPI binds [ORGANISATION] as a business handling personal information, in respect of the personal information it handles, including about employees. There is no turnover threshold and no small-business carve-out.</w:t>
      </w:r>
    </w:p>
    <w:p>
      <w:pPr>
        <w:spacing w:after="120"/>
      </w:pPr>
      <w:r>
        <w:t xml:space="preserve">2.1.2 The APPI applies to the handling of personal information of persons in Japan by a business, including a foreign business, that handles it in connection with supplying goods or services to persons in Japan; and its provisions on reporting, disclosure and the Commission's powers can reach extraterritorial handling. AI tools hosted outside Japan do not remove [ORGANISATION]'s handling from the Act.</w:t>
      </w:r>
    </w:p>
    <w:p>
      <w:pPr>
        <w:spacing w:after="120"/>
      </w:pPr>
      <w:r>
        <w:t xml:space="preserve">2.1.3 The AI Promotion Act reaches [ORGANISATION] only as a "utilization business operator" with an endeavour to use AI actively and cooperate with government measures; it imposes no duty this policy must operationalise beyond the house standard at clause 1.1.</w:t>
      </w:r>
    </w:p>
    <w:p>
      <w:pPr>
        <w:spacing w:after="120"/>
      </w:pPr>
      <w:r>
        <w:t xml:space="preserve">2.1.4 Sector rules (financial, medical, telecommunications), the Act on the Use of Numbers to Identify a Specific Individual (the My Number Act) for individual numbers, and the Unfair Competition Prevention Act for trade secrets are named at clause 22 and not stated.</w:t>
      </w:r>
    </w:p>
    <w:p>
      <w:pPr>
        <w:pStyle w:val="Heading1"/>
        <w:spacing w:after="120" w:before="280"/>
      </w:pPr>
      <w:r>
        <w:rPr>
          <w:color w:val="2E74B5"/>
        </w:rPr>
        <w:t xml:space="preserve">3. Which law reaches which use</w:t>
      </w:r>
    </w:p>
    <w:p>
      <w:pPr>
        <w:spacing w:after="120"/>
      </w:pPr>
      <w:r>
        <w:t xml:space="preserve">3.1 </w:t>
      </w:r>
      <w:r>
        <w:rPr>
          <w:b/>
          <w:bCs/>
        </w:rPr>
        <w:t xml:space="preserve">Purpose of use governs everything.</w:t>
      </w:r>
      <w:r>
        <w:t xml:space="preserve"> Under the APPI, [ORGANISATION] must specify the purpose of use of personal information as far as possible, may not alter it beyond what can be reasonably linked to the original, and may not handle the information beyond the scope necessary to achieve that purpose without the person's prior consent. Every AI use of personal information is tested against the specified purpose before it begins; where it exceeds that purpose, consent is obtained or the purpose is lawfully changed and notified.</w:t>
      </w:r>
    </w:p>
    <w:p>
      <w:pPr>
        <w:spacing w:after="120"/>
      </w:pPr>
      <w:r>
        <w:t xml:space="preserve">3.2 </w:t>
      </w:r>
      <w:r>
        <w:rPr>
          <w:b/>
          <w:bCs/>
        </w:rPr>
        <w:t xml:space="preserve">Acquisition.</w:t>
      </w:r>
      <w:r>
        <w:t xml:space="preserve"> Personal information may not be acquired by deception or other wrongful means, and may not be used in a way that may foment or induce an unlawful or unjust act. Sensitive personal information (an individual's race, creed, social status, medical history, criminal record, the fact of having suffered harm from a crime, and the equivalent categories the Cabinet Order specifies) may not be acquired without the person's prior consent, save for the narrow statutory exceptions.</w:t>
      </w:r>
    </w:p>
    <w:p>
      <w:pPr>
        <w:spacing w:after="120"/>
      </w:pPr>
      <w:r>
        <w:t xml:space="preserve">3.3 </w:t>
      </w:r>
      <w:r>
        <w:rPr>
          <w:b/>
          <w:bCs/>
        </w:rPr>
        <w:t xml:space="preserve">Third-party and cross-border provision.</w:t>
      </w:r>
      <w:r>
        <w:t xml:space="preserve"> Personal data may not be provided to a third party without the person's prior consent, except under the statutory exceptions or a compliant opt-out filing; providing personal data to a third party in a foreign country requires, in addition, the person's consent informed by information about the foreign regime, unless the recipient is in a country the Commission recognises or maintains equivalent measures. Entering personal data into an AI service is a provision to a third party unless the service is a mere entrusted processor under [ORGANISATION]'s supervision (clause 9.4).</w:t>
      </w:r>
    </w:p>
    <w:p>
      <w:pPr>
        <w:spacing w:after="120"/>
      </w:pPr>
      <w:r>
        <w:t xml:space="preserve">3.4 </w:t>
      </w:r>
      <w:r>
        <w:rPr>
          <w:b/>
          <w:bCs/>
        </w:rPr>
        <w:t xml:space="preserve">Security and leaks.</w:t>
      </w:r>
      <w:r>
        <w:t xml:space="preserve"> [ORGANISATION] must take necessary and appropriate security measures, supervise employees and any entrusted processor, and, where a leak, loss or damage likely to harm individual rights and interests occurs, report it to the Personal Information Protection Commission and notify the affected persons, as the Commission's Rules prescribe. Clause 20.5 operates this for AI incidents.</w:t>
      </w:r>
    </w:p>
    <w:p>
      <w:pPr>
        <w:spacing w:after="120"/>
      </w:pPr>
      <w:r>
        <w:t xml:space="preserve">3.5 </w:t>
      </w:r>
      <w:r>
        <w:rPr>
          <w:b/>
          <w:bCs/>
        </w:rPr>
        <w:t xml:space="preserve">Individual rights.</w:t>
      </w:r>
      <w:r>
        <w:t xml:space="preserve"> A person may request disclosure of the personal data [ORGANISATION] holds about them (including by electronic means), correction, and cessation of use in the circumstances the Act provides, including where the handling is likely to harm their rights or interests. Clauses 11.4 and 13 operate these.</w:t>
      </w:r>
    </w:p>
    <w:p>
      <w:pPr>
        <w:spacing w:after="120"/>
      </w:pPr>
      <w:r>
        <w:t xml:space="preserve">3.6 </w:t>
      </w:r>
      <w:r>
        <w:rPr>
          <w:b/>
          <w:bCs/>
        </w:rPr>
        <w:t xml:space="preserve">Automated decisions.</w:t>
      </w:r>
      <w:r>
        <w:t xml:space="preserve"> The APPI states no automated-decision right. The METI guidelines expect human oversight, transparency and accountability where AI supports decisions, and the pending amendment does not add an automated-decision right either. This policy applies human oversight and explanation to Level 4 decisions as house standards (clauses 13, 14).</w:t>
      </w:r>
    </w:p>
    <w:p>
      <w:pPr>
        <w:pStyle w:val="Heading1"/>
        <w:spacing w:after="120" w:before="280"/>
      </w:pPr>
      <w:r>
        <w:rPr>
          <w:color w:val="2E74B5"/>
        </w:rPr>
        <w:t xml:space="preserve">4. What binds today, and what is coming</w:t>
      </w:r>
    </w:p>
    <w:p>
      <w:pPr>
        <w:spacing w:after="120"/>
      </w:pPr>
      <w:r>
        <w:t xml:space="preserve">4.1 </w:t>
      </w:r>
      <w:r>
        <w:rPr>
          <w:b/>
          <w:bCs/>
        </w:rPr>
        <w:t xml:space="preserve">In force now.</w:t>
      </w:r>
      <w:r>
        <w:t xml:space="preserve"> The APPI in full: purpose of use, acquisition, sensitive information, security, leak reporting, third-party and cross-border restrictions, and the disclosure, correction and cessation rights. The AI Promotion Act's principles and institutions - binding on government, not on [ORGANISATION].</w:t>
      </w:r>
    </w:p>
    <w:p>
      <w:pPr>
        <w:spacing w:after="120"/>
      </w:pPr>
      <w:r>
        <w:t xml:space="preserve">4.2 </w:t>
      </w:r>
      <w:r>
        <w:rPr>
          <w:b/>
          <w:bCs/>
        </w:rPr>
        <w:t xml:space="preserve">Decided, not yet enacted.</w:t>
      </w:r>
      <w:r>
        <w:t xml:space="preserve"> The Personal Information Protection Commission's triennial-review reform policy (January 2026) will amend the APPI. As stated by the Commission, the amendment would: not require consent where data is used solely to generate statistics, including AI development to the extent it is statistics generation, for third-party provision and for acquiring published sensitive information; address consent and notice for the personal data of persons under sixteen through their legal representative, with a best-interests provision; require operators to inform specified matters about facial-feature data, relax the cessation requirements for it, and prohibit its opt-out provision; relax data-subject notification for low-risk breaches; prohibit inappropriate use and improper acquisition of information that enables targeting of a specific individual though it is not personal information; and empower the Commission to impose administrative monetary penalties for serious, economically motivated violations. The Commission expected to submit the bill to the Diet as early as spring 2026, with effect approximately two years after passage. </w:t>
      </w:r>
      <w:r>
        <w:rPr>
          <w:b/>
          <w:bCs/>
        </w:rPr>
        <w:t xml:space="preserve">None of this is law.</w:t>
      </w:r>
      <w:r>
        <w:t xml:space="preserve"> Clause 4.3 and the annex track it; the set relies on nothing in it.</w:t>
      </w:r>
    </w:p>
    <w:p>
      <w:pPr>
        <w:spacing w:after="120"/>
      </w:pPr>
      <w:r>
        <w:t xml:space="preserve">4.3 </w:t>
      </w:r>
      <w:r>
        <w:rPr>
          <w:b/>
          <w:bCs/>
        </w:rPr>
        <w:t xml:space="preserve">Guidance, not law.</w:t>
      </w:r>
      <w:r>
        <w:t xml:space="preserve"> The AI Guidelines for Business (METI and MIC, v1.1, 2025) and its Appendix. The Personal Information Protection Commission's own cautions on generative AI. These state expectations and readings of the binding law; the policy follows them as the operating interpretation and adopts the guidelines' principles as house standards at clause 17.</w:t>
      </w:r>
    </w:p>
    <w:p>
      <w:pPr>
        <w:pStyle w:val="Heading1"/>
        <w:spacing w:after="120" w:before="280"/>
      </w:pPr>
      <w:r>
        <w:rPr>
          <w:color w:val="2E74B5"/>
        </w:rPr>
        <w:t xml:space="preserve">5. Levels of use</w:t>
      </w:r>
    </w:p>
    <w:p>
      <w:pPr>
        <w:spacing w:after="120"/>
      </w:pPr>
      <w:r>
        <w:t xml:space="preserve">Every use of an AI tool is classified at one of four levels before it begins. The approved tools list states the highest level each tool may be used at. This classification is [ORGANISATION]'s own and is not a legal category.</w:t>
      </w:r>
    </w:p>
    <w:p>
      <w:pPr>
        <w:spacing w:after="120"/>
      </w:pPr>
      <w:r>
        <w:rPr>
          <w:b/>
          <w:bCs/>
        </w:rPr>
        <w:t xml:space="preserve">Level 1 - General assistance.</w:t>
      </w:r>
      <w:r>
        <w:t xml:space="preserve"> Drafting, summarising, translating, brainstorming, coding with no [ORGANISATION] data beyond the prompt. No personal information, no confidential information.</w:t>
      </w:r>
    </w:p>
    <w:p>
      <w:pPr>
        <w:spacing w:after="120"/>
      </w:pPr>
      <w:r>
        <w:rPr>
          <w:b/>
          <w:bCs/>
        </w:rPr>
        <w:t xml:space="preserve">Level 2 - Internal information.</w:t>
      </w:r>
      <w:r>
        <w:t xml:space="preserve"> Use with [ORGANISATION] internal documents, non-public business information, or personal information that is not sensitive. Permitted only with tools approved for Level 2, whose terms prevent the supplier using inputs and outputs for its own purposes.</w:t>
      </w:r>
    </w:p>
    <w:p>
      <w:pPr>
        <w:spacing w:after="120"/>
      </w:pPr>
      <w:r>
        <w:rPr>
          <w:b/>
          <w:bCs/>
        </w:rPr>
        <w:t xml:space="preserve">Level 3 - Sensitive information or high privacy risk.</w:t>
      </w:r>
      <w:r>
        <w:t xml:space="preserve"> Any use involving sensitive personal information (medical history, criminal record, and the other special-care categories); any use that generates or infers personal information; any profiling; any use of facial or other biometric identifiers; any customer-facing AI; any use in relation to minors. Requires the purpose-of-use check, a named accountable person, and approval by the Privacy Protection Officer.</w:t>
      </w:r>
    </w:p>
    <w:p>
      <w:pPr>
        <w:spacing w:after="120"/>
      </w:pPr>
      <w:r>
        <w:rPr>
          <w:b/>
          <w:bCs/>
        </w:rPr>
        <w:t xml:space="preserve">Level 4 - Decisions about people.</w:t>
      </w:r>
      <w:r>
        <w:t xml:space="preserve"> Any use where the AI system makes, or substantially contributes to, a decision that could significantly affect a person: eligibility, pricing, credit, employment, access to a service. Everything at Level 3, plus the clause 12 determination, the human oversight at clause 14, the explanation at clause 13, and approval by the AI Governance Committee.</w:t>
      </w:r>
    </w:p>
    <w:p>
      <w:pPr>
        <w:pStyle w:val="Heading1"/>
        <w:spacing w:after="120" w:before="280"/>
      </w:pPr>
      <w:r>
        <w:rPr>
          <w:color w:val="2E74B5"/>
        </w:rPr>
        <w:t xml:space="preserve">6. Permitted and prohibited use</w:t>
      </w:r>
    </w:p>
    <w:p>
      <w:pPr>
        <w:spacing w:after="120"/>
      </w:pPr>
      <w:r>
        <w:t xml:space="preserve">6.1 </w:t>
      </w:r>
      <w:r>
        <w:rPr>
          <w:b/>
          <w:bCs/>
        </w:rPr>
        <w:t xml:space="preserve">Permitted</w:t>
      </w:r>
      <w:r>
        <w:t xml:space="preserve">, within the tool's approved level: drafting and editing; summarising documents the user is entitled to read; research and analysis of non-personal data; code generation and review subject to clause 10; transcription and minutes subject to clause 7.6; customer service and content subject to clause 15; internal analytics subject to clause 7.</w:t>
      </w:r>
    </w:p>
    <w:p>
      <w:pPr>
        <w:spacing w:after="120"/>
      </w:pPr>
      <w:r>
        <w:t xml:space="preserve">6.2 </w:t>
      </w:r>
      <w:r>
        <w:rPr>
          <w:b/>
          <w:bCs/>
        </w:rPr>
        <w:t xml:space="preserve">Prohibited in all circumstances:</w:t>
      </w:r>
    </w:p>
    <w:p>
      <w:pPr>
        <w:pStyle w:val="ListParagraph"/>
        <w:numPr>
          <w:ilvl w:val="0"/>
          <w:numId w:val="2"/>
        </w:numPr>
        <w:spacing w:after="80"/>
      </w:pPr>
      <w:r>
        <w:t xml:space="preserve">entering personal information, sensitive personal information, confidential</w:t>
      </w:r>
    </w:p>
    <w:p>
      <w:pPr>
        <w:spacing w:after="80"/>
        <w:ind w:left="720"/>
      </w:pPr>
      <w:r>
        <w:t xml:space="preserve">information, credentials, source code or customer data into a tool not approved for</w:t>
      </w:r>
    </w:p>
    <w:p>
      <w:pPr>
        <w:spacing w:after="80"/>
        <w:ind w:left="720"/>
      </w:pPr>
      <w:r>
        <w:t xml:space="preserve">that level;</w:t>
      </w:r>
    </w:p>
    <w:p>
      <w:pPr>
        <w:pStyle w:val="ListParagraph"/>
        <w:numPr>
          <w:ilvl w:val="0"/>
          <w:numId w:val="2"/>
        </w:numPr>
        <w:spacing w:after="80"/>
      </w:pPr>
      <w:r>
        <w:t xml:space="preserve">acquiring personal information by deception or other wrongful means, including</w:t>
      </w:r>
    </w:p>
    <w:p>
      <w:pPr>
        <w:spacing w:after="80"/>
        <w:ind w:left="720"/>
      </w:pPr>
      <w:r>
        <w:t xml:space="preserve">scraping in breach of a site's terms or of law;</w:t>
      </w:r>
    </w:p>
    <w:p>
      <w:pPr>
        <w:pStyle w:val="ListParagraph"/>
        <w:numPr>
          <w:ilvl w:val="0"/>
          <w:numId w:val="2"/>
        </w:numPr>
        <w:spacing w:after="80"/>
      </w:pPr>
      <w:r>
        <w:t xml:space="preserve">using AI in a way that may foment or induce an unlawful or unjust act, including</w:t>
      </w:r>
    </w:p>
    <w:p>
      <w:pPr>
        <w:spacing w:after="80"/>
        <w:ind w:left="720"/>
      </w:pPr>
      <w:r>
        <w:t xml:space="preserve">generating content that discriminates, defames, or infringes intellectual property;</w:t>
      </w:r>
    </w:p>
    <w:p>
      <w:pPr>
        <w:pStyle w:val="ListParagraph"/>
        <w:numPr>
          <w:ilvl w:val="0"/>
          <w:numId w:val="2"/>
        </w:numPr>
        <w:spacing w:after="80"/>
      </w:pPr>
      <w:r>
        <w:t xml:space="preserve">generating deepfakes or intimate images of an identifiable person, or disinformation</w:t>
      </w:r>
    </w:p>
    <w:p>
      <w:pPr>
        <w:spacing w:after="80"/>
        <w:ind w:left="720"/>
      </w:pPr>
      <w:r>
        <w:t xml:space="preserve">presented as fact;</w:t>
      </w:r>
    </w:p>
    <w:p>
      <w:pPr>
        <w:pStyle w:val="ListParagraph"/>
        <w:numPr>
          <w:ilvl w:val="0"/>
          <w:numId w:val="2"/>
        </w:numPr>
        <w:spacing w:after="80"/>
      </w:pPr>
      <w:r>
        <w:t xml:space="preserve">acquiring sensitive personal information, including by AI generation or inference,</w:t>
      </w:r>
    </w:p>
    <w:p>
      <w:pPr>
        <w:spacing w:after="80"/>
        <w:ind w:left="720"/>
      </w:pPr>
      <w:r>
        <w:t xml:space="preserve">without the person's prior consent;</w:t>
      </w:r>
    </w:p>
    <w:p>
      <w:pPr>
        <w:pStyle w:val="ListParagraph"/>
        <w:numPr>
          <w:ilvl w:val="0"/>
          <w:numId w:val="2"/>
        </w:numPr>
        <w:spacing w:after="80"/>
      </w:pPr>
      <w:r>
        <w:t xml:space="preserve">providing personal data to an AI service that is a third party without a lawful basis</w:t>
      </w:r>
    </w:p>
    <w:p>
      <w:pPr>
        <w:spacing w:after="80"/>
        <w:ind w:left="720"/>
      </w:pPr>
      <w:r>
        <w:t xml:space="preserve">(clause 7.1);</w:t>
      </w:r>
    </w:p>
    <w:p>
      <w:pPr>
        <w:pStyle w:val="ListParagraph"/>
        <w:numPr>
          <w:ilvl w:val="0"/>
          <w:numId w:val="2"/>
        </w:numPr>
        <w:spacing w:after="80"/>
      </w:pPr>
      <w:r>
        <w:t xml:space="preserve">rendering a Level 4 decision with no human able to intervene (clause 14);</w:t>
      </w:r>
    </w:p>
    <w:p>
      <w:pPr>
        <w:pStyle w:val="ListParagraph"/>
        <w:numPr>
          <w:ilvl w:val="0"/>
          <w:numId w:val="2"/>
        </w:numPr>
        <w:spacing w:after="80"/>
      </w:pPr>
      <w:r>
        <w:t xml:space="preserve">representing AI output as verified fact where clause 11 requires verification;</w:t>
      </w:r>
    </w:p>
    <w:p>
      <w:pPr>
        <w:pStyle w:val="ListParagraph"/>
        <w:numPr>
          <w:ilvl w:val="0"/>
          <w:numId w:val="2"/>
        </w:numPr>
        <w:spacing w:after="80"/>
      </w:pPr>
      <w:r>
        <w:t xml:space="preserve">disabling, circumventing or ignoring a control on an approved tool.</w:t>
      </w:r>
    </w:p>
    <w:p>
      <w:pPr>
        <w:spacing w:after="120"/>
      </w:pPr>
      <w:r>
        <w:t xml:space="preserve">6.3 </w:t>
      </w:r>
      <w:r>
        <w:rPr>
          <w:b/>
          <w:bCs/>
        </w:rPr>
        <w:t xml:space="preserve">Prohibited without written approval from the Privacy Protection Officer:</w:t>
      </w:r>
      <w:r>
        <w:t xml:space="preserve"> any use at Level 3 or Level 4; any fine-tuning or training on [ORGANISATION] data (clause 16); any use of an AI agent that can take actions in other systems (clause 10.6); any AI use directed at minors (clause 19); any use of facial or other biometric identifiers (clause 8.4).</w:t>
      </w:r>
    </w:p>
    <w:p>
      <w:pPr>
        <w:pStyle w:val="Heading1"/>
        <w:spacing w:after="120" w:before="280"/>
      </w:pPr>
      <w:r>
        <w:rPr>
          <w:color w:val="2E74B5"/>
        </w:rPr>
        <w:t xml:space="preserve">7. Personal information in AI tools</w:t>
      </w:r>
    </w:p>
    <w:p>
      <w:pPr>
        <w:pStyle w:val="Heading2"/>
        <w:spacing w:after="100" w:before="200"/>
      </w:pPr>
      <w:r>
        <w:rPr>
          <w:color w:val="2E74B5"/>
        </w:rPr>
        <w:t xml:space="preserve">7.1 Entering personal information is a use, and often a provision to a third party</w:t>
      </w:r>
    </w:p>
    <w:p>
      <w:pPr>
        <w:spacing w:after="120"/>
      </w:pPr>
      <w:r>
        <w:t xml:space="preserve">7.1.1 Personal information entered into an AI tool is handled, and must stay within the specified purpose of use. Where the tool's provider can access what is entered, the entry is a provision of personal data to a third party, which requires the person's prior consent or a statutory exception - unless the provider is a mere entrusted processor handling the data only on [ORGANISATION]'s instructions and under its supervision (clause 9.4), in which case it is not a third-party provision but the supervision duty applies.</w:t>
      </w:r>
    </w:p>
    <w:p>
      <w:pPr>
        <w:spacing w:after="120"/>
      </w:pPr>
      <w:r>
        <w:t xml:space="preserve">7.1.2 Using AI as the means of the purpose the information was collected for is within that purpose. Using it for an AI purpose of its own - training a model, building a profile - is handling beyond the purpose and requires consent or a lawful change of the specified purpose, notified to the person.</w:t>
      </w:r>
    </w:p>
    <w:p>
      <w:pPr>
        <w:spacing w:after="120"/>
      </w:pPr>
      <w:r>
        <w:t xml:space="preserve">7.1.3 The minimum personal information sufficient for the purpose is entered. Pseudonymised or anonymised information, or non-personal information, is used in prompts where the purpose allows. Prompts containing personal information are retained only as long as the purpose requires, and the retention period is on the approved tools list.</w:t>
      </w:r>
    </w:p>
    <w:p>
      <w:pPr>
        <w:pStyle w:val="Heading2"/>
        <w:spacing w:after="100" w:before="200"/>
      </w:pPr>
      <w:r>
        <w:rPr>
          <w:color w:val="2E74B5"/>
        </w:rPr>
        <w:t xml:space="preserve">7.2 Generating or inferring personal information</w:t>
      </w:r>
    </w:p>
    <w:p>
      <w:pPr>
        <w:spacing w:after="120"/>
      </w:pPr>
      <w:r>
        <w:t xml:space="preserve">7.2.1 Where an AI tool generates or infers information about an identifiable individual, that information is personal information and is handled under the Act: within a specified purpose, not by wrongful means, and, where it is sensitive personal information (a health inference, a criminal-record inference), only with the person's prior consent.</w:t>
      </w:r>
    </w:p>
    <w:p>
      <w:pPr>
        <w:spacing w:after="120"/>
      </w:pPr>
      <w:r>
        <w:t xml:space="preserve">7.2.2 Generated or inferred information [ORGANISATION] has no basis to handle is deleted without delay. Information about a person that is false is still information about that person and is subject to the accuracy duty and the correction right.</w:t>
      </w:r>
    </w:p>
    <w:p>
      <w:pPr>
        <w:pStyle w:val="Heading2"/>
        <w:spacing w:after="100" w:before="200"/>
      </w:pPr>
      <w:r>
        <w:rPr>
          <w:color w:val="2E74B5"/>
        </w:rPr>
        <w:t xml:space="preserve">7.3 Sensitive personal information</w:t>
      </w:r>
    </w:p>
    <w:p>
      <w:pPr>
        <w:spacing w:after="120"/>
      </w:pPr>
      <w:r>
        <w:t xml:space="preserve">7.3.1 Sensitive personal information - race, creed, social status, medical history, criminal record, the fact of having suffered harm from a crime, and the Cabinet Order equivalents - is acquired only with the person's prior consent, save for the narrow statutory exceptions, and is not provided to a third party on an opt-out basis.</w:t>
      </w:r>
    </w:p>
    <w:p>
      <w:pPr>
        <w:spacing w:after="120"/>
      </w:pPr>
      <w:r>
        <w:t xml:space="preserve">7.3.2 Using AI to generate, infer or classify sensitive personal information about a person is a Level 3 use and requires the person's prior consent before the tool is used for it.</w:t>
      </w:r>
    </w:p>
    <w:p>
      <w:pPr>
        <w:pStyle w:val="Heading2"/>
        <w:spacing w:after="100" w:before="200"/>
      </w:pPr>
      <w:r>
        <w:rPr>
          <w:color w:val="2E74B5"/>
        </w:rPr>
        <w:t xml:space="preserve">7.4 Facial features and biometric identifiers</w:t>
      </w:r>
    </w:p>
    <w:p>
      <w:pPr>
        <w:spacing w:after="120"/>
      </w:pPr>
      <w:r>
        <w:t xml:space="preserve">Facial-recognition and other biometric identification is a Level 3 use, requires the Privacy Protection Officer's approval and the affected persons' consent, and is not deployed in a way that provides the identifiers to a third party on an opt-out basis. The pending amendment would tighten this further (clause 4.2); the policy already treats it as sensitive-tier.</w:t>
      </w:r>
    </w:p>
    <w:p>
      <w:pPr>
        <w:pStyle w:val="Heading2"/>
        <w:spacing w:after="100" w:before="200"/>
      </w:pPr>
      <w:r>
        <w:rPr>
          <w:color w:val="2E74B5"/>
        </w:rPr>
        <w:t xml:space="preserve">7.5 Scraping and acquisition</w:t>
      </w:r>
    </w:p>
    <w:p>
      <w:pPr>
        <w:spacing w:after="120"/>
      </w:pPr>
      <w:r>
        <w:t xml:space="preserve">Acquiring personal information by scraping websites or acquiring a third-party dataset is acquisition under the Act: it must not be by deception or other wrongful means, and proceeds only with the Privacy Protection Officer's approval and a record of the source and its lawfulness. Publicly posted information is still personal information.</w:t>
      </w:r>
    </w:p>
    <w:p>
      <w:pPr>
        <w:pStyle w:val="Heading2"/>
        <w:spacing w:after="100" w:before="200"/>
      </w:pPr>
      <w:r>
        <w:rPr>
          <w:color w:val="2E74B5"/>
        </w:rPr>
        <w:t xml:space="preserve">7.6 Meeting recording and transcription</w:t>
      </w:r>
    </w:p>
    <w:p>
      <w:pPr>
        <w:spacing w:after="120"/>
      </w:pPr>
      <w:r>
        <w:t xml:space="preserve">AI transcription handles whatever is said. It is used only with a tool approved for Level 2 or above, only where participants are told at the outset that an AI tool is recording and transcribing, and sensitive personal information captured that the meeting did not require is deleted.</w:t>
      </w:r>
    </w:p>
    <w:p>
      <w:pPr>
        <w:pStyle w:val="Heading1"/>
        <w:spacing w:after="120" w:before="280"/>
      </w:pPr>
      <w:r>
        <w:rPr>
          <w:color w:val="2E74B5"/>
        </w:rPr>
        <w:t xml:space="preserve">8. Purpose notice, disclosure of handling, and identifiers</w:t>
      </w:r>
    </w:p>
    <w:p>
      <w:pPr>
        <w:spacing w:after="120"/>
      </w:pPr>
      <w:r>
        <w:t xml:space="preserve">8.1 [ORGANISATION] specifies and, on acquisition, promptly notifies or publicly announces the purpose of use of personal information handled in AI tools, and keeps its public statement of how it handles personal information current, including its use of AI and of AI suppliers and whether personal data is provided outside Japan.</w:t>
      </w:r>
    </w:p>
    <w:p>
      <w:pPr>
        <w:spacing w:after="120"/>
      </w:pPr>
      <w:r>
        <w:t xml:space="preserve">8.2 Where personal information is acquired directly from a person in writing, the purpose of use is expressly indicated at the point of acquisition, including any AI-related purpose.</w:t>
      </w:r>
    </w:p>
    <w:p>
      <w:pPr>
        <w:spacing w:after="120"/>
      </w:pPr>
      <w:r>
        <w:t xml:space="preserve">8.3 Where an AI tool is used in a way that materially affects a person, the person is told, with a general description of the system and the role it plays (clauses 13, 15).</w:t>
      </w:r>
    </w:p>
    <w:p>
      <w:pPr>
        <w:spacing w:after="120"/>
      </w:pPr>
      <w:r>
        <w:t xml:space="preserve">8.4 </w:t>
      </w:r>
      <w:r>
        <w:rPr>
          <w:b/>
          <w:bCs/>
        </w:rPr>
        <w:t xml:space="preserve">Biometric and profiling functions.</w:t>
      </w:r>
      <w:r>
        <w:t xml:space="preserve"> Where a tool can identify, locate or profile a person from facial or other biometric features, its use is disclosed and it is approved under clause 7.4; such functions are off by default.</w:t>
      </w:r>
    </w:p>
    <w:p>
      <w:pPr>
        <w:pStyle w:val="Heading1"/>
        <w:spacing w:after="120" w:before="280"/>
      </w:pPr>
      <w:r>
        <w:rPr>
          <w:color w:val="2E74B5"/>
        </w:rPr>
        <w:t xml:space="preserve">9. Security, retention, entrustment and transfers</w:t>
      </w:r>
    </w:p>
    <w:p>
      <w:pPr>
        <w:spacing w:after="120"/>
      </w:pPr>
      <w:r>
        <w:t xml:space="preserve">9.1 Personal data in, or passing through, AI tools is protected by necessary and appropriate measures against leak, loss and damage, and against unauthorised access. The measures address the AI-specific threats the guidelines name: prompt injection, extraction of training or context data, and jailbreaking of controls.</w:t>
      </w:r>
    </w:p>
    <w:p>
      <w:pPr>
        <w:spacing w:after="120"/>
      </w:pPr>
      <w:r>
        <w:t xml:space="preserve">9.2 [ORGANISATION] keeps personal data accurate and up to date within the scope the purpose requires, and deletes personal data without delay once it is no longer needed. Retention schedules cover prompts, outputs and any training data.</w:t>
      </w:r>
    </w:p>
    <w:p>
      <w:pPr>
        <w:spacing w:after="120"/>
      </w:pPr>
      <w:r>
        <w:t xml:space="preserve">9.3 Employees who handle personal data through AI tools are supervised for secure management.</w:t>
      </w:r>
    </w:p>
    <w:p>
      <w:pPr>
        <w:spacing w:after="120"/>
      </w:pPr>
      <w:r>
        <w:t xml:space="preserve">9.4 </w:t>
      </w:r>
      <w:r>
        <w:rPr>
          <w:b/>
          <w:bCs/>
        </w:rPr>
        <w:t xml:space="preserve">Entrustment.</w:t>
      </w:r>
      <w:r>
        <w:t xml:space="preserve"> Where an AI supplier handles personal data only on [ORGANISATION]'s instructions and for [ORGANISATION]'s purposes, it is an entrusted processor, not a third party, and [ORGANISATION] exercises necessary and adequate supervision over it: contract terms confining the data to [ORGANISATION]'s purposes, prohibiting the supplier's own use including model training, requiring security and deletion, and permitting audit. Where the supplier may use inputs or outputs for its own purposes, it is a third party and clause 7.1 applies.</w:t>
      </w:r>
    </w:p>
    <w:p>
      <w:pPr>
        <w:spacing w:after="120"/>
      </w:pPr>
      <w:r>
        <w:t xml:space="preserve">9.5 </w:t>
      </w:r>
      <w:r>
        <w:rPr>
          <w:b/>
          <w:bCs/>
        </w:rPr>
        <w:t xml:space="preserve">Outside Japan.</w:t>
      </w:r>
      <w:r>
        <w:t xml:space="preserve"> Providing personal data to an AI supplier or cloud service in a foreign country requires the person's prior consent informed by the foreign regime, unless the country is one the Commission recognises or the recipient maintains continuous equivalent measures under a compliant system; where equivalent measures are relied on, [ORGANISATION] takes the steps the Rules require to ensure their continued implementation and to respond to the person's enquiries.</w:t>
      </w:r>
    </w:p>
    <w:p>
      <w:pPr>
        <w:pStyle w:val="Heading1"/>
        <w:spacing w:after="120" w:before="280"/>
      </w:pPr>
      <w:r>
        <w:rPr>
          <w:color w:val="2E74B5"/>
        </w:rPr>
        <w:t xml:space="preserve">10. Verification of output, code and agents</w:t>
      </w:r>
    </w:p>
    <w:p>
      <w:pPr>
        <w:spacing w:after="120"/>
      </w:pPr>
      <w:r>
        <w:t xml:space="preserve">10.1 AI output is a draft, verified by a competent person before it is relied on, sent outside [ORGANISATION], or recorded as fact, to a degree matching the consequence of error.</w:t>
      </w:r>
    </w:p>
    <w:p>
      <w:pPr>
        <w:spacing w:after="120"/>
      </w:pPr>
      <w:r>
        <w:t xml:space="preserve">10.2 Legal, regulatory, financial, medical and safety content is verified against a primary source. Cited authorities are checked to exist and to say what is claimed.</w:t>
      </w:r>
    </w:p>
    <w:p>
      <w:pPr>
        <w:spacing w:after="120"/>
      </w:pPr>
      <w:r>
        <w:t xml:space="preserve">10.3 AI-generated code is reviewed as third-party code before it enters a repository; the safety and security of generated code is prioritised, as the guidelines direct.</w:t>
      </w:r>
    </w:p>
    <w:p>
      <w:pPr>
        <w:spacing w:after="120"/>
      </w:pPr>
      <w:r>
        <w:t xml:space="preserve">10.4 Records show where information is an AI output and identify the data and system that produced it.</w:t>
      </w:r>
    </w:p>
    <w:p>
      <w:pPr>
        <w:spacing w:after="120"/>
      </w:pPr>
      <w:r>
        <w:t xml:space="preserve">10.5 Retrieval-augmented generation and similar measures are used where they suppress hallucination and improve traceability, as the guidelines suggest.</w:t>
      </w:r>
    </w:p>
    <w:p>
      <w:pPr>
        <w:spacing w:after="120"/>
      </w:pPr>
      <w:r>
        <w:t xml:space="preserve">10.6 </w:t>
      </w:r>
      <w:r>
        <w:rPr>
          <w:b/>
          <w:bCs/>
        </w:rPr>
        <w:t xml:space="preserve">AI agents.</w:t>
      </w:r>
      <w:r>
        <w:t xml:space="preserve"> A tool that selects its own actions across other systems is a Level 3 use at least and Level 4 where its actions affect a person. Every action it can take is enumerated and approved; it runs with least privilege; its actions are logged; a person can stop it.</w:t>
      </w:r>
    </w:p>
    <w:p>
      <w:pPr>
        <w:pStyle w:val="Heading1"/>
        <w:spacing w:after="120" w:before="280"/>
      </w:pPr>
      <w:r>
        <w:rPr>
          <w:color w:val="2E74B5"/>
        </w:rPr>
        <w:t xml:space="preserve">11. Accuracy and individual requests</w:t>
      </w:r>
    </w:p>
    <w:p>
      <w:pPr>
        <w:spacing w:after="120"/>
      </w:pPr>
      <w:r>
        <w:t xml:space="preserve">11.1 Personal data is kept accurate and up to date within the scope the purpose requires. AI carries heightened accuracy risk, and the tool's validity and reliability for the intended purpose are evaluated before approval and monitored after.</w:t>
      </w:r>
    </w:p>
    <w:p>
      <w:pPr>
        <w:spacing w:after="120"/>
      </w:pPr>
      <w:r>
        <w:t xml:space="preserve">11.2 A person is responsible for verifying any personal information obtained through AI and can overturn a result.</w:t>
      </w:r>
    </w:p>
    <w:p>
      <w:pPr>
        <w:spacing w:after="120"/>
      </w:pPr>
      <w:r>
        <w:t xml:space="preserve">11.3 A person may request </w:t>
      </w:r>
      <w:r>
        <w:rPr>
          <w:b/>
          <w:bCs/>
        </w:rPr>
        <w:t xml:space="preserve">disclosure</w:t>
      </w:r>
      <w:r>
        <w:t xml:space="preserve"> of the personal data [ORGANISATION] holds about them, including data generated or held in AI tools, by the electronic means the Act provides; </w:t>
      </w:r>
      <w:r>
        <w:rPr>
          <w:b/>
          <w:bCs/>
        </w:rPr>
        <w:t xml:space="preserve">correction</w:t>
      </w:r>
      <w:r>
        <w:t xml:space="preserve">, addition or deletion where the content is not factual; and </w:t>
      </w:r>
      <w:r>
        <w:rPr>
          <w:b/>
          <w:bCs/>
        </w:rPr>
        <w:t xml:space="preserve">cessation of use, deletion, or cessation of third-party provision</w:t>
      </w:r>
      <w:r>
        <w:t xml:space="preserve"> in the circumstances of clause 13. Requests are handled within the period and by the procedure the Act and the Commission's Rules require, and a refusal is explained.</w:t>
      </w:r>
    </w:p>
    <w:p>
      <w:pPr>
        <w:pStyle w:val="Heading1"/>
        <w:spacing w:after="120" w:before="280"/>
      </w:pPr>
      <w:r>
        <w:rPr>
          <w:color w:val="2E74B5"/>
        </w:rPr>
        <w:t xml:space="preserve">12. Decisions about people: the determination</w:t>
      </w:r>
    </w:p>
    <w:p>
      <w:pPr>
        <w:spacing w:after="120"/>
      </w:pPr>
      <w:r>
        <w:t xml:space="preserve">12.1 For every AI system that bears on a decision about a person, the accountable person records a written determination of:</w:t>
      </w:r>
    </w:p>
    <w:p>
      <w:pPr>
        <w:spacing w:after="120"/>
      </w:pPr>
      <w:r>
        <w:t xml:space="preserve">(a) whether the system makes or substantially contributes to a decision that could significantly affect the person, so that the Level 4 controls apply; and (b) whether the system's handling of the person's personal data could be </w:t>
      </w:r>
      <w:r>
        <w:rPr>
          <w:b/>
          <w:bCs/>
        </w:rPr>
        <w:t xml:space="preserve">likely to harm the person's rights or interests</w:t>
      </w:r>
      <w:r>
        <w:t xml:space="preserve">, so that the cessation right at clause 13.1(c) is engageable and must be capable of being honoured.</w:t>
      </w:r>
    </w:p>
    <w:p>
      <w:pPr>
        <w:spacing w:after="120"/>
      </w:pPr>
      <w:r>
        <w:t xml:space="preserve">12.2 A decision is substantially contributed to where the system's output - a score, a ranking, a recommendation, an eligibility flag - is a key factor a person relies on. A person who signs what the system proposes without the information, time or authority to decide otherwise is not exercising judgment.</w:t>
      </w:r>
    </w:p>
    <w:p>
      <w:pPr>
        <w:spacing w:after="120"/>
      </w:pPr>
      <w:r>
        <w:t xml:space="preserve">12.3 The determination is made on the use, recorded in the AI register with its reasons, and revisited on material change.</w:t>
      </w:r>
    </w:p>
    <w:p>
      <w:pPr>
        <w:pStyle w:val="Heading1"/>
        <w:spacing w:after="120" w:before="280"/>
      </w:pPr>
      <w:r>
        <w:rPr>
          <w:color w:val="2E74B5"/>
        </w:rPr>
        <w:t xml:space="preserve">13. Decisions about people: what the person is owed</w:t>
      </w:r>
    </w:p>
    <w:p>
      <w:pPr>
        <w:spacing w:after="120"/>
      </w:pPr>
      <w:r>
        <w:t xml:space="preserve">13.1 The APPI gives a person the right to require [ORGANISATION] to cease using or delete their personal data, or to cease providing it to a third party, where:</w:t>
      </w:r>
    </w:p>
    <w:p>
      <w:pPr>
        <w:spacing w:after="120"/>
      </w:pPr>
      <w:r>
        <w:t xml:space="preserve">(a) the data is handled beyond the specified purpose, used to foment an unlawful or unjust act, or acquired by wrongful means; (b) the data is no longer needed, or a reportable leak has occurred; or (c) the handling </w:t>
      </w:r>
      <w:r>
        <w:rPr>
          <w:b/>
          <w:bCs/>
        </w:rPr>
        <w:t xml:space="preserve">is likely to harm the person's rights or interests</w:t>
      </w:r>
      <w:r>
        <w:t xml:space="preserve">.</w:t>
      </w:r>
    </w:p>
    <w:p>
      <w:pPr>
        <w:spacing w:after="120"/>
      </w:pPr>
      <w:r>
        <w:t xml:space="preserve">[ORGANISATION] honours a well-founded request without delay, to the extent necessary, unless doing so is disproportionately difficult and it takes alternative measures to protect the person.</w:t>
      </w:r>
    </w:p>
    <w:p>
      <w:pPr>
        <w:spacing w:after="120"/>
      </w:pPr>
      <w:r>
        <w:t xml:space="preserve">13.2 </w:t>
      </w:r>
      <w:r>
        <w:rPr>
          <w:b/>
          <w:bCs/>
        </w:rPr>
        <w:t xml:space="preserve">As house standards</w:t>
      </w:r>
      <w:r>
        <w:t xml:space="preserve">, for a Level 4 decision [ORGANISATION] also: tells the person that an AI system contributed to the decision; gives, on request, a plain-language explanation of the personal data used and the principal factors; and provides a route to have the decision reviewed by a person. These are what the guidelines' human-centric, transparency and accountability principles require, and they are not yet in the binding law.</w:t>
      </w:r>
    </w:p>
    <w:p>
      <w:pPr>
        <w:spacing w:after="120"/>
      </w:pPr>
      <w:r>
        <w:t xml:space="preserve">13.3 Where a system's behaviour cannot be explained in terms a person affected could follow, it is not used for Level 4 decisions.</w:t>
      </w:r>
    </w:p>
    <w:p>
      <w:pPr>
        <w:pStyle w:val="Heading1"/>
        <w:spacing w:after="120" w:before="280"/>
      </w:pPr>
      <w:r>
        <w:rPr>
          <w:color w:val="2E74B5"/>
        </w:rPr>
        <w:t xml:space="preserve">14. Human oversight of decisions about people</w:t>
      </w:r>
    </w:p>
    <w:p>
      <w:pPr>
        <w:spacing w:after="120"/>
      </w:pPr>
      <w:r>
        <w:t xml:space="preserve">14.1 No Level 4 decision is made without a person able to review the AI output, with access to the information it rests on and the authority to decide differently. Approval and override rates are monitored (clause 20.6). Accountability for the decision rests with [ORGANISATION].</w:t>
      </w:r>
    </w:p>
    <w:p>
      <w:pPr>
        <w:spacing w:after="120"/>
      </w:pPr>
      <w:r>
        <w:t xml:space="preserve">14.2 Meaningful human oversight is maintained across the AI lifecycle, matched to the system's autonomy and the stakes, consistent with the human-centric principle.</w:t>
      </w:r>
    </w:p>
    <w:p>
      <w:pPr>
        <w:pStyle w:val="Heading1"/>
        <w:spacing w:after="120" w:before="280"/>
      </w:pPr>
      <w:r>
        <w:rPr>
          <w:color w:val="2E74B5"/>
        </w:rPr>
        <w:t xml:space="preserve">15. Customer-facing AI</w:t>
      </w:r>
    </w:p>
    <w:p>
      <w:pPr>
        <w:spacing w:after="120"/>
      </w:pPr>
      <w:r>
        <w:t xml:space="preserve">15.1 Where a customer or member of the public interacts with an AI system, they are told so at the start and can reach a person. Personal information is collected only within a specified, notified purpose and by lawful means.</w:t>
      </w:r>
    </w:p>
    <w:p>
      <w:pPr>
        <w:spacing w:after="120"/>
      </w:pPr>
      <w:r>
        <w:t xml:space="preserve">15.2 A customer-facing AI system is tested before launch for inaccurate, biased and harmful outputs and for surfacing personal information about other people, and monitored after launch.</w:t>
      </w:r>
    </w:p>
    <w:p>
      <w:pPr>
        <w:spacing w:after="120"/>
      </w:pPr>
      <w:r>
        <w:t xml:space="preserve">15.3 Where AI has generated or materially altered content presented as [ORGANISATION]'s work, the use is disclosed where a reasonable person would want to know and always where non-disclosure would mislead. Statements about what an AI product does are accurate.</w:t>
      </w:r>
    </w:p>
    <w:p>
      <w:pPr>
        <w:pStyle w:val="Heading1"/>
        <w:spacing w:after="120" w:before="280"/>
      </w:pPr>
      <w:r>
        <w:rPr>
          <w:color w:val="2E74B5"/>
        </w:rPr>
        <w:t xml:space="preserve">16. Training and fine-tuning on [ORGANISATION] data</w:t>
      </w:r>
    </w:p>
    <w:p>
      <w:pPr>
        <w:spacing w:after="120"/>
      </w:pPr>
      <w:r>
        <w:t xml:space="preserve">16.1 Using personal information [ORGANISATION] holds to train or fine-tune a model, or providing it to a supplier to do so, is handling beyond the original purpose unless that training was within the specified purpose. It requires consent or a lawful change of the specified purpose, notified to the person. Where the data is pseudonymised or anonymised for the purpose, the pseudonymised- and anonymised-information rules of the Act apply, including the prohibition on re-identification.</w:t>
      </w:r>
    </w:p>
    <w:p>
      <w:pPr>
        <w:spacing w:after="120"/>
      </w:pPr>
      <w:r>
        <w:t xml:space="preserve">16.2 A supplier that fine-tunes on [ORGANISATION] data does so as an entrusted processor under clause 9.4, or the provision is a third-party provision requiring consent.</w:t>
      </w:r>
    </w:p>
    <w:p>
      <w:pPr>
        <w:spacing w:after="120"/>
      </w:pPr>
      <w:r>
        <w:t xml:space="preserve">16.3 Fine-tuning is a Level 3 use.</w:t>
      </w:r>
    </w:p>
    <w:p>
      <w:pPr>
        <w:pStyle w:val="Heading1"/>
        <w:spacing w:after="120" w:before="280"/>
      </w:pPr>
      <w:r>
        <w:rPr>
          <w:color w:val="2E74B5"/>
        </w:rPr>
        <w:t xml:space="preserve">17. The AI Guidelines principles: house standards</w:t>
      </w:r>
    </w:p>
    <w:p>
      <w:pPr>
        <w:spacing w:after="120"/>
      </w:pPr>
      <w:r>
        <w:t xml:space="preserve">The AI Guidelines for Business (METI and MIC, v1.1) ask every AI developer, provider and business user to observe common guiding principles. They are not law. [ORGANISATION] adopts them as house standards and the annex operates them. In summary: </w:t>
      </w:r>
      <w:r>
        <w:rPr>
          <w:b/>
          <w:bCs/>
        </w:rPr>
        <w:t xml:space="preserve">human-centric</w:t>
      </w:r>
      <w:r>
        <w:t xml:space="preserve"> (respect human dignity and rights, keep meaningful human oversight); </w:t>
      </w:r>
      <w:r>
        <w:rPr>
          <w:b/>
          <w:bCs/>
        </w:rPr>
        <w:t xml:space="preserve">safety</w:t>
      </w:r>
      <w:r>
        <w:t xml:space="preserve"> (avoid harm to life, body, property across the lifecycle); </w:t>
      </w:r>
      <w:r>
        <w:rPr>
          <w:b/>
          <w:bCs/>
        </w:rPr>
        <w:t xml:space="preserve">fairness</w:t>
      </w:r>
      <w:r>
        <w:t xml:space="preserve"> (avoid unjust bias and discrimination); </w:t>
      </w:r>
      <w:r>
        <w:rPr>
          <w:b/>
          <w:bCs/>
        </w:rPr>
        <w:t xml:space="preserve">privacy protection</w:t>
      </w:r>
      <w:r>
        <w:t xml:space="preserve"> (protect personal information consistent with the APPI); </w:t>
      </w:r>
      <w:r>
        <w:rPr>
          <w:b/>
          <w:bCs/>
        </w:rPr>
        <w:t xml:space="preserve">security</w:t>
      </w:r>
      <w:r>
        <w:t xml:space="preserve"> (guard against the AI-specific threats); </w:t>
      </w:r>
      <w:r>
        <w:rPr>
          <w:b/>
          <w:bCs/>
        </w:rPr>
        <w:t xml:space="preserve">transparency</w:t>
      </w:r>
      <w:r>
        <w:t xml:space="preserve"> (provide appropriate information to stakeholders, including verifiability); </w:t>
      </w:r>
      <w:r>
        <w:rPr>
          <w:b/>
          <w:bCs/>
        </w:rPr>
        <w:t xml:space="preserve">accountability</w:t>
      </w:r>
      <w:r>
        <w:t xml:space="preserve"> (be answerable for the system to stakeholders); </w:t>
      </w:r>
      <w:r>
        <w:rPr>
          <w:b/>
          <w:bCs/>
        </w:rPr>
        <w:t xml:space="preserve">education and literacy</w:t>
      </w:r>
      <w:r>
        <w:t xml:space="preserve">; </w:t>
      </w:r>
      <w:r>
        <w:rPr>
          <w:b/>
          <w:bCs/>
        </w:rPr>
        <w:t xml:space="preserve">fair competition</w:t>
      </w:r>
      <w:r>
        <w:t xml:space="preserve">; and </w:t>
      </w:r>
      <w:r>
        <w:rPr>
          <w:b/>
          <w:bCs/>
        </w:rPr>
        <w:t xml:space="preserve">innovation</w:t>
      </w:r>
      <w:r>
        <w:t xml:space="preserve">. Where [ORGANISATION] acts as an AI developer or provider as well as a user, the additional developer and provider expectations in the guidelines apply.</w:t>
      </w:r>
    </w:p>
    <w:p>
      <w:pPr>
        <w:pStyle w:val="Heading1"/>
        <w:spacing w:after="120" w:before="280"/>
      </w:pPr>
      <w:r>
        <w:rPr>
          <w:color w:val="2E74B5"/>
        </w:rPr>
        <w:t xml:space="preserve">18. Accountability and governance of personal information</w:t>
      </w:r>
    </w:p>
    <w:p>
      <w:pPr>
        <w:spacing w:after="120"/>
      </w:pPr>
      <w:r>
        <w:t xml:space="preserve">18.1 [ORGANISATION] designates a Privacy Protection Officer responsible for the handling of personal information, and gives effect to the APPI through internal rules and this policy. This policy and its annex are those rules for AI.</w:t>
      </w:r>
    </w:p>
    <w:p>
      <w:pPr>
        <w:spacing w:after="120"/>
      </w:pPr>
      <w:r>
        <w:t xml:space="preserve">18.2 A privacy risk assessment is completed for every Level 3 and Level 4 AI use and every use that generates or infers personal information; the guidelines' governance expectations (identify, assess, mitigate and monitor AI risk across the lifecycle) are operated in the annex.</w:t>
      </w:r>
    </w:p>
    <w:p>
      <w:pPr>
        <w:pStyle w:val="Heading1"/>
        <w:spacing w:after="120" w:before="280"/>
      </w:pPr>
      <w:r>
        <w:rPr>
          <w:color w:val="2E74B5"/>
        </w:rPr>
        <w:t xml:space="preserve">19. Minors and vulnerable people</w:t>
      </w:r>
    </w:p>
    <w:p>
      <w:pPr>
        <w:spacing w:after="120"/>
      </w:pPr>
      <w:r>
        <w:t xml:space="preserve">19.1 Any AI use directed at minors, or in a service likely to be used by minors, is a Level 3 use and requires the Privacy Protection Officer's approval. Consent and notice for the personal data of a person under sixteen are addressed to their legal representative, and the minor's best interests are given priority - the position the pending amendment would make binding, adopted now as a house standard.</w:t>
      </w:r>
    </w:p>
    <w:p>
      <w:pPr>
        <w:spacing w:after="120"/>
      </w:pPr>
      <w:r>
        <w:t xml:space="preserve">19.2 Every privacy risk assessment for an AI system considers risks to vulnerable people and the measures taken.</w:t>
      </w:r>
    </w:p>
    <w:p>
      <w:pPr>
        <w:pStyle w:val="Heading1"/>
        <w:spacing w:after="120" w:before="280"/>
      </w:pPr>
      <w:r>
        <w:rPr>
          <w:color w:val="2E74B5"/>
        </w:rPr>
        <w:t xml:space="preserve">20. Governance, records, incidents and monitoring</w:t>
      </w:r>
    </w:p>
    <w:p>
      <w:pPr>
        <w:spacing w:after="120"/>
      </w:pPr>
      <w:r>
        <w:t xml:space="preserve">20.1 The AI Governance Committee, chaired by [the accountable executive], approves Level 4 uses, owns this policy, and reviews the AI register quarterly.</w:t>
      </w:r>
    </w:p>
    <w:p>
      <w:pPr>
        <w:spacing w:after="120"/>
      </w:pPr>
      <w:r>
        <w:t xml:space="preserve">20.2 The Privacy Protection Officer approves Level 3 uses, owns purpose-of-use and risk assessments, holds the clause 12 determinations, and handles individual requests and incidents.</w:t>
      </w:r>
    </w:p>
    <w:p>
      <w:pPr>
        <w:spacing w:after="120"/>
      </w:pPr>
      <w:r>
        <w:t xml:space="preserve">20.3 Every AI system has a named accountable person who owns its register entry, its assessments and its monitoring.</w:t>
      </w:r>
    </w:p>
    <w:p>
      <w:pPr>
        <w:spacing w:after="120"/>
      </w:pPr>
      <w:r>
        <w:t xml:space="preserve">20.4 </w:t>
      </w:r>
      <w:r>
        <w:rPr>
          <w:b/>
          <w:bCs/>
        </w:rPr>
        <w:t xml:space="preserve">The AI register</w:t>
      </w:r>
      <w:r>
        <w:t xml:space="preserve"> records every AI system in use, including AI embedded in other products: purpose of use, level, accountable person, the personal information handled and whether it is sensitive, whether the supplier is an entrusted processor or a third party, whether personal data goes outside Japan, the clause 12 determination, the risk assessment, testing and monitoring, and retention periods.</w:t>
      </w:r>
    </w:p>
    <w:p>
      <w:pPr>
        <w:spacing w:after="120"/>
      </w:pPr>
      <w:r>
        <w:t xml:space="preserve">20.5 </w:t>
      </w:r>
      <w:r>
        <w:rPr>
          <w:b/>
          <w:bCs/>
        </w:rPr>
        <w:t xml:space="preserve">Incidents.</w:t>
      </w:r>
      <w:r>
        <w:t xml:space="preserve"> Any suspected leak, loss or damage of personal data involving an AI tool, or any unauthorised handling, is reported to [Security] immediately. Where the situation is one the Commission's Rules prescribe as likely to harm individual rights and interests, [ORGANISATION] reports to the Personal Information Protection Commission and notifies the affected persons, as the Rules require; where notification to the person is difficult, alternative protective measures are taken. Every AI incident, whether or not a reportable leak (harmful output, a biased decision, an agent acting outside its approval), is recorded and investigated.</w:t>
      </w:r>
    </w:p>
    <w:p>
      <w:pPr>
        <w:spacing w:after="120"/>
      </w:pPr>
      <w:r>
        <w:t xml:space="preserve">20.6 </w:t>
      </w:r>
      <w:r>
        <w:rPr>
          <w:b/>
          <w:bCs/>
        </w:rPr>
        <w:t xml:space="preserve">Monitoring.</w:t>
      </w:r>
      <w:r>
        <w:t xml:space="preserve"> Tools are tested before approval for accuracy, bias, harmful output and the AI-specific threats, and monitored after, in proportion to their level. Level 4 systems are tested before deployment and at least [annually] for unfair differential outcomes, and monitored for approval and override rates.</w:t>
      </w:r>
    </w:p>
    <w:p>
      <w:pPr>
        <w:spacing w:after="120"/>
      </w:pPr>
      <w:r>
        <w:t xml:space="preserve">20.7 </w:t>
      </w:r>
      <w:r>
        <w:rPr>
          <w:b/>
          <w:bCs/>
        </w:rPr>
        <w:t xml:space="preserve">Complaints.</w:t>
      </w:r>
      <w:r>
        <w:t xml:space="preserve"> Individuals can complain about [ORGANISATION]'s handling of their personal information in connection with AI through the mechanism [ORGANISATION] publishes, and may consult the Personal Information Protection Commission.</w:t>
      </w:r>
    </w:p>
    <w:p>
      <w:pPr>
        <w:pStyle w:val="Heading1"/>
        <w:spacing w:after="120" w:before="280"/>
      </w:pPr>
      <w:r>
        <w:rPr>
          <w:color w:val="2E74B5"/>
        </w:rPr>
        <w:t xml:space="preserve">21. Training and acknowledgement</w:t>
      </w:r>
    </w:p>
    <w:p>
      <w:pPr>
        <w:spacing w:after="120"/>
      </w:pPr>
      <w:r>
        <w:t xml:space="preserve">21.1 Staff who use AI tools with [ORGANISATION] data complete training covering this policy, the levels of use, the prohibition on entering personal information into unapproved tools, the purpose-of-use and consent rules, the accuracy and verification duties, and how to recognise and report an incident, before first use and at least [annually].</w:t>
      </w:r>
    </w:p>
    <w:p>
      <w:pPr>
        <w:spacing w:after="120"/>
      </w:pPr>
      <w:r>
        <w:t xml:space="preserve">21.2 Staff who review Level 4 decisions complete additional training on the system and on the rights at clause 13.</w:t>
      </w:r>
    </w:p>
    <w:p>
      <w:pPr>
        <w:spacing w:after="120"/>
      </w:pPr>
      <w:r>
        <w:t xml:space="preserve">21.3 Every person in scope acknowledges this policy in writing on joining and on each material revision.</w:t>
      </w:r>
    </w:p>
    <w:p>
      <w:pPr>
        <w:pStyle w:val="Heading1"/>
        <w:spacing w:after="120" w:before="280"/>
      </w:pPr>
      <w:r>
        <w:rPr>
          <w:color w:val="2E74B5"/>
        </w:rPr>
        <w:t xml:space="preserve">22. What this policy does not cover</w:t>
      </w:r>
    </w:p>
    <w:p>
      <w:pPr>
        <w:spacing w:after="120"/>
      </w:pPr>
      <w:r>
        <w:t xml:space="preserve">22.1 This policy states the Act on the Protection of Personal Information (the current consolidated English text held), the AI Promotion Act (Act No. 53 of 2025), and the AI Guidelines for Business v1.1. </w:t>
      </w:r>
      <w:r>
        <w:rPr>
          <w:b/>
          <w:bCs/>
        </w:rPr>
        <w:t xml:space="preserve">It does not state:</w:t>
      </w:r>
    </w:p>
    <w:p>
      <w:pPr>
        <w:pStyle w:val="ListParagraph"/>
        <w:numPr>
          <w:ilvl w:val="0"/>
          <w:numId w:val="2"/>
        </w:numPr>
        <w:spacing w:after="80"/>
      </w:pPr>
      <w:r>
        <w:t xml:space="preserve">the APPI's Cabinet Order and the Commission's Enforcement Rules in detail (the exact</w:t>
      </w:r>
    </w:p>
    <w:p>
      <w:pPr>
        <w:spacing w:after="80"/>
        <w:ind w:left="720"/>
      </w:pPr>
      <w:r>
        <w:t xml:space="preserve">leak-report timing, the opt-out filing particulars, and the equivalent-measures</w:t>
      </w:r>
    </w:p>
    <w:p>
      <w:pPr>
        <w:spacing w:after="80"/>
        <w:ind w:left="720"/>
      </w:pPr>
      <w:r>
        <w:t xml:space="preserve">standard are set there and are applied as the Rules require, not restated);</w:t>
      </w:r>
    </w:p>
    <w:p>
      <w:pPr>
        <w:pStyle w:val="ListParagraph"/>
        <w:numPr>
          <w:ilvl w:val="0"/>
          <w:numId w:val="2"/>
        </w:numPr>
        <w:spacing w:after="80"/>
      </w:pPr>
      <w:r>
        <w:t xml:space="preserve">the 2026 APPI amendment, which is not law;</w:t>
      </w:r>
    </w:p>
    <w:p>
      <w:pPr>
        <w:pStyle w:val="ListParagraph"/>
        <w:numPr>
          <w:ilvl w:val="0"/>
          <w:numId w:val="2"/>
        </w:numPr>
        <w:spacing w:after="80"/>
      </w:pPr>
      <w:r>
        <w:t xml:space="preserve">the My Number Act, which governs individual identification numbers;</w:t>
      </w:r>
    </w:p>
    <w:p>
      <w:pPr>
        <w:pStyle w:val="ListParagraph"/>
        <w:numPr>
          <w:ilvl w:val="0"/>
          <w:numId w:val="2"/>
        </w:numPr>
        <w:spacing w:after="80"/>
      </w:pPr>
      <w:r>
        <w:t xml:space="preserve">sector rules for financial, medical and telecommunications businesses;</w:t>
      </w:r>
    </w:p>
    <w:p>
      <w:pPr>
        <w:pStyle w:val="ListParagraph"/>
        <w:numPr>
          <w:ilvl w:val="0"/>
          <w:numId w:val="2"/>
        </w:numPr>
        <w:spacing w:after="80"/>
      </w:pPr>
      <w:r>
        <w:t xml:space="preserve">the Unfair Competition Prevention Act and copyright law, which reach trade secrets and</w:t>
      </w:r>
    </w:p>
    <w:p>
      <w:pPr>
        <w:spacing w:after="80"/>
        <w:ind w:left="720"/>
      </w:pPr>
      <w:r>
        <w:t xml:space="preserve">training data and generated content;</w:t>
      </w:r>
    </w:p>
    <w:p>
      <w:pPr>
        <w:pStyle w:val="ListParagraph"/>
        <w:numPr>
          <w:ilvl w:val="0"/>
          <w:numId w:val="2"/>
        </w:numPr>
        <w:spacing w:after="80"/>
      </w:pPr>
      <w:r>
        <w:t xml:space="preserve">the Act on Regulation of Transmission of Specified Electronic Mail and other conduct</w:t>
      </w:r>
    </w:p>
    <w:p>
      <w:pPr>
        <w:spacing w:after="80"/>
        <w:ind w:left="720"/>
      </w:pPr>
      <w:r>
        <w:t xml:space="preserve">rules.</w:t>
      </w:r>
    </w:p>
    <w:p>
      <w:pPr>
        <w:spacing w:after="120"/>
      </w:pPr>
      <w:r>
        <w:t xml:space="preserve">22.2 Each is named because it exists and may apply; none is stated because none is held in the source set behind this policy, or because it sits in subordinate rules applied by reference. The enterprise annex records them as open verifications.</w:t>
      </w:r>
    </w:p>
    <w:p>
      <w:pPr>
        <w:pStyle w:val="Heading1"/>
        <w:spacing w:after="120" w:before="280"/>
      </w:pPr>
      <w:r>
        <w:rPr>
          <w:color w:val="2E74B5"/>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Version</w:t>
            </w:r>
          </w:p>
        </w:tc>
        <w:tc>
          <w:tcPr>
            <w:tcW w:type="dxa" w:w="3120"/>
            <w:shd w:fill="DEEAF6" w:color="auto" w:val="clear"/>
            <w:tcMar>
              <w:top w:type="dxa" w:w="60"/>
              <w:left w:type="dxa" w:w="100"/>
              <w:bottom w:type="dxa" w:w="60"/>
              <w:right w:type="dxa" w:w="100"/>
            </w:tcMar>
          </w:tcPr>
          <w:p>
            <w:r>
              <w:rPr>
                <w:b/>
                <w:bCs/>
                <w:sz w:val="18"/>
                <w:szCs w:val="18"/>
              </w:rPr>
              <w:t xml:space="preserve">Date</w:t>
            </w:r>
          </w:p>
        </w:tc>
        <w:tc>
          <w:tcPr>
            <w:tcW w:type="dxa" w:w="3120"/>
            <w:shd w:fill="DEEAF6" w:color="auto" w:val="clear"/>
            <w:tcMar>
              <w:top w:type="dxa" w:w="60"/>
              <w:left w:type="dxa" w:w="100"/>
              <w:bottom w:type="dxa" w:w="60"/>
              <w:right w:type="dxa" w:w="100"/>
            </w:tcMar>
          </w:tcPr>
          <w:p>
            <w:r>
              <w:rPr>
                <w:b/>
                <w:bCs/>
                <w:sz w:val="18"/>
                <w:szCs w:val="18"/>
              </w:rPr>
              <w:t xml:space="preserve">Change</w:t>
            </w:r>
          </w:p>
        </w:tc>
      </w:tr>
      <w:tr>
        <w:trPr>
          <w:tblHeader w:val="false"/>
        </w:trPr>
        <w:tc>
          <w:tcPr>
            <w:tcW w:type="dxa" w:w="3120"/>
            <w:tcMar>
              <w:top w:type="dxa" w:w="60"/>
              <w:left w:type="dxa" w:w="100"/>
              <w:bottom w:type="dxa" w:w="60"/>
              <w:right w:type="dxa" w:w="100"/>
            </w:tcMar>
          </w:tcPr>
          <w:p>
            <w:r>
              <w:rPr>
                <w:b w:val="false"/>
                <w:bCs w:val="false"/>
                <w:sz w:val="18"/>
                <w:szCs w:val="18"/>
              </w:rPr>
              <w:t xml:space="preserve">1.0</w:t>
            </w:r>
          </w:p>
        </w:tc>
        <w:tc>
          <w:tcPr>
            <w:tcW w:type="dxa" w:w="3120"/>
            <w:tcMar>
              <w:top w:type="dxa" w:w="60"/>
              <w:left w:type="dxa" w:w="100"/>
              <w:bottom w:type="dxa" w:w="60"/>
              <w:right w:type="dxa" w:w="100"/>
            </w:tcMar>
          </w:tcPr>
          <w:p>
            <w:r>
              <w:rPr>
                <w:b w:val="false"/>
                <w:bCs w:val="false"/>
                <w:sz w:val="18"/>
                <w:szCs w:val="18"/>
              </w:rPr>
              <w:t xml:space="preserve">3 September 2026</w:t>
            </w:r>
          </w:p>
        </w:tc>
        <w:tc>
          <w:tcPr>
            <w:tcW w:type="dxa" w:w="3120"/>
            <w:tcMar>
              <w:top w:type="dxa" w:w="60"/>
              <w:left w:type="dxa" w:w="100"/>
              <w:bottom w:type="dxa" w:w="60"/>
              <w:right w:type="dxa" w:w="100"/>
            </w:tcMar>
          </w:tcPr>
          <w:p>
            <w:r>
              <w:rPr>
                <w:b w:val="false"/>
                <w:bCs w:val="false"/>
                <w:sz w:val="18"/>
                <w:szCs w:val="18"/>
              </w:rPr>
              <w:t xml:space="preserve">Initial policy, published within its stated scope: the Act on the Protection of Personal Information (English translation held), the AI Promotion Act (Act No. 53 of 2025), and the AI Guidelines for Business v1.1; the 2026 APPI amendment named as pending and relied on for nothing. Verified by direct reading of the held instruments.</w:t>
            </w:r>
          </w:p>
        </w:tc>
      </w:tr>
    </w:tbl>
    <w:p>
      <w:pPr>
        <w:spacing w:after="120"/>
      </w:pPr>
    </w:p>
    <w:p>
      <w:pPr>
        <w:spacing w:after="120"/>
      </w:pPr>
      <w:r>
        <w:rPr>
          <w:i/>
          <w:iCs/>
          <w:color w:val="666666"/>
        </w:rPr>
        <w:t xml:space="preserve">Educational template - not legal advice. Review by qualified counsel before adoption.</w:t>
      </w:r>
      <w:r>
        <w:rPr>
          <w:i/>
          <w:iCs/>
          <w:color w:val="666666"/>
        </w:rPr>
        <w:t xml:space="preserve"> </w:t>
      </w:r>
      <w:r>
        <w:rPr>
          <w:i/>
          <w:iCs/>
          <w:color w:val="666666"/>
        </w:rPr>
        <w:t xml:space="preserve">Provision identifiers are in the research note, not in this policy.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AI Acceptable Use Policy - Japan - v1.0 - Internal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2026-09-03T18:36:03.140Z</dcterms:created>
  <dcterms:modified xsi:type="dcterms:W3CDTF">2026-09-03T18:36:03.141Z</dcterms:modified>
</cp:coreProperties>
</file>

<file path=docProps/custom.xml><?xml version="1.0" encoding="utf-8"?>
<Properties xmlns="http://schemas.openxmlformats.org/officeDocument/2006/custom-properties" xmlns:vt="http://schemas.openxmlformats.org/officeDocument/2006/docPropsVTypes"/>
</file>