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Artificial Intelligence Acceptable Use Policy - People's Republic of China</w:t>
      </w:r>
    </w:p>
    <w:p>
      <w:pPr>
        <w:keepNext/>
        <w:spacing w:after="80" w:before="200"/>
      </w:pPr>
      <w:r>
        <w:rPr>
          <w:rFonts w:ascii="Calibri" w:cs="Calibri" w:eastAsia="Calibri" w:hAnsi="Calibri"/>
          <w:b/>
          <w:bCs/>
          <w:color w:val="1F3864"/>
          <w:sz w:val="22"/>
          <w:szCs w:val="22"/>
        </w:rPr>
        <w:t xml:space="preserve">The three pillar laws, the Network Data Security Regulations, and the six CAC AI instruments</w:t>
      </w:r>
    </w:p>
    <w:p>
      <w:pPr>
        <w:spacing w:after="110"/>
      </w:pPr>
      <w:r>
        <w:rPr>
          <w:rFonts w:ascii="Calibri" w:cs="Calibri" w:eastAsia="Calibri" w:hAnsi="Calibri"/>
          <w:b/>
          <w:bCs/>
          <w:color w:val="333A45"/>
          <w:sz w:val="21"/>
          <w:szCs w:val="21"/>
        </w:rPr>
        <w:t xml:space="preserve">Organisation:</w:t>
      </w:r>
      <w:r>
        <w:rPr>
          <w:rFonts w:ascii="Calibri" w:cs="Calibri" w:eastAsia="Calibri" w:hAnsi="Calibri"/>
          <w:color w:val="333A45"/>
          <w:sz w:val="21"/>
          <w:szCs w:val="21"/>
        </w:rPr>
        <w:t xml:space="preserve"> [ORGANISATION] </w:t>
      </w:r>
      <w:r>
        <w:rPr>
          <w:rFonts w:ascii="Calibri" w:cs="Calibri" w:eastAsia="Calibri" w:hAnsi="Calibri"/>
          <w:b/>
          <w:bCs/>
          <w:color w:val="333A45"/>
          <w:sz w:val="21"/>
          <w:szCs w:val="21"/>
        </w:rPr>
        <w:t xml:space="preserve">Effective date:</w:t>
      </w:r>
      <w:r>
        <w:rPr>
          <w:rFonts w:ascii="Calibri" w:cs="Calibri" w:eastAsia="Calibri" w:hAnsi="Calibri"/>
          <w:color w:val="333A45"/>
          <w:sz w:val="21"/>
          <w:szCs w:val="21"/>
        </w:rPr>
        <w:t xml:space="preserve"> [DATE]  </w:t>
      </w:r>
      <w:r>
        <w:rPr>
          <w:rFonts w:ascii="Calibri" w:cs="Calibri" w:eastAsia="Calibri" w:hAnsi="Calibri"/>
          <w:b/>
          <w:bCs/>
          <w:color w:val="333A45"/>
          <w:sz w:val="21"/>
          <w:szCs w:val="21"/>
        </w:rPr>
        <w:t xml:space="preserve">Version:</w:t>
      </w:r>
      <w:r>
        <w:rPr>
          <w:rFonts w:ascii="Calibri" w:cs="Calibri" w:eastAsia="Calibri" w:hAnsi="Calibri"/>
          <w:color w:val="333A45"/>
          <w:sz w:val="21"/>
          <w:szCs w:val="21"/>
        </w:rPr>
        <w:t xml:space="preserve"> 1.0 </w:t>
      </w:r>
      <w:r>
        <w:rPr>
          <w:rFonts w:ascii="Calibri" w:cs="Calibri" w:eastAsia="Calibri" w:hAnsi="Calibri"/>
          <w:b/>
          <w:bCs/>
          <w:color w:val="333A45"/>
          <w:sz w:val="21"/>
          <w:szCs w:val="21"/>
        </w:rPr>
        <w:t xml:space="preserve">Policy owner:</w:t>
      </w:r>
      <w:r>
        <w:rPr>
          <w:rFonts w:ascii="Calibri" w:cs="Calibri" w:eastAsia="Calibri" w:hAnsi="Calibri"/>
          <w:color w:val="333A45"/>
          <w:sz w:val="21"/>
          <w:szCs w:val="21"/>
        </w:rPr>
        <w:t xml:space="preserve"> [CISO / Head of AI Governance]  </w:t>
      </w:r>
      <w:r>
        <w:rPr>
          <w:rFonts w:ascii="Calibri" w:cs="Calibri" w:eastAsia="Calibri" w:hAnsi="Calibri"/>
          <w:b/>
          <w:bCs/>
          <w:color w:val="333A45"/>
          <w:sz w:val="21"/>
          <w:szCs w:val="21"/>
        </w:rPr>
        <w:t xml:space="preserve">Privacy lead:</w:t>
      </w:r>
      <w:r>
        <w:rPr>
          <w:rFonts w:ascii="Calibri" w:cs="Calibri" w:eastAsia="Calibri" w:hAnsi="Calibri"/>
          <w:color w:val="333A45"/>
          <w:sz w:val="21"/>
          <w:szCs w:val="21"/>
        </w:rPr>
        <w:t xml:space="preserve"> [Personal Information Protection Officer] </w:t>
      </w:r>
      <w:r>
        <w:rPr>
          <w:rFonts w:ascii="Calibri" w:cs="Calibri" w:eastAsia="Calibri" w:hAnsi="Calibri"/>
          <w:b/>
          <w:bCs/>
          <w:color w:val="333A45"/>
          <w:sz w:val="21"/>
          <w:szCs w:val="21"/>
        </w:rPr>
        <w:t xml:space="preserve">Classification:</w:t>
      </w:r>
      <w:r>
        <w:rPr>
          <w:rFonts w:ascii="Calibri" w:cs="Calibri" w:eastAsia="Calibri" w:hAnsi="Calibri"/>
          <w:color w:val="333A45"/>
          <w:sz w:val="21"/>
          <w:szCs w:val="21"/>
        </w:rPr>
        <w:t xml:space="preserve"> Internal </w:t>
      </w:r>
      <w:r>
        <w:rPr>
          <w:rFonts w:ascii="Calibri" w:cs="Calibri" w:eastAsia="Calibri" w:hAnsi="Calibri"/>
          <w:b/>
          <w:bCs/>
          <w:color w:val="333A45"/>
          <w:sz w:val="21"/>
          <w:szCs w:val="21"/>
        </w:rPr>
        <w:t xml:space="preserve">Review:</w:t>
      </w:r>
      <w:r>
        <w:rPr>
          <w:rFonts w:ascii="Calibri" w:cs="Calibri" w:eastAsia="Calibri" w:hAnsi="Calibri"/>
          <w:color w:val="333A45"/>
          <w:sz w:val="21"/>
          <w:szCs w:val="21"/>
        </w:rPr>
        <w:t xml:space="preserve"> at least annually, and on material change in tools or regulation</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the PRC instruments set out in the accompanying research note and must be reviewed by qualified PRC counsel before adoption. PRC law is enacted in Chinese; this policy was verified against the Chinese texts, and the Chinese texts alone are operative.</w:t>
      </w:r>
    </w:p>
    <w:p>
      <w:pPr>
        <w:keepNext/>
        <w:pBdr>
          <w:bottom w:val="single" w:color="9DB9E8" w:sz="4" w:space="3"/>
        </w:pBdr>
        <w:spacing w:after="100" w:before="260"/>
      </w:pPr>
      <w:r>
        <w:rPr>
          <w:rFonts w:ascii="Calibri" w:cs="Calibri" w:eastAsia="Calibri" w:hAnsi="Calibri"/>
          <w:b/>
          <w:bCs/>
          <w:color w:val="2E5AAC"/>
          <w:sz w:val="26"/>
          <w:szCs w:val="26"/>
        </w:rPr>
        <w:t xml:space="preserve">1. Purpose</w:t>
      </w:r>
    </w:p>
    <w:p>
      <w:pPr>
        <w:spacing w:after="110"/>
      </w:pPr>
      <w:r>
        <w:rPr>
          <w:rFonts w:ascii="Calibri" w:cs="Calibri" w:eastAsia="Calibri" w:hAnsi="Calibri"/>
          <w:color w:val="333A45"/>
          <w:sz w:val="21"/>
          <w:szCs w:val="21"/>
        </w:rPr>
        <w:t xml:space="preserve">This policy governs how personnel of [ORGANISATION] use artificial intelligence tools - generative AI assistants, coding assistants, embedded AI features, recommendation and decision-support systems, and AI services offered to [ORGANISATION]'s own users - in a manner consistent with the law of the People's Republic of China.</w:t>
      </w:r>
    </w:p>
    <w:p>
      <w:pPr>
        <w:spacing w:after="110"/>
      </w:pPr>
      <w:r>
        <w:rPr>
          <w:rFonts w:ascii="Calibri" w:cs="Calibri" w:eastAsia="Calibri" w:hAnsi="Calibri"/>
          <w:color w:val="333A45"/>
          <w:sz w:val="21"/>
          <w:szCs w:val="21"/>
        </w:rPr>
        <w:t xml:space="preserve">Three features of the Chinese regime shape everything in this policy.</w:t>
      </w:r>
    </w:p>
    <w:p>
      <w:pPr>
        <w:keepNext/>
        <w:spacing w:after="80" w:before="200"/>
      </w:pPr>
      <w:r>
        <w:rPr>
          <w:rFonts w:ascii="Calibri" w:cs="Calibri" w:eastAsia="Calibri" w:hAnsi="Calibri"/>
          <w:b/>
          <w:bCs/>
          <w:color w:val="1F3864"/>
          <w:sz w:val="22"/>
          <w:szCs w:val="22"/>
        </w:rPr>
        <w:t xml:space="preserve">1.1 The regime is layered, and the layers interlock</w:t>
      </w:r>
    </w:p>
    <w:p>
      <w:pPr>
        <w:spacing w:after="110"/>
      </w:pPr>
      <w:r>
        <w:rPr>
          <w:rFonts w:ascii="Calibri" w:cs="Calibri" w:eastAsia="Calibri" w:hAnsi="Calibri"/>
          <w:color w:val="333A45"/>
          <w:sz w:val="21"/>
          <w:szCs w:val="21"/>
        </w:rPr>
        <w:t xml:space="preserve">China has no single AI act. It has three pillar laws - the Cybersecurity Law as amended in 2025, the Data Security Law, and the Personal Information Protection Law - a State Council regulation that operationalises all three (the Network Data Security Management Regulations), and a stack of technology-specific rules from the Cyberspace Administration of China and co-issuing ministries: algorithm recommendation, deep synthesis, generative AI, AI content labelling, cross-border data flows, and - newest of all, in force since July 2026 - anthropomorphic interaction services. A single AI tool can sit inside several of these regimes at once, and the obligations compound. This policy routes every tool through the question: </w:t>
      </w:r>
      <w:r>
        <w:rPr>
          <w:rFonts w:ascii="Calibri" w:cs="Calibri" w:eastAsia="Calibri" w:hAnsi="Calibri"/>
          <w:b/>
          <w:bCs/>
          <w:color w:val="333A45"/>
          <w:sz w:val="21"/>
          <w:szCs w:val="21"/>
        </w:rPr>
        <w:t xml:space="preserve">which service types does it provide?</w:t>
      </w:r>
    </w:p>
    <w:p>
      <w:pPr>
        <w:keepNext/>
        <w:spacing w:after="80" w:before="200"/>
      </w:pPr>
      <w:r>
        <w:rPr>
          <w:rFonts w:ascii="Calibri" w:cs="Calibri" w:eastAsia="Calibri" w:hAnsi="Calibri"/>
          <w:b/>
          <w:bCs/>
          <w:color w:val="1F3864"/>
          <w:sz w:val="22"/>
          <w:szCs w:val="22"/>
        </w:rPr>
        <w:t xml:space="preserve">1.2 The most important scoping line is public-facing or not</w:t>
      </w:r>
    </w:p>
    <w:p>
      <w:pPr>
        <w:spacing w:after="110"/>
      </w:pPr>
      <w:r>
        <w:rPr>
          <w:rFonts w:ascii="Calibri" w:cs="Calibri" w:eastAsia="Calibri" w:hAnsi="Calibri"/>
          <w:color w:val="333A45"/>
          <w:sz w:val="21"/>
          <w:szCs w:val="21"/>
        </w:rPr>
        <w:t xml:space="preserve">The generative AI rules attach to services </w:t>
      </w:r>
      <w:r>
        <w:rPr>
          <w:rFonts w:ascii="Calibri" w:cs="Calibri" w:eastAsia="Calibri" w:hAnsi="Calibri"/>
          <w:b/>
          <w:bCs/>
          <w:color w:val="333A45"/>
          <w:sz w:val="21"/>
          <w:szCs w:val="21"/>
        </w:rPr>
        <w:t xml:space="preserve">provided to the public inside China</w:t>
      </w:r>
      <w:r>
        <w:rPr>
          <w:rFonts w:ascii="Calibri" w:cs="Calibri" w:eastAsia="Calibri" w:hAnsi="Calibri"/>
          <w:color w:val="333A45"/>
          <w:sz w:val="21"/>
          <w:szCs w:val="21"/>
        </w:rPr>
        <w:t xml:space="preserve">. Research, development, and internal enterprise use that does not offer generative capability to the domestic public sit outside the generative AI measures - but remain fully inside the pillar laws and the data regulations. The moment [ORGANISATION] exposes a generative feature to the Chinese public, an entirely different tier of duties engages: content responsibility, security assessment, algorithm filing, labelling. Section 4 makes this determination mandatory and recorded for every tool.</w:t>
      </w:r>
    </w:p>
    <w:p>
      <w:pPr>
        <w:keepNext/>
        <w:spacing w:after="80" w:before="200"/>
      </w:pPr>
      <w:r>
        <w:rPr>
          <w:rFonts w:ascii="Calibri" w:cs="Calibri" w:eastAsia="Calibri" w:hAnsi="Calibri"/>
          <w:b/>
          <w:bCs/>
          <w:color w:val="1F3864"/>
          <w:sz w:val="22"/>
          <w:szCs w:val="22"/>
        </w:rPr>
        <w:t xml:space="preserve">1.3 Labelling is law, not etiquette</w:t>
      </w:r>
    </w:p>
    <w:p>
      <w:pPr>
        <w:spacing w:after="110"/>
      </w:pPr>
      <w:r>
        <w:rPr>
          <w:rFonts w:ascii="Calibri" w:cs="Calibri" w:eastAsia="Calibri" w:hAnsi="Calibri"/>
          <w:color w:val="333A45"/>
          <w:sz w:val="21"/>
          <w:szCs w:val="21"/>
        </w:rPr>
        <w:t xml:space="preserve">Since September 2025, AI-generated and synthesised content must carry explicit labels (visible to people) and implicit labels (embedded in file metadata), under a dedicated labelling regime backed by a mandatory national standard. Removing, altering, or forging labels is prohibited - for everyone, including users of AI tools. This policy treats label integrity as a personal obligation of every member of staff.</w:t>
      </w:r>
    </w:p>
    <w:p>
      <w:pPr>
        <w:keepNext/>
        <w:pBdr>
          <w:bottom w:val="single" w:color="9DB9E8" w:sz="4" w:space="3"/>
        </w:pBdr>
        <w:spacing w:after="100" w:before="260"/>
      </w:pPr>
      <w:r>
        <w:rPr>
          <w:rFonts w:ascii="Calibri" w:cs="Calibri" w:eastAsia="Calibri" w:hAnsi="Calibri"/>
          <w:b/>
          <w:bCs/>
          <w:color w:val="2E5AAC"/>
          <w:sz w:val="26"/>
          <w:szCs w:val="26"/>
        </w:rPr>
        <w:t xml:space="preserve">2. Scope</w:t>
      </w:r>
    </w:p>
    <w:p>
      <w:pPr>
        <w:spacing w:after="110"/>
      </w:pPr>
      <w:r>
        <w:rPr>
          <w:rFonts w:ascii="Calibri" w:cs="Calibri" w:eastAsia="Calibri" w:hAnsi="Calibri"/>
          <w:color w:val="333A45"/>
          <w:sz w:val="21"/>
          <w:szCs w:val="21"/>
        </w:rPr>
        <w:t xml:space="preserve">2.1 This policy applies to all personnel - employees, contractors, interns, and temporary staff - and to all use of AI tools in connection with [ORGANISATION]'s business where PRC law applies: activities inside mainland China, the processing of personal information of natural persons located in China for the purposes the law names, and services offered to the public in China.</w:t>
      </w:r>
    </w:p>
    <w:p>
      <w:pPr>
        <w:spacing w:after="110"/>
      </w:pPr>
      <w:r>
        <w:rPr>
          <w:rFonts w:ascii="Calibri" w:cs="Calibri" w:eastAsia="Calibri" w:hAnsi="Calibri"/>
          <w:color w:val="333A45"/>
          <w:sz w:val="21"/>
          <w:szCs w:val="21"/>
        </w:rPr>
        <w:t xml:space="preserve">2.2 It covers AI tools in every form: public chatbots and assistants, enterprise AI subscriptions, AI features embedded in approved software, coding assistants, recommendation systems, decision-support and screening systems, and AI services [ORGANISATION] itself provides to users.</w:t>
      </w:r>
    </w:p>
    <w:p>
      <w:pPr>
        <w:spacing w:after="110"/>
      </w:pPr>
      <w:r>
        <w:rPr>
          <w:rFonts w:ascii="Calibri" w:cs="Calibri" w:eastAsia="Calibri" w:hAnsi="Calibri"/>
          <w:color w:val="333A45"/>
          <w:sz w:val="21"/>
          <w:szCs w:val="21"/>
        </w:rPr>
        <w:t xml:space="preserve">2.3 This policy is the general baseline. The Enterprise Annex governs organisation-level duties - filings, assessments, labelling operations, suppliers, monitoring. Where sector rules apply to [ORGANISATION] (finance, health, news, publishing, audiovisual services), the sector regulator's requirements apply in addition.</w:t>
      </w:r>
    </w:p>
    <w:p>
      <w:pPr>
        <w:keepNext/>
        <w:pBdr>
          <w:bottom w:val="single" w:color="9DB9E8" w:sz="4" w:space="3"/>
        </w:pBdr>
        <w:spacing w:after="100" w:before="260"/>
      </w:pPr>
      <w:r>
        <w:rPr>
          <w:rFonts w:ascii="Calibri" w:cs="Calibri" w:eastAsia="Calibri" w:hAnsi="Calibri"/>
          <w:b/>
          <w:bCs/>
          <w:color w:val="2E5AAC"/>
          <w:sz w:val="26"/>
          <w:szCs w:val="26"/>
        </w:rPr>
        <w:t xml:space="preserve">3. Which law reaches which use</w:t>
      </w:r>
    </w:p>
    <w:p>
      <w:pPr>
        <w:spacing w:after="110"/>
      </w:pPr>
      <w:r>
        <w:rPr>
          <w:rFonts w:ascii="Calibri" w:cs="Calibri" w:eastAsia="Calibri" w:hAnsi="Calibri"/>
          <w:color w:val="333A45"/>
          <w:sz w:val="21"/>
          <w:szCs w:val="21"/>
        </w:rPr>
        <w:t xml:space="preserve">3.1 </w:t>
      </w:r>
      <w:r>
        <w:rPr>
          <w:rFonts w:ascii="Calibri" w:cs="Calibri" w:eastAsia="Calibri" w:hAnsi="Calibri"/>
          <w:b/>
          <w:bCs/>
          <w:color w:val="333A45"/>
          <w:sz w:val="21"/>
          <w:szCs w:val="21"/>
        </w:rPr>
        <w:t xml:space="preserve">All use of AI tools</w:t>
      </w:r>
      <w:r>
        <w:rPr>
          <w:rFonts w:ascii="Calibri" w:cs="Calibri" w:eastAsia="Calibri" w:hAnsi="Calibri"/>
          <w:color w:val="333A45"/>
          <w:sz w:val="21"/>
          <w:szCs w:val="21"/>
        </w:rPr>
        <w:t xml:space="preserve"> sits under the pillar laws: network and data security duties, the prohibition on unlawful content, and - wherever personal information is involved - the Personal Information Protection Law in full.</w:t>
      </w:r>
    </w:p>
    <w:p>
      <w:pPr>
        <w:spacing w:after="110"/>
      </w:pPr>
      <w:r>
        <w:rPr>
          <w:rFonts w:ascii="Calibri" w:cs="Calibri" w:eastAsia="Calibri" w:hAnsi="Calibri"/>
          <w:color w:val="333A45"/>
          <w:sz w:val="21"/>
          <w:szCs w:val="21"/>
        </w:rPr>
        <w:t xml:space="preserve">3.2 </w:t>
      </w:r>
      <w:r>
        <w:rPr>
          <w:rFonts w:ascii="Calibri" w:cs="Calibri" w:eastAsia="Calibri" w:hAnsi="Calibri"/>
          <w:b/>
          <w:bCs/>
          <w:color w:val="333A45"/>
          <w:sz w:val="21"/>
          <w:szCs w:val="21"/>
        </w:rPr>
        <w:t xml:space="preserve">Recommendation and ranking.</w:t>
      </w:r>
      <w:r>
        <w:rPr>
          <w:rFonts w:ascii="Calibri" w:cs="Calibri" w:eastAsia="Calibri" w:hAnsi="Calibri"/>
          <w:color w:val="333A45"/>
          <w:sz w:val="21"/>
          <w:szCs w:val="21"/>
        </w:rPr>
        <w:t xml:space="preserve"> A tool that pushes, ranks, filters, or schedules information to users through algorithms engages the algorithm recommendation rules: transparency to users, an option to switch personalised recommendation off, user tag deletion, and protections for minors, older people, workers under algorithmic scheduling, and consumers against differential pricing.</w:t>
      </w:r>
    </w:p>
    <w:p>
      <w:pPr>
        <w:spacing w:after="110"/>
      </w:pPr>
      <w:r>
        <w:rPr>
          <w:rFonts w:ascii="Calibri" w:cs="Calibri" w:eastAsia="Calibri" w:hAnsi="Calibri"/>
          <w:color w:val="333A45"/>
          <w:sz w:val="21"/>
          <w:szCs w:val="21"/>
        </w:rPr>
        <w:t xml:space="preserve">3.3 </w:t>
      </w:r>
      <w:r>
        <w:rPr>
          <w:rFonts w:ascii="Calibri" w:cs="Calibri" w:eastAsia="Calibri" w:hAnsi="Calibri"/>
          <w:b/>
          <w:bCs/>
          <w:color w:val="333A45"/>
          <w:sz w:val="21"/>
          <w:szCs w:val="21"/>
        </w:rPr>
        <w:t xml:space="preserve">Deep synthesis.</w:t>
      </w:r>
      <w:r>
        <w:rPr>
          <w:rFonts w:ascii="Calibri" w:cs="Calibri" w:eastAsia="Calibri" w:hAnsi="Calibri"/>
          <w:color w:val="333A45"/>
          <w:sz w:val="21"/>
          <w:szCs w:val="21"/>
        </w:rPr>
        <w:t xml:space="preserve"> A tool that generates or materially edits text, voice, faces, images, video, or immersive scenes engages the deep synthesis rules: content review, real-identity verification of users, labelling, and - for biometric editing functions - the informed separate consent of the person whose face or voice is edited.</w:t>
      </w:r>
    </w:p>
    <w:p>
      <w:pPr>
        <w:spacing w:after="110"/>
      </w:pPr>
      <w:r>
        <w:rPr>
          <w:rFonts w:ascii="Calibri" w:cs="Calibri" w:eastAsia="Calibri" w:hAnsi="Calibri"/>
          <w:color w:val="333A45"/>
          <w:sz w:val="21"/>
          <w:szCs w:val="21"/>
        </w:rPr>
        <w:t xml:space="preserve">3.4 </w:t>
      </w:r>
      <w:r>
        <w:rPr>
          <w:rFonts w:ascii="Calibri" w:cs="Calibri" w:eastAsia="Calibri" w:hAnsi="Calibri"/>
          <w:b/>
          <w:bCs/>
          <w:color w:val="333A45"/>
          <w:sz w:val="21"/>
          <w:szCs w:val="21"/>
        </w:rPr>
        <w:t xml:space="preserve">Generative AI provided to the public.</w:t>
      </w:r>
      <w:r>
        <w:rPr>
          <w:rFonts w:ascii="Calibri" w:cs="Calibri" w:eastAsia="Calibri" w:hAnsi="Calibri"/>
          <w:color w:val="333A45"/>
          <w:sz w:val="21"/>
          <w:szCs w:val="21"/>
        </w:rPr>
        <w:t xml:space="preserve"> Offering generative capability to the public in China engages the generative AI measures: lawful training data, content responsibility for what the service generates, minors protections, complaint handling, and the security-assessment and filing duties for services with public opinion attributes or social mobilisation capability.</w:t>
      </w:r>
    </w:p>
    <w:p>
      <w:pPr>
        <w:spacing w:after="110"/>
      </w:pPr>
      <w:r>
        <w:rPr>
          <w:rFonts w:ascii="Calibri" w:cs="Calibri" w:eastAsia="Calibri" w:hAnsi="Calibri"/>
          <w:color w:val="333A45"/>
          <w:sz w:val="21"/>
          <w:szCs w:val="21"/>
        </w:rPr>
        <w:t xml:space="preserve">3.5 </w:t>
      </w:r>
      <w:r>
        <w:rPr>
          <w:rFonts w:ascii="Calibri" w:cs="Calibri" w:eastAsia="Calibri" w:hAnsi="Calibri"/>
          <w:b/>
          <w:bCs/>
          <w:color w:val="333A45"/>
          <w:sz w:val="21"/>
          <w:szCs w:val="21"/>
        </w:rPr>
        <w:t xml:space="preserve">Anthropomorphic interaction.</w:t>
      </w:r>
      <w:r>
        <w:rPr>
          <w:rFonts w:ascii="Calibri" w:cs="Calibri" w:eastAsia="Calibri" w:hAnsi="Calibri"/>
          <w:color w:val="333A45"/>
          <w:sz w:val="21"/>
          <w:szCs w:val="21"/>
        </w:rPr>
        <w:t xml:space="preserve"> A service that simulates a natural person's personality, thinking, and communication style for continuous emotional interaction - companionship, emotional support, persona chat - engages the 2026 anthropomorphic interaction measures: emotional-safety duties, intervention in extreme situations, strict minors rules, usage-time reminders, exit rights, and security assessment. Customer service bots, knowledge Q&amp;A, work assistants, and educational tools without continuous emotional interaction are outside this regime; Section 4 records the determination either way.</w:t>
      </w:r>
    </w:p>
    <w:p>
      <w:pPr>
        <w:spacing w:after="110"/>
      </w:pPr>
      <w:r>
        <w:rPr>
          <w:rFonts w:ascii="Calibri" w:cs="Calibri" w:eastAsia="Calibri" w:hAnsi="Calibri"/>
          <w:color w:val="333A45"/>
          <w:sz w:val="21"/>
          <w:szCs w:val="21"/>
        </w:rPr>
        <w:t xml:space="preserve">3.6 </w:t>
      </w:r>
      <w:r>
        <w:rPr>
          <w:rFonts w:ascii="Calibri" w:cs="Calibri" w:eastAsia="Calibri" w:hAnsi="Calibri"/>
          <w:b/>
          <w:bCs/>
          <w:color w:val="333A45"/>
          <w:sz w:val="21"/>
          <w:szCs w:val="21"/>
        </w:rPr>
        <w:t xml:space="preserve">Cross-border.</w:t>
      </w:r>
      <w:r>
        <w:rPr>
          <w:rFonts w:ascii="Calibri" w:cs="Calibri" w:eastAsia="Calibri" w:hAnsi="Calibri"/>
          <w:color w:val="333A45"/>
          <w:sz w:val="21"/>
          <w:szCs w:val="21"/>
        </w:rPr>
        <w:t xml:space="preserve"> Any AI use that moves personal information or important data out of mainland China - including prompts sent to an overseas-hosted model - engages the cross-border regime in Section 10.</w:t>
      </w:r>
    </w:p>
    <w:p>
      <w:pPr>
        <w:keepNext/>
        <w:pBdr>
          <w:bottom w:val="single" w:color="9DB9E8" w:sz="4" w:space="3"/>
        </w:pBdr>
        <w:spacing w:after="100" w:before="260"/>
      </w:pPr>
      <w:r>
        <w:rPr>
          <w:rFonts w:ascii="Calibri" w:cs="Calibri" w:eastAsia="Calibri" w:hAnsi="Calibri"/>
          <w:b/>
          <w:bCs/>
          <w:color w:val="2E5AAC"/>
          <w:sz w:val="26"/>
          <w:szCs w:val="26"/>
        </w:rPr>
        <w:t xml:space="preserve">4. The two determinations</w:t>
      </w:r>
    </w:p>
    <w:p>
      <w:pPr>
        <w:spacing w:after="110"/>
      </w:pPr>
      <w:r>
        <w:rPr>
          <w:rFonts w:ascii="Calibri" w:cs="Calibri" w:eastAsia="Calibri" w:hAnsi="Calibri"/>
          <w:color w:val="333A45"/>
          <w:sz w:val="21"/>
          <w:szCs w:val="21"/>
        </w:rPr>
        <w:t xml:space="preserve">4.1 Every AI tool is assessed and recorded, before approval and at every reopen event, on two determinations:</w:t>
      </w:r>
    </w:p>
    <w:p>
      <w:pPr>
        <w:spacing w:after="110"/>
      </w:pPr>
      <w:r>
        <w:rPr>
          <w:rFonts w:ascii="Calibri" w:cs="Calibri" w:eastAsia="Calibri" w:hAnsi="Calibri"/>
          <w:b/>
          <w:bCs/>
          <w:color w:val="333A45"/>
          <w:sz w:val="21"/>
          <w:szCs w:val="21"/>
        </w:rPr>
        <w:t xml:space="preserve">Determination A - service-type routing.</w:t>
      </w:r>
      <w:r>
        <w:rPr>
          <w:rFonts w:ascii="Calibri" w:cs="Calibri" w:eastAsia="Calibri" w:hAnsi="Calibri"/>
          <w:color w:val="333A45"/>
          <w:sz w:val="21"/>
          <w:szCs w:val="21"/>
        </w:rPr>
        <w:t xml:space="preserve"> Which of the regimes in Section 3 the tool engages: recommendation, deep synthesis, generative AI, anthropomorphic interaction - or none of them beyond the baseline. The determination is made against what the tool actually does, not what it is called.</w:t>
      </w:r>
    </w:p>
    <w:p>
      <w:pPr>
        <w:spacing w:after="110"/>
      </w:pPr>
      <w:r>
        <w:rPr>
          <w:rFonts w:ascii="Calibri" w:cs="Calibri" w:eastAsia="Calibri" w:hAnsi="Calibri"/>
          <w:b/>
          <w:bCs/>
          <w:color w:val="333A45"/>
          <w:sz w:val="21"/>
          <w:szCs w:val="21"/>
        </w:rPr>
        <w:t xml:space="preserve">Determination B - public-facing or internal.</w:t>
      </w:r>
      <w:r>
        <w:rPr>
          <w:rFonts w:ascii="Calibri" w:cs="Calibri" w:eastAsia="Calibri" w:hAnsi="Calibri"/>
          <w:color w:val="333A45"/>
          <w:sz w:val="21"/>
          <w:szCs w:val="21"/>
        </w:rPr>
        <w:t xml:space="preserve"> Whether the capability is offered to the public in China, or confined to internal use. The public-facing answer brings the generative AI measures, the filing and security-assessment machinery, and content responsibility for output. "Internal" is a conclusion requiring the same evidence as "public-facing": a feature exposed in a customer-facing app, a public demo, or an API resold onward is public-facing.</w:t>
      </w:r>
    </w:p>
    <w:p>
      <w:pPr>
        <w:spacing w:after="110"/>
      </w:pPr>
      <w:r>
        <w:rPr>
          <w:rFonts w:ascii="Calibri" w:cs="Calibri" w:eastAsia="Calibri" w:hAnsi="Calibri"/>
          <w:color w:val="333A45"/>
          <w:sz w:val="21"/>
          <w:szCs w:val="21"/>
        </w:rPr>
        <w:t xml:space="preserve">4.2 Both determinations are recorded with a date, a named decision-maker, and the basis, and are reopened on any change of model, purpose, audience, or capability</w:t>
      </w:r>
    </w:p>
    <w:p>
      <w:pPr>
        <w:pStyle w:val="ListParagraph"/>
        <w:numPr>
          <w:ilvl w:val="0"/>
          <w:numId w:val="2"/>
        </w:numPr>
        <w:spacing w:after="70"/>
      </w:pPr>
      <w:r>
        <w:rPr>
          <w:rFonts w:ascii="Calibri" w:cs="Calibri" w:eastAsia="Calibri" w:hAnsi="Calibri"/>
          <w:color w:val="333A45"/>
          <w:sz w:val="21"/>
          <w:szCs w:val="21"/>
        </w:rPr>
        <w:t xml:space="preserve">in particular when an internal tool is exposed to customers, which changes</w:t>
      </w:r>
    </w:p>
    <w:p>
      <w:pPr>
        <w:spacing w:after="110"/>
      </w:pPr>
      <w:r>
        <w:rPr>
          <w:rFonts w:ascii="Calibri" w:cs="Calibri" w:eastAsia="Calibri" w:hAnsi="Calibri"/>
          <w:color w:val="333A45"/>
          <w:sz w:val="21"/>
          <w:szCs w:val="21"/>
        </w:rPr>
        <w:t xml:space="preserve">almost every obligation that applies to it.</w:t>
      </w:r>
    </w:p>
    <w:p>
      <w:pPr>
        <w:keepNext/>
        <w:pBdr>
          <w:bottom w:val="single" w:color="9DB9E8" w:sz="4" w:space="3"/>
        </w:pBdr>
        <w:spacing w:after="100" w:before="260"/>
      </w:pPr>
      <w:r>
        <w:rPr>
          <w:rFonts w:ascii="Calibri" w:cs="Calibri" w:eastAsia="Calibri" w:hAnsi="Calibri"/>
          <w:b/>
          <w:bCs/>
          <w:color w:val="2E5AAC"/>
          <w:sz w:val="26"/>
          <w:szCs w:val="26"/>
        </w:rPr>
        <w:t xml:space="preserve">5. Approved tools</w:t>
      </w:r>
    </w:p>
    <w:p>
      <w:pPr>
        <w:spacing w:after="110"/>
      </w:pPr>
      <w:r>
        <w:rPr>
          <w:rFonts w:ascii="Calibri" w:cs="Calibri" w:eastAsia="Calibri" w:hAnsi="Calibri"/>
          <w:color w:val="333A45"/>
          <w:sz w:val="21"/>
          <w:szCs w:val="21"/>
        </w:rPr>
        <w:t xml:space="preserve">5.1 Personnel may use only AI tools approved by [ORGANISATION] and listed in the AI inventory. Using an unapproved tool for [ORGANISATION] business - including free public chatbots on personal accounts - is a policy violation.</w:t>
      </w:r>
    </w:p>
    <w:p>
      <w:pPr>
        <w:spacing w:after="110"/>
      </w:pPr>
      <w:r>
        <w:rPr>
          <w:rFonts w:ascii="Calibri" w:cs="Calibri" w:eastAsia="Calibri" w:hAnsi="Calibri"/>
          <w:color w:val="333A45"/>
          <w:sz w:val="21"/>
          <w:szCs w:val="21"/>
        </w:rPr>
        <w:t xml:space="preserve">5.2 Approval requires: the two determinations at Section 4; supplier checks at Section 13; where the tool is supplied from outside mainland China, the cross-border analysis at Section 10; and, for tools [ORGANISATION] provides to the public, the filings and assessments the Enterprise Annex governs.</w:t>
      </w:r>
    </w:p>
    <w:p>
      <w:pPr>
        <w:spacing w:after="110"/>
      </w:pPr>
      <w:r>
        <w:rPr>
          <w:rFonts w:ascii="Calibri" w:cs="Calibri" w:eastAsia="Calibri" w:hAnsi="Calibri"/>
          <w:color w:val="333A45"/>
          <w:sz w:val="21"/>
          <w:szCs w:val="21"/>
        </w:rPr>
        <w:t xml:space="preserve">5.3 Personnel must use approved tools through [ORGANISATION] accounts, not personal accounts, so that contractual protections, retention settings, and audit apply.</w:t>
      </w:r>
    </w:p>
    <w:p>
      <w:pPr>
        <w:keepNext/>
        <w:pBdr>
          <w:bottom w:val="single" w:color="9DB9E8" w:sz="4" w:space="3"/>
        </w:pBdr>
        <w:spacing w:after="100" w:before="260"/>
      </w:pPr>
      <w:r>
        <w:rPr>
          <w:rFonts w:ascii="Calibri" w:cs="Calibri" w:eastAsia="Calibri" w:hAnsi="Calibri"/>
          <w:b/>
          <w:bCs/>
          <w:color w:val="2E5AAC"/>
          <w:sz w:val="26"/>
          <w:szCs w:val="26"/>
        </w:rPr>
        <w:t xml:space="preserve">6. Levels of use</w:t>
      </w:r>
    </w:p>
    <w:p>
      <w:pPr>
        <w:spacing w:after="110"/>
      </w:pPr>
      <w:r>
        <w:rPr>
          <w:rFonts w:ascii="Calibri" w:cs="Calibri" w:eastAsia="Calibri" w:hAnsi="Calibri"/>
          <w:color w:val="333A45"/>
          <w:sz w:val="21"/>
          <w:szCs w:val="21"/>
        </w:rPr>
        <w:t xml:space="preserve">6.1 [ORGANISATION] classifies each use of AI at one of four levels. The levels are [ORGANISATION]'s own classification - they are anchored to the statutory triggers of PRC law, so that moving up a level engages the controls the law itself requires.</w:t>
      </w:r>
    </w:p>
    <w:p>
      <w:pPr>
        <w:spacing w:after="110"/>
      </w:pPr>
      <w:r>
        <w:rPr>
          <w:rFonts w:ascii="Calibri" w:cs="Calibri" w:eastAsia="Calibri" w:hAnsi="Calibri"/>
          <w:b/>
          <w:bCs/>
          <w:color w:val="333A45"/>
          <w:sz w:val="21"/>
          <w:szCs w:val="21"/>
        </w:rPr>
        <w:t xml:space="preserve">Level 1 - General assistance.</w:t>
      </w:r>
      <w:r>
        <w:rPr>
          <w:rFonts w:ascii="Calibri" w:cs="Calibri" w:eastAsia="Calibri" w:hAnsi="Calibri"/>
          <w:color w:val="333A45"/>
          <w:sz w:val="21"/>
          <w:szCs w:val="21"/>
        </w:rPr>
        <w:t xml:space="preserve"> No personal information, no confidential data, no output published or sent outside [ORGANISATION] without review. Drafting, summarising public material, general research, code assistance on non-sensitive code.</w:t>
      </w:r>
    </w:p>
    <w:p>
      <w:pPr>
        <w:spacing w:after="110"/>
      </w:pPr>
      <w:r>
        <w:rPr>
          <w:rFonts w:ascii="Calibri" w:cs="Calibri" w:eastAsia="Calibri" w:hAnsi="Calibri"/>
          <w:b/>
          <w:bCs/>
          <w:color w:val="333A45"/>
          <w:sz w:val="21"/>
          <w:szCs w:val="21"/>
        </w:rPr>
        <w:t xml:space="preserve">Level 2 - Personal information involved.</w:t>
      </w:r>
      <w:r>
        <w:rPr>
          <w:rFonts w:ascii="Calibri" w:cs="Calibri" w:eastAsia="Calibri" w:hAnsi="Calibri"/>
          <w:color w:val="333A45"/>
          <w:sz w:val="21"/>
          <w:szCs w:val="21"/>
        </w:rPr>
        <w:t xml:space="preserve"> Any prompt, upload, or output that contains personal information engages the Personal Information Protection Law: lawful basis, minimum necessity, notice, and the impact-assessment triggers at Section 9. Requires an approved tool with a data processing agreement.</w:t>
      </w:r>
    </w:p>
    <w:p>
      <w:pPr>
        <w:spacing w:after="110"/>
      </w:pPr>
      <w:r>
        <w:rPr>
          <w:rFonts w:ascii="Calibri" w:cs="Calibri" w:eastAsia="Calibri" w:hAnsi="Calibri"/>
          <w:b/>
          <w:bCs/>
          <w:color w:val="333A45"/>
          <w:sz w:val="21"/>
          <w:szCs w:val="21"/>
        </w:rPr>
        <w:t xml:space="preserve">Level 3 - Sensitive personal information, important data, or cross-border.</w:t>
      </w:r>
      <w:r>
        <w:rPr>
          <w:rFonts w:ascii="Calibri" w:cs="Calibri" w:eastAsia="Calibri" w:hAnsi="Calibri"/>
          <w:color w:val="333A45"/>
          <w:sz w:val="21"/>
          <w:szCs w:val="21"/>
        </w:rPr>
        <w:t xml:space="preserve"> Sensitive personal information (biometrics, religious belief, specific identity, medical health, financial accounts, location tracks, and any personal information of a minor under fourteen) requires separate consent, strict protection measures, and a prior impact assessment. Important data engages risk assessment and reporting duties. Any cross-border transfer engages Section 10. Level 3 use requires the privacy lead's prior approval.</w:t>
      </w:r>
    </w:p>
    <w:p>
      <w:pPr>
        <w:spacing w:after="110"/>
      </w:pPr>
      <w:r>
        <w:rPr>
          <w:rFonts w:ascii="Calibri" w:cs="Calibri" w:eastAsia="Calibri" w:hAnsi="Calibri"/>
          <w:b/>
          <w:bCs/>
          <w:color w:val="333A45"/>
          <w:sz w:val="21"/>
          <w:szCs w:val="21"/>
        </w:rPr>
        <w:t xml:space="preserve">Level 4 - Decisions about people, and services to the public.</w:t>
      </w:r>
      <w:r>
        <w:rPr>
          <w:rFonts w:ascii="Calibri" w:cs="Calibri" w:eastAsia="Calibri" w:hAnsi="Calibri"/>
          <w:color w:val="333A45"/>
          <w:sz w:val="21"/>
          <w:szCs w:val="21"/>
        </w:rPr>
        <w:t xml:space="preserve"> Automated decision-making with a major impact on an individual's rights and interests; any generative, deep synthesis, recommendation, or anthropomorphic service [ORGANISATION] offers to the public. Level 4 engages the full applicable stack - impact assessment, filing, security assessment, labelling, human review - and requires approval through the AI Governance Committee.</w:t>
      </w:r>
    </w:p>
    <w:p>
      <w:pPr>
        <w:keepNext/>
        <w:pBdr>
          <w:bottom w:val="single" w:color="9DB9E8" w:sz="4" w:space="3"/>
        </w:pBdr>
        <w:spacing w:after="100" w:before="260"/>
      </w:pPr>
      <w:r>
        <w:rPr>
          <w:rFonts w:ascii="Calibri" w:cs="Calibri" w:eastAsia="Calibri" w:hAnsi="Calibri"/>
          <w:b/>
          <w:bCs/>
          <w:color w:val="2E5AAC"/>
          <w:sz w:val="26"/>
          <w:szCs w:val="26"/>
        </w:rPr>
        <w:t xml:space="preserve">7. Prohibited uses</w:t>
      </w:r>
    </w:p>
    <w:p>
      <w:pPr>
        <w:spacing w:after="110"/>
      </w:pPr>
      <w:r>
        <w:rPr>
          <w:rFonts w:ascii="Calibri" w:cs="Calibri" w:eastAsia="Calibri" w:hAnsi="Calibri"/>
          <w:color w:val="333A45"/>
          <w:sz w:val="21"/>
          <w:szCs w:val="21"/>
        </w:rPr>
        <w:t xml:space="preserve">The following are prohibited for all personnel, at every level, regardless of tool:</w:t>
      </w:r>
    </w:p>
    <w:p>
      <w:pPr>
        <w:spacing w:after="110"/>
      </w:pPr>
      <w:r>
        <w:rPr>
          <w:rFonts w:ascii="Calibri" w:cs="Calibri" w:eastAsia="Calibri" w:hAnsi="Calibri"/>
          <w:color w:val="333A45"/>
          <w:sz w:val="21"/>
          <w:szCs w:val="21"/>
        </w:rPr>
        <w:t xml:space="preserve">7.1 Using AI to generate or spread content the law prohibits - content endangering national security or interests, terrorism or extremism, ethnic hatred or discrimination, violence or obscenity, or false and harmful information - or attempting to elicit such content from any tool.</w:t>
      </w:r>
    </w:p>
    <w:p>
      <w:pPr>
        <w:spacing w:after="110"/>
      </w:pPr>
      <w:r>
        <w:rPr>
          <w:rFonts w:ascii="Calibri" w:cs="Calibri" w:eastAsia="Calibri" w:hAnsi="Calibri"/>
          <w:color w:val="333A45"/>
          <w:sz w:val="21"/>
          <w:szCs w:val="21"/>
        </w:rPr>
        <w:t xml:space="preserve">7.2 Using AI to produce or spread false news, or fake or misleading depictions of real people or events; impersonating any natural person; generating or editing a real person's face or voice without the informed separate consent the law requires.</w:t>
      </w:r>
    </w:p>
    <w:p>
      <w:pPr>
        <w:spacing w:after="110"/>
      </w:pPr>
      <w:r>
        <w:rPr>
          <w:rFonts w:ascii="Calibri" w:cs="Calibri" w:eastAsia="Calibri" w:hAnsi="Calibri"/>
          <w:color w:val="333A45"/>
          <w:sz w:val="21"/>
          <w:szCs w:val="21"/>
        </w:rPr>
        <w:t xml:space="preserve">7.3 Removing, altering, forging, or concealing AI-content labels - explicit or implicit - on any generated or synthesised content, or providing tools or help to others to do so, or passing AI-generated content as human-made where a label is required.</w:t>
      </w:r>
    </w:p>
    <w:p>
      <w:pPr>
        <w:spacing w:after="110"/>
      </w:pPr>
      <w:r>
        <w:rPr>
          <w:rFonts w:ascii="Calibri" w:cs="Calibri" w:eastAsia="Calibri" w:hAnsi="Calibri"/>
          <w:color w:val="333A45"/>
          <w:sz w:val="21"/>
          <w:szCs w:val="21"/>
        </w:rPr>
        <w:t xml:space="preserve">7.4 Entering state secrets, work secrets, or data subject to export control into any AI tool; entering [ORGANISATION] trade secrets or third-party confidential information into a tool not approved for that class of data.</w:t>
      </w:r>
    </w:p>
    <w:p>
      <w:pPr>
        <w:spacing w:after="110"/>
      </w:pPr>
      <w:r>
        <w:rPr>
          <w:rFonts w:ascii="Calibri" w:cs="Calibri" w:eastAsia="Calibri" w:hAnsi="Calibri"/>
          <w:color w:val="333A45"/>
          <w:sz w:val="21"/>
          <w:szCs w:val="21"/>
        </w:rPr>
        <w:t xml:space="preserve">7.5 Using AI to conduct illegal data collection: scraping in a way that intrudes into others' networks or interferes with normal service operation, acquiring data by theft or other illegal means, or processing personal information without a lawful basis.</w:t>
      </w:r>
    </w:p>
    <w:p>
      <w:pPr>
        <w:spacing w:after="110"/>
      </w:pPr>
      <w:r>
        <w:rPr>
          <w:rFonts w:ascii="Calibri" w:cs="Calibri" w:eastAsia="Calibri" w:hAnsi="Calibri"/>
          <w:color w:val="333A45"/>
          <w:sz w:val="21"/>
          <w:szCs w:val="21"/>
        </w:rPr>
        <w:t xml:space="preserve">7.6 Using algorithms to implement unreasonable differential treatment in transaction terms - including price discrimination based on preferences or trading habits - or to induce excessive consumption or addiction.</w:t>
      </w:r>
    </w:p>
    <w:p>
      <w:pPr>
        <w:spacing w:after="110"/>
      </w:pPr>
      <w:r>
        <w:rPr>
          <w:rFonts w:ascii="Calibri" w:cs="Calibri" w:eastAsia="Calibri" w:hAnsi="Calibri"/>
          <w:color w:val="333A45"/>
          <w:sz w:val="21"/>
          <w:szCs w:val="21"/>
        </w:rPr>
        <w:t xml:space="preserve">7.7 Using AI tools to make solely automated decisions with a major impact on an individual - hiring, credit, discipline, significant pricing - without the human determination Section 11 requires and the individual's rights at Section 12.</w:t>
      </w:r>
    </w:p>
    <w:p>
      <w:pPr>
        <w:spacing w:after="110"/>
      </w:pPr>
      <w:r>
        <w:rPr>
          <w:rFonts w:ascii="Calibri" w:cs="Calibri" w:eastAsia="Calibri" w:hAnsi="Calibri"/>
          <w:color w:val="333A45"/>
          <w:sz w:val="21"/>
          <w:szCs w:val="21"/>
        </w:rPr>
        <w:t xml:space="preserve">7.8 Providing any personal information or data stored in mainland China to a foreign judicial or law enforcement authority - including through an AI vendor's legal-process response - without the approval of the competent PRC authority.</w:t>
      </w:r>
    </w:p>
    <w:p>
      <w:pPr>
        <w:spacing w:after="110"/>
      </w:pPr>
      <w:r>
        <w:rPr>
          <w:rFonts w:ascii="Calibri" w:cs="Calibri" w:eastAsia="Calibri" w:hAnsi="Calibri"/>
          <w:color w:val="333A45"/>
          <w:sz w:val="21"/>
          <w:szCs w:val="21"/>
        </w:rPr>
        <w:t xml:space="preserve">7.9 Directing an anthropomorphic or companion-style service at minors as a virtual relative, virtual partner, or other virtual intimate relationship; providing any anthropomorphic interaction service to a child under fourteen without guardian consent.</w:t>
      </w:r>
    </w:p>
    <w:p>
      <w:pPr>
        <w:keepNext/>
        <w:pBdr>
          <w:bottom w:val="single" w:color="9DB9E8" w:sz="4" w:space="3"/>
        </w:pBdr>
        <w:spacing w:after="100" w:before="260"/>
      </w:pPr>
      <w:r>
        <w:rPr>
          <w:rFonts w:ascii="Calibri" w:cs="Calibri" w:eastAsia="Calibri" w:hAnsi="Calibri"/>
          <w:b/>
          <w:bCs/>
          <w:color w:val="2E5AAC"/>
          <w:sz w:val="26"/>
          <w:szCs w:val="26"/>
        </w:rPr>
        <w:t xml:space="preserve">8. Personal information</w:t>
      </w:r>
    </w:p>
    <w:p>
      <w:pPr>
        <w:spacing w:after="110"/>
      </w:pPr>
      <w:r>
        <w:rPr>
          <w:rFonts w:ascii="Calibri" w:cs="Calibri" w:eastAsia="Calibri" w:hAnsi="Calibri"/>
          <w:color w:val="333A45"/>
          <w:sz w:val="21"/>
          <w:szCs w:val="21"/>
        </w:rPr>
        <w:t xml:space="preserve">8.1 Every use of personal information in an AI tool needs a lawful basis under the Personal Information Protection Law. For most workplace uses this is consent, contract necessity, or HR management necessity under lawfully adopted labour rules; consent obtained must be voluntary, explicit, and informed, and is withdrawable, with a convenient withdrawal route.</w:t>
      </w:r>
    </w:p>
    <w:p>
      <w:pPr>
        <w:spacing w:after="110"/>
      </w:pPr>
      <w:r>
        <w:rPr>
          <w:rFonts w:ascii="Calibri" w:cs="Calibri" w:eastAsia="Calibri" w:hAnsi="Calibri"/>
          <w:color w:val="333A45"/>
          <w:sz w:val="21"/>
          <w:szCs w:val="21"/>
        </w:rPr>
        <w:t xml:space="preserve">8.2 Minimum necessity applies: the least personal information, for the stated purpose, retained for the shortest time necessary. Prompts are engineered to exclude personal information wherever the task permits; identifiers are removed or the data de-identified before use where feasible.</w:t>
      </w:r>
    </w:p>
    <w:p>
      <w:pPr>
        <w:spacing w:after="110"/>
      </w:pPr>
      <w:r>
        <w:rPr>
          <w:rFonts w:ascii="Calibri" w:cs="Calibri" w:eastAsia="Calibri" w:hAnsi="Calibri"/>
          <w:color w:val="333A45"/>
          <w:sz w:val="21"/>
          <w:szCs w:val="21"/>
        </w:rPr>
        <w:t xml:space="preserve">8.3 Sensitive personal information may enter an AI tool only at Level 3 with separate consent (or another lawful basis expressly covering it), a prior impact assessment, and strict protection measures. The personal information of minors under fourteen is always sensitive and requires guardian consent and dedicated processing rules.</w:t>
      </w:r>
    </w:p>
    <w:p>
      <w:pPr>
        <w:spacing w:after="110"/>
      </w:pPr>
      <w:r>
        <w:rPr>
          <w:rFonts w:ascii="Calibri" w:cs="Calibri" w:eastAsia="Calibri" w:hAnsi="Calibri"/>
          <w:color w:val="333A45"/>
          <w:sz w:val="21"/>
          <w:szCs w:val="21"/>
        </w:rPr>
        <w:t xml:space="preserve">8.4 Providing personal information to another processor - including an AI supplier acting as an independent processor - requires notice of the recipient's identity, contact details, purposes, methods and categories, and the individual's separate consent; entrusted processing requires the contract and supervision at Section 13.</w:t>
      </w:r>
    </w:p>
    <w:p>
      <w:pPr>
        <w:spacing w:after="110"/>
      </w:pPr>
      <w:r>
        <w:rPr>
          <w:rFonts w:ascii="Calibri" w:cs="Calibri" w:eastAsia="Calibri" w:hAnsi="Calibri"/>
          <w:color w:val="333A45"/>
          <w:sz w:val="21"/>
          <w:szCs w:val="21"/>
        </w:rPr>
        <w:t xml:space="preserve">8.5 Where [ORGANISATION] uses interaction data from an AI service it provides, interaction data that is sensitive personal information is not used for model training without the user's separate consent.</w:t>
      </w:r>
    </w:p>
    <w:p>
      <w:pPr>
        <w:keepNext/>
        <w:pBdr>
          <w:bottom w:val="single" w:color="9DB9E8" w:sz="4" w:space="3"/>
        </w:pBdr>
        <w:spacing w:after="100" w:before="260"/>
      </w:pPr>
      <w:r>
        <w:rPr>
          <w:rFonts w:ascii="Calibri" w:cs="Calibri" w:eastAsia="Calibri" w:hAnsi="Calibri"/>
          <w:b/>
          <w:bCs/>
          <w:color w:val="2E5AAC"/>
          <w:sz w:val="26"/>
          <w:szCs w:val="26"/>
        </w:rPr>
        <w:t xml:space="preserve">9. Impact assessments</w:t>
      </w:r>
    </w:p>
    <w:p>
      <w:pPr>
        <w:spacing w:after="110"/>
      </w:pPr>
      <w:r>
        <w:rPr>
          <w:rFonts w:ascii="Calibri" w:cs="Calibri" w:eastAsia="Calibri" w:hAnsi="Calibri"/>
          <w:color w:val="333A45"/>
          <w:sz w:val="21"/>
          <w:szCs w:val="21"/>
        </w:rPr>
        <w:t xml:space="preserve">9.1 A personal information protection impact assessment is conducted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processing, and the processing record kept, wherever an AI use involves: processing sensitive personal information; automated decision-making; entrusting processing, providing personal information to another processor, or publishing it; transferring personal information outside China; or any other processing with a major impact on individuals.</w:t>
      </w:r>
    </w:p>
    <w:p>
      <w:pPr>
        <w:spacing w:after="110"/>
      </w:pPr>
      <w:r>
        <w:rPr>
          <w:rFonts w:ascii="Calibri" w:cs="Calibri" w:eastAsia="Calibri" w:hAnsi="Calibri"/>
          <w:color w:val="333A45"/>
          <w:sz w:val="21"/>
          <w:szCs w:val="21"/>
        </w:rPr>
        <w:t xml:space="preserve">9.2 The assessment covers whether purposes and methods are lawful, legitimate, and necessary; the impact on individuals' rights and the security risks; and whether the protection measures are lawful, effective, and proportionate to the risk. Reports and processing records are retained at least three years.</w:t>
      </w:r>
    </w:p>
    <w:p>
      <w:pPr>
        <w:spacing w:after="110"/>
      </w:pPr>
      <w:r>
        <w:rPr>
          <w:rFonts w:ascii="Calibri" w:cs="Calibri" w:eastAsia="Calibri" w:hAnsi="Calibri"/>
          <w:color w:val="333A45"/>
          <w:sz w:val="21"/>
          <w:szCs w:val="21"/>
        </w:rPr>
        <w:t xml:space="preserve">9.3 Providing or entrusting the processing of important data requires a prior risk assessment on the statutory heads, and important-data holders conduct an annual risk assessment and report it to the competent authority. The Enterprise Annex owns the register.</w:t>
      </w:r>
    </w:p>
    <w:p>
      <w:pPr>
        <w:keepNext/>
        <w:pBdr>
          <w:bottom w:val="single" w:color="9DB9E8" w:sz="4" w:space="3"/>
        </w:pBdr>
        <w:spacing w:after="100" w:before="260"/>
      </w:pPr>
      <w:r>
        <w:rPr>
          <w:rFonts w:ascii="Calibri" w:cs="Calibri" w:eastAsia="Calibri" w:hAnsi="Calibri"/>
          <w:b/>
          <w:bCs/>
          <w:color w:val="2E5AAC"/>
          <w:sz w:val="26"/>
          <w:szCs w:val="26"/>
        </w:rPr>
        <w:t xml:space="preserve">10. Cross-border data</w:t>
      </w:r>
    </w:p>
    <w:p>
      <w:pPr>
        <w:spacing w:after="110"/>
      </w:pPr>
      <w:r>
        <w:rPr>
          <w:rFonts w:ascii="Calibri" w:cs="Calibri" w:eastAsia="Calibri" w:hAnsi="Calibri"/>
          <w:color w:val="333A45"/>
          <w:sz w:val="21"/>
          <w:szCs w:val="21"/>
        </w:rPr>
        <w:t xml:space="preserve">10.1 A prompt is a transfer: sending personal information to an AI tool hosted outside mainland China is a cross-border provision of personal information, and routing [ORGANISATION] data to an overseas model endpoint moves the data out. Every AI tool's inventory record states where prompts, outputs, and logs are processed and stored.</w:t>
      </w:r>
    </w:p>
    <w:p>
      <w:pPr>
        <w:spacing w:after="110"/>
      </w:pPr>
      <w:r>
        <w:rPr>
          <w:rFonts w:ascii="Calibri" w:cs="Calibri" w:eastAsia="Calibri" w:hAnsi="Calibri"/>
          <w:color w:val="333A45"/>
          <w:sz w:val="21"/>
          <w:szCs w:val="21"/>
        </w:rPr>
        <w:t xml:space="preserve">10.2 Cross-border provision of personal information requires one of the lawful transfer routes - the CAC security assessment, the standard contract filed with the authorities, or professional certification - unless a statutory exemption applies (contract necessity for the individual, cross-border HR management under lawful labour rules, emergency protection of life and property, or cumulative annual volumes under the exemption threshold, or a free trade zone negative-list exemption). The privacy lead determines and records the route or exemption per tool.</w:t>
      </w:r>
    </w:p>
    <w:p>
      <w:pPr>
        <w:spacing w:after="110"/>
      </w:pPr>
      <w:r>
        <w:rPr>
          <w:rFonts w:ascii="Calibri" w:cs="Calibri" w:eastAsia="Calibri" w:hAnsi="Calibri"/>
          <w:color w:val="333A45"/>
          <w:sz w:val="21"/>
          <w:szCs w:val="21"/>
        </w:rPr>
        <w:t xml:space="preserve">10.3 The security assessment is mandatory - regardless of exemptions - where [ORGANISATION] is a critical information infrastructure operator providing any personal information or important data abroad, where important data leaves China, or where the statutory personal-information volume thresholds are reached counting cumulatively from 1 January of the current year.</w:t>
      </w:r>
    </w:p>
    <w:p>
      <w:pPr>
        <w:spacing w:after="110"/>
      </w:pPr>
      <w:r>
        <w:rPr>
          <w:rFonts w:ascii="Calibri" w:cs="Calibri" w:eastAsia="Calibri" w:hAnsi="Calibri"/>
          <w:color w:val="333A45"/>
          <w:sz w:val="21"/>
          <w:szCs w:val="21"/>
        </w:rPr>
        <w:t xml:space="preserve">10.4 Individuals are told the overseas recipient's identity, contact details, purposes, methods, categories, and how to exercise their rights against the recipient, and separate consent is obtained where consent is the basis. Transfers stay within the purposes, methods, categories, and scale declared in the assessment or contract.</w:t>
      </w:r>
    </w:p>
    <w:p>
      <w:pPr>
        <w:spacing w:after="110"/>
      </w:pPr>
      <w:r>
        <w:rPr>
          <w:rFonts w:ascii="Calibri" w:cs="Calibri" w:eastAsia="Calibri" w:hAnsi="Calibri"/>
          <w:color w:val="333A45"/>
          <w:sz w:val="21"/>
          <w:szCs w:val="21"/>
        </w:rPr>
        <w:t xml:space="preserve">10.5 Important data is not entered into any AI tool without the privacy lead's determination that the use either keeps the data in China or has passed the security assessment. Data [ORGANISATION] has not been notified or publicly identified as important need not be declared as important data for assessment - but the determination is recorded, not assumed.</w:t>
      </w:r>
    </w:p>
    <w:p>
      <w:pPr>
        <w:keepNext/>
        <w:pBdr>
          <w:bottom w:val="single" w:color="9DB9E8" w:sz="4" w:space="3"/>
        </w:pBdr>
        <w:spacing w:after="100" w:before="260"/>
      </w:pPr>
      <w:r>
        <w:rPr>
          <w:rFonts w:ascii="Calibri" w:cs="Calibri" w:eastAsia="Calibri" w:hAnsi="Calibri"/>
          <w:b/>
          <w:bCs/>
          <w:color w:val="2E5AAC"/>
          <w:sz w:val="26"/>
          <w:szCs w:val="26"/>
        </w:rPr>
        <w:t xml:space="preserve">11. Human determination</w:t>
      </w:r>
    </w:p>
    <w:p>
      <w:pPr>
        <w:spacing w:after="110"/>
      </w:pPr>
      <w:r>
        <w:rPr>
          <w:rFonts w:ascii="Calibri" w:cs="Calibri" w:eastAsia="Calibri" w:hAnsi="Calibri"/>
          <w:color w:val="333A45"/>
          <w:sz w:val="21"/>
          <w:szCs w:val="21"/>
        </w:rPr>
        <w:t xml:space="preserve">11.1 A decision with legal or similarly major effect on a person - hiring, termination, credit, significant pricing, eligibility - is made by an accountable human, informed but not replaced by AI. The human reviews the inputs and the recommendation, has authority and competence to depart from it, and records the determination.</w:t>
      </w:r>
    </w:p>
    <w:p>
      <w:pPr>
        <w:spacing w:after="110"/>
      </w:pPr>
      <w:r>
        <w:rPr>
          <w:rFonts w:ascii="Calibri" w:cs="Calibri" w:eastAsia="Calibri" w:hAnsi="Calibri"/>
          <w:color w:val="333A45"/>
          <w:sz w:val="21"/>
          <w:szCs w:val="21"/>
        </w:rPr>
        <w:t xml:space="preserve">11.2 Individuals subject to automated decision-making are entitled to transparency about it, to an explanation on request, and to refuse a solely automated decision with a major impact on their rights. [ORGANISATION] does not present a solely automated decision as human-reviewed.</w:t>
      </w:r>
    </w:p>
    <w:p>
      <w:pPr>
        <w:spacing w:after="110"/>
      </w:pPr>
      <w:r>
        <w:rPr>
          <w:rFonts w:ascii="Calibri" w:cs="Calibri" w:eastAsia="Calibri" w:hAnsi="Calibri"/>
          <w:color w:val="333A45"/>
          <w:sz w:val="21"/>
          <w:szCs w:val="21"/>
        </w:rPr>
        <w:t xml:space="preserve">11.3 Information push and commercial marketing driven by automated decision-making always offer a non-personalised option or a convenient refusal route, and recommendation services provide a working switch-off and user-tag deletion.</w:t>
      </w:r>
    </w:p>
    <w:p>
      <w:pPr>
        <w:keepNext/>
        <w:pBdr>
          <w:bottom w:val="single" w:color="9DB9E8" w:sz="4" w:space="3"/>
        </w:pBdr>
        <w:spacing w:after="100" w:before="260"/>
      </w:pPr>
      <w:r>
        <w:rPr>
          <w:rFonts w:ascii="Calibri" w:cs="Calibri" w:eastAsia="Calibri" w:hAnsi="Calibri"/>
          <w:b/>
          <w:bCs/>
          <w:color w:val="2E5AAC"/>
          <w:sz w:val="26"/>
          <w:szCs w:val="26"/>
        </w:rPr>
        <w:t xml:space="preserve">12. Individuals' requests</w:t>
      </w:r>
    </w:p>
    <w:p>
      <w:pPr>
        <w:spacing w:after="110"/>
      </w:pPr>
      <w:r>
        <w:rPr>
          <w:rFonts w:ascii="Calibri" w:cs="Calibri" w:eastAsia="Calibri" w:hAnsi="Calibri"/>
          <w:color w:val="333A45"/>
          <w:sz w:val="21"/>
          <w:szCs w:val="21"/>
        </w:rPr>
        <w:t xml:space="preserve">12.1 Individuals have the rights the Personal Information Protection Law gives them against [ORGANISATION] wherever AI processing involves their personal information: to know and to decide; to access and copy; to data portability on the statutory conditions; to correct and complete; to delete on the statutory grounds - including withdrawal of consent; to an explanation of processing rules; and, for automated decisions, the rights at Section 11.2.</w:t>
      </w:r>
    </w:p>
    <w:p>
      <w:pPr>
        <w:spacing w:after="110"/>
      </w:pPr>
      <w:r>
        <w:rPr>
          <w:rFonts w:ascii="Calibri" w:cs="Calibri" w:eastAsia="Calibri" w:hAnsi="Calibri"/>
          <w:color w:val="333A45"/>
          <w:sz w:val="21"/>
          <w:szCs w:val="21"/>
        </w:rPr>
        <w:t xml:space="preserve">12.2 Requests are received through convenient channels, acted on promptly, and refusals are explained with the reason. Requests touching AI tools route to the privacy lead, because prompts, logs, embeddings, and caches may each hold the individual's data, and deletion must reach them all - where deletion is technically infeasible, processing stops except for storage and protection.</w:t>
      </w:r>
    </w:p>
    <w:p>
      <w:pPr>
        <w:spacing w:after="110"/>
      </w:pPr>
      <w:r>
        <w:rPr>
          <w:rFonts w:ascii="Calibri" w:cs="Calibri" w:eastAsia="Calibri" w:hAnsi="Calibri"/>
          <w:color w:val="333A45"/>
          <w:sz w:val="21"/>
          <w:szCs w:val="21"/>
        </w:rPr>
        <w:t xml:space="preserve">12.3 Account cancellation and consent withdrawal are honoured without obstacle; data deleted or anonymised as the regulations require.</w:t>
      </w:r>
    </w:p>
    <w:p>
      <w:pPr>
        <w:keepNext/>
        <w:pBdr>
          <w:bottom w:val="single" w:color="9DB9E8" w:sz="4" w:space="3"/>
        </w:pBdr>
        <w:spacing w:after="100" w:before="260"/>
      </w:pPr>
      <w:r>
        <w:rPr>
          <w:rFonts w:ascii="Calibri" w:cs="Calibri" w:eastAsia="Calibri" w:hAnsi="Calibri"/>
          <w:b/>
          <w:bCs/>
          <w:color w:val="2E5AAC"/>
          <w:sz w:val="26"/>
          <w:szCs w:val="26"/>
        </w:rPr>
        <w:t xml:space="preserve">13. Suppliers</w:t>
      </w:r>
    </w:p>
    <w:p>
      <w:pPr>
        <w:spacing w:after="110"/>
      </w:pPr>
      <w:r>
        <w:rPr>
          <w:rFonts w:ascii="Calibri" w:cs="Calibri" w:eastAsia="Calibri" w:hAnsi="Calibri"/>
          <w:color w:val="333A45"/>
          <w:sz w:val="21"/>
          <w:szCs w:val="21"/>
        </w:rPr>
        <w:t xml:space="preserve">13.1 No AI tool is procured, renewed, or connected without a written agreement covering: the processing purposes, duration, methods, categories, and protection measures for entrusted processing; the supplier's security obligations and breach notification without undue delay; no use of [ORGANISATION] data for the supplier's own purposes, including model training, without agreement; no sub-entrustment without consent; return or deletion at termination; and the storage and processing locations that drive Section 10.</w:t>
      </w:r>
    </w:p>
    <w:p>
      <w:pPr>
        <w:spacing w:after="110"/>
      </w:pPr>
      <w:r>
        <w:rPr>
          <w:rFonts w:ascii="Calibri" w:cs="Calibri" w:eastAsia="Calibri" w:hAnsi="Calibri"/>
          <w:color w:val="333A45"/>
          <w:sz w:val="21"/>
          <w:szCs w:val="21"/>
        </w:rPr>
        <w:t xml:space="preserve">13.2 Suppliers of tools engaging the CAC regimes evidence their compliance posture: algorithm filing numbers where required, security assessments performed, labelling capability meeting the mandatory standard, and - for overseas suppliers - the lawful transfer route their service architecture implies. [ORGANISATION] verifies filing numbers are displayed as required.</w:t>
      </w:r>
    </w:p>
    <w:p>
      <w:pPr>
        <w:spacing w:after="110"/>
      </w:pPr>
      <w:r>
        <w:rPr>
          <w:rFonts w:ascii="Calibri" w:cs="Calibri" w:eastAsia="Calibri" w:hAnsi="Calibri"/>
          <w:color w:val="333A45"/>
          <w:sz w:val="21"/>
          <w:szCs w:val="21"/>
        </w:rPr>
        <w:t xml:space="preserve">13.3 [ORGANISATION] monitors supplier performance of these obligations; supplier processing records for provision and entrustment of personal information and important data are kept at least three years.</w:t>
      </w:r>
    </w:p>
    <w:p>
      <w:pPr>
        <w:keepNext/>
        <w:pBdr>
          <w:bottom w:val="single" w:color="9DB9E8" w:sz="4" w:space="3"/>
        </w:pBdr>
        <w:spacing w:after="100" w:before="260"/>
      </w:pPr>
      <w:r>
        <w:rPr>
          <w:rFonts w:ascii="Calibri" w:cs="Calibri" w:eastAsia="Calibri" w:hAnsi="Calibri"/>
          <w:b/>
          <w:bCs/>
          <w:color w:val="2E5AAC"/>
          <w:sz w:val="26"/>
          <w:szCs w:val="26"/>
        </w:rPr>
        <w:t xml:space="preserve">14. Labelling of AI-generated content</w:t>
      </w:r>
    </w:p>
    <w:p>
      <w:pPr>
        <w:spacing w:after="110"/>
      </w:pPr>
      <w:r>
        <w:rPr>
          <w:rFonts w:ascii="Calibri" w:cs="Calibri" w:eastAsia="Calibri" w:hAnsi="Calibri"/>
          <w:color w:val="333A45"/>
          <w:sz w:val="21"/>
          <w:szCs w:val="21"/>
        </w:rPr>
        <w:t xml:space="preserve">14.1 All AI-generated or synthesised text, images, audio, video, and virtual scenes that leave [ORGANISATION] - published, sent to customers, or posted to any platform - carry the explicit labels the rules require for their content type, and implicit metadata labels are preserved intact.</w:t>
      </w:r>
    </w:p>
    <w:p>
      <w:pPr>
        <w:spacing w:after="110"/>
      </w:pPr>
      <w:r>
        <w:rPr>
          <w:rFonts w:ascii="Calibri" w:cs="Calibri" w:eastAsia="Calibri" w:hAnsi="Calibri"/>
          <w:color w:val="333A45"/>
          <w:sz w:val="21"/>
          <w:szCs w:val="21"/>
        </w:rPr>
        <w:t xml:space="preserve">14.2 Personnel do not remove, crop out, edit away, or overwrite AI-content labels, and do not strip file metadata from generated content. Where [ORGANISATION] obtains unlabelled generated content under a service agreement that transfers the labelling responsibility, [ORGANISATION] discharges that responsibility before the content is used publicly.</w:t>
      </w:r>
    </w:p>
    <w:p>
      <w:pPr>
        <w:spacing w:after="110"/>
      </w:pPr>
      <w:r>
        <w:rPr>
          <w:rFonts w:ascii="Calibri" w:cs="Calibri" w:eastAsia="Calibri" w:hAnsi="Calibri"/>
          <w:color w:val="333A45"/>
          <w:sz w:val="21"/>
          <w:szCs w:val="21"/>
        </w:rPr>
        <w:t xml:space="preserve">14.3 When publishing through third-party platforms, personnel use the platform's declaration function to declare AI-generated content, as the rules require of users.</w:t>
      </w:r>
    </w:p>
    <w:p>
      <w:pPr>
        <w:spacing w:after="110"/>
      </w:pPr>
      <w:r>
        <w:rPr>
          <w:rFonts w:ascii="Calibri" w:cs="Calibri" w:eastAsia="Calibri" w:hAnsi="Calibri"/>
          <w:color w:val="333A45"/>
          <w:sz w:val="21"/>
          <w:szCs w:val="21"/>
        </w:rPr>
        <w:t xml:space="preserve">14.4 Where [ORGANISATION] itself provides generation capability or content distribution, the Enterprise Annex governs label implementation, metadata elements, platform verification, and log retention.</w:t>
      </w:r>
    </w:p>
    <w:p>
      <w:pPr>
        <w:keepNext/>
        <w:pBdr>
          <w:bottom w:val="single" w:color="9DB9E8" w:sz="4" w:space="3"/>
        </w:pBdr>
        <w:spacing w:after="100" w:before="260"/>
      </w:pPr>
      <w:r>
        <w:rPr>
          <w:rFonts w:ascii="Calibri" w:cs="Calibri" w:eastAsia="Calibri" w:hAnsi="Calibri"/>
          <w:b/>
          <w:bCs/>
          <w:color w:val="2E5AAC"/>
          <w:sz w:val="26"/>
          <w:szCs w:val="26"/>
        </w:rPr>
        <w:t xml:space="preserve">15. AI interaction disclosure</w:t>
      </w:r>
    </w:p>
    <w:p>
      <w:pPr>
        <w:spacing w:after="110"/>
      </w:pPr>
      <w:r>
        <w:rPr>
          <w:rFonts w:ascii="Calibri" w:cs="Calibri" w:eastAsia="Calibri" w:hAnsi="Calibri"/>
          <w:color w:val="333A45"/>
          <w:sz w:val="21"/>
          <w:szCs w:val="21"/>
        </w:rPr>
        <w:t xml:space="preserve">15.1 Where [ORGANISATION] deploys AI that interacts with people - chat, voice, avatars - the service makes clear the person is interacting with AI, not a human, in ways the user can plainly perceive.</w:t>
      </w:r>
    </w:p>
    <w:p>
      <w:pPr>
        <w:spacing w:after="110"/>
      </w:pPr>
      <w:r>
        <w:rPr>
          <w:rFonts w:ascii="Calibri" w:cs="Calibri" w:eastAsia="Calibri" w:hAnsi="Calibri"/>
          <w:color w:val="333A45"/>
          <w:sz w:val="21"/>
          <w:szCs w:val="21"/>
        </w:rPr>
        <w:t xml:space="preserve">15.2 Anthropomorphic services [ORGANISATION] provides additionally implement: dynamic reminders when over-reliance or addiction tendencies appear; a usage reminder at each continuous two hours of use; convenient exit that stops the service at once and is never obstructed by continued engagement; and the extreme-situation intervention duties in the Enterprise Annex.</w:t>
      </w:r>
    </w:p>
    <w:p>
      <w:pPr>
        <w:keepNext/>
        <w:pBdr>
          <w:bottom w:val="single" w:color="9DB9E8" w:sz="4" w:space="3"/>
        </w:pBdr>
        <w:spacing w:after="100" w:before="260"/>
      </w:pPr>
      <w:r>
        <w:rPr>
          <w:rFonts w:ascii="Calibri" w:cs="Calibri" w:eastAsia="Calibri" w:hAnsi="Calibri"/>
          <w:b/>
          <w:bCs/>
          <w:color w:val="2E5AAC"/>
          <w:sz w:val="26"/>
          <w:szCs w:val="26"/>
        </w:rPr>
        <w:t xml:space="preserve">16. Security</w:t>
      </w:r>
    </w:p>
    <w:p>
      <w:pPr>
        <w:spacing w:after="110"/>
      </w:pPr>
      <w:r>
        <w:rPr>
          <w:rFonts w:ascii="Calibri" w:cs="Calibri" w:eastAsia="Calibri" w:hAnsi="Calibri"/>
          <w:color w:val="333A45"/>
          <w:sz w:val="21"/>
          <w:szCs w:val="21"/>
        </w:rPr>
        <w:t xml:space="preserve">16.1 AI use rides on [ORGANISATION]'s security baseline under the multi-level protection scheme: access control, encryption and backup of important data, network logs retained at least six months, malware and intrusion defences, and vendor products meeting mandatory national standards.</w:t>
      </w:r>
    </w:p>
    <w:p>
      <w:pPr>
        <w:spacing w:after="110"/>
      </w:pPr>
      <w:r>
        <w:rPr>
          <w:rFonts w:ascii="Calibri" w:cs="Calibri" w:eastAsia="Calibri" w:hAnsi="Calibri"/>
          <w:color w:val="333A45"/>
          <w:sz w:val="21"/>
          <w:szCs w:val="21"/>
        </w:rPr>
        <w:t xml:space="preserve">16.2 AI-specific measures apply: tenant isolation verified for enterprise tools; prompts and outputs logged for Level 3 and 4 uses; retention set to the shortest necessary; training-data security managed for any model [ORGANISATION] trains or fine-tunes, with poisoning and tampering defences and synthetic-data safety evaluated before use.</w:t>
      </w:r>
    </w:p>
    <w:p>
      <w:pPr>
        <w:spacing w:after="110"/>
      </w:pPr>
      <w:r>
        <w:rPr>
          <w:rFonts w:ascii="Calibri" w:cs="Calibri" w:eastAsia="Calibri" w:hAnsi="Calibri"/>
          <w:color w:val="333A45"/>
          <w:sz w:val="21"/>
          <w:szCs w:val="21"/>
        </w:rPr>
        <w:t xml:space="preserve">16.3 Real-identity verification applies where [ORGANISATION] provides information-publishing or deep synthesis services to users.</w:t>
      </w:r>
    </w:p>
    <w:p>
      <w:pPr>
        <w:keepNext/>
        <w:pBdr>
          <w:bottom w:val="single" w:color="9DB9E8" w:sz="4" w:space="3"/>
        </w:pBdr>
        <w:spacing w:after="100" w:before="260"/>
      </w:pPr>
      <w:r>
        <w:rPr>
          <w:rFonts w:ascii="Calibri" w:cs="Calibri" w:eastAsia="Calibri" w:hAnsi="Calibri"/>
          <w:b/>
          <w:bCs/>
          <w:color w:val="2E5AAC"/>
          <w:sz w:val="26"/>
          <w:szCs w:val="26"/>
        </w:rPr>
        <w:t xml:space="preserve">17. Breach and incidents</w:t>
      </w:r>
    </w:p>
    <w:p>
      <w:pPr>
        <w:spacing w:after="110"/>
      </w:pPr>
      <w:r>
        <w:rPr>
          <w:rFonts w:ascii="Calibri" w:cs="Calibri" w:eastAsia="Calibri" w:hAnsi="Calibri"/>
          <w:color w:val="333A45"/>
          <w:sz w:val="21"/>
          <w:szCs w:val="21"/>
        </w:rPr>
        <w:t xml:space="preserve">17.1 On any actual or possible leak, tampering, or loss of personal information or data in an AI tool - including at a supplier - personnel report immediately through [ORGANISATION]'s incident channel.</w:t>
      </w:r>
    </w:p>
    <w:p>
      <w:pPr>
        <w:spacing w:after="110"/>
      </w:pPr>
      <w:r>
        <w:rPr>
          <w:rFonts w:ascii="Calibri" w:cs="Calibri" w:eastAsia="Calibri" w:hAnsi="Calibri"/>
          <w:color w:val="333A45"/>
          <w:sz w:val="21"/>
          <w:szCs w:val="21"/>
        </w:rPr>
        <w:t xml:space="preserve">17.2 [ORGANISATION] takes immediate remedial measures, activates the response plan, notifies the competent authorities as the regulations require, and notifies affected individuals - by the statutory contents - unless the measures taken can effectively avoid harm, in which case authority direction to notify is honoured. Product and service security defects with national-security or public-interest implications are reported within the 24-hour rule the regulations set. The privacy lead maintains the current statement of reporting duties and deadlines across the instruments.</w:t>
      </w:r>
    </w:p>
    <w:p>
      <w:pPr>
        <w:spacing w:after="110"/>
      </w:pPr>
      <w:r>
        <w:rPr>
          <w:rFonts w:ascii="Calibri" w:cs="Calibri" w:eastAsia="Calibri" w:hAnsi="Calibri"/>
          <w:color w:val="333A45"/>
          <w:sz w:val="21"/>
          <w:szCs w:val="21"/>
        </w:rPr>
        <w:t xml:space="preserve">17.3 Using a tool outside its recorded determinations - a tool used on decisions about people it was not assessed for, or an internal tool exposed to the public without the filings - is an incident under this policy whether or not data left [ORGANISATION].</w:t>
      </w:r>
    </w:p>
    <w:p>
      <w:pPr>
        <w:keepNext/>
        <w:pBdr>
          <w:bottom w:val="single" w:color="9DB9E8" w:sz="4" w:space="3"/>
        </w:pBdr>
        <w:spacing w:after="100" w:before="260"/>
      </w:pPr>
      <w:r>
        <w:rPr>
          <w:rFonts w:ascii="Calibri" w:cs="Calibri" w:eastAsia="Calibri" w:hAnsi="Calibri"/>
          <w:b/>
          <w:bCs/>
          <w:color w:val="2E5AAC"/>
          <w:sz w:val="26"/>
          <w:szCs w:val="26"/>
        </w:rPr>
        <w:t xml:space="preserve">18. Verification of output</w:t>
      </w:r>
    </w:p>
    <w:p>
      <w:pPr>
        <w:spacing w:after="110"/>
      </w:pPr>
      <w:r>
        <w:rPr>
          <w:rFonts w:ascii="Calibri" w:cs="Calibri" w:eastAsia="Calibri" w:hAnsi="Calibri"/>
          <w:color w:val="333A45"/>
          <w:sz w:val="21"/>
          <w:szCs w:val="21"/>
        </w:rPr>
        <w:t xml:space="preserve">18.1 AI output is a draft, not a fact. Personnel verify factual claims, citations, calculations, and legal or regulatory statements against authoritative sources before relying on them or sending them onward.</w:t>
      </w:r>
    </w:p>
    <w:p>
      <w:pPr>
        <w:spacing w:after="110"/>
      </w:pPr>
      <w:r>
        <w:rPr>
          <w:rFonts w:ascii="Calibri" w:cs="Calibri" w:eastAsia="Calibri" w:hAnsi="Calibri"/>
          <w:color w:val="333A45"/>
          <w:sz w:val="21"/>
          <w:szCs w:val="21"/>
        </w:rPr>
        <w:t xml:space="preserve">18.2 Output that will be published, sent to a customer or authority, or used in a decision about a person is reviewed by a person accountable for it. Generated code is reviewed and tested like any other code.</w:t>
      </w:r>
    </w:p>
    <w:p>
      <w:pPr>
        <w:spacing w:after="110"/>
      </w:pPr>
      <w:r>
        <w:rPr>
          <w:rFonts w:ascii="Calibri" w:cs="Calibri" w:eastAsia="Calibri" w:hAnsi="Calibri"/>
          <w:color w:val="333A45"/>
          <w:sz w:val="21"/>
          <w:szCs w:val="21"/>
        </w:rPr>
        <w:t xml:space="preserve">18.3 Personnel remain responsible for what they produce with AI assistance. "The model said so" is not a defence to inaccuracy, infringement, or unlawful content.</w:t>
      </w:r>
    </w:p>
    <w:p>
      <w:pPr>
        <w:keepNext/>
        <w:pBdr>
          <w:bottom w:val="single" w:color="9DB9E8" w:sz="4" w:space="3"/>
        </w:pBdr>
        <w:spacing w:after="100" w:before="260"/>
      </w:pPr>
      <w:r>
        <w:rPr>
          <w:rFonts w:ascii="Calibri" w:cs="Calibri" w:eastAsia="Calibri" w:hAnsi="Calibri"/>
          <w:b/>
          <w:bCs/>
          <w:color w:val="2E5AAC"/>
          <w:sz w:val="26"/>
          <w:szCs w:val="26"/>
        </w:rPr>
        <w:t xml:space="preserve">19. Intellectual property and records</w:t>
      </w:r>
    </w:p>
    <w:p>
      <w:pPr>
        <w:spacing w:after="110"/>
      </w:pPr>
      <w:r>
        <w:rPr>
          <w:rFonts w:ascii="Calibri" w:cs="Calibri" w:eastAsia="Calibri" w:hAnsi="Calibri"/>
          <w:color w:val="333A45"/>
          <w:sz w:val="21"/>
          <w:szCs w:val="21"/>
        </w:rPr>
        <w:t xml:space="preserve">19.1 Personnel respect intellectual property in prompts and outputs: no uploading of third-party works beyond licence terms, no generation intended to imitate a specific author's or artist's protected expression for commercial use, and no use of outputs that infringe others' rights.</w:t>
      </w:r>
    </w:p>
    <w:p>
      <w:pPr>
        <w:spacing w:after="110"/>
      </w:pPr>
      <w:r>
        <w:rPr>
          <w:rFonts w:ascii="Calibri" w:cs="Calibri" w:eastAsia="Calibri" w:hAnsi="Calibri"/>
          <w:color w:val="333A45"/>
          <w:sz w:val="21"/>
          <w:szCs w:val="21"/>
        </w:rPr>
        <w:t xml:space="preserve">19.2 Training data for any model [ORGANISATION] develops has a lawful source, respects others' IP, and where it includes personal information, rests on consent or another lawful basis. Data labelling in development follows clear, specific, operable labelling rules with quality sampling and trained personnel.</w:t>
      </w:r>
    </w:p>
    <w:p>
      <w:pPr>
        <w:spacing w:after="110"/>
      </w:pPr>
      <w:r>
        <w:rPr>
          <w:rFonts w:ascii="Calibri" w:cs="Calibri" w:eastAsia="Calibri" w:hAnsi="Calibri"/>
          <w:color w:val="333A45"/>
          <w:sz w:val="21"/>
          <w:szCs w:val="21"/>
        </w:rPr>
        <w:t xml:space="preserve">19.3 Records that document compliance - determinations, assessments, consents, filings, logs, labelling records - are retained per the statutory minimums ( three years for assessment reports and processing records; six months for network logs and unlabelled-content provision logs) and [ORGANISATION]'s retention schedule.</w:t>
      </w:r>
    </w:p>
    <w:p>
      <w:pPr>
        <w:keepNext/>
        <w:pBdr>
          <w:bottom w:val="single" w:color="9DB9E8" w:sz="4" w:space="3"/>
        </w:pBdr>
        <w:spacing w:after="100" w:before="260"/>
      </w:pPr>
      <w:r>
        <w:rPr>
          <w:rFonts w:ascii="Calibri" w:cs="Calibri" w:eastAsia="Calibri" w:hAnsi="Calibri"/>
          <w:b/>
          <w:bCs/>
          <w:color w:val="2E5AAC"/>
          <w:sz w:val="26"/>
          <w:szCs w:val="26"/>
        </w:rPr>
        <w:t xml:space="preserve">20. Employment uses</w:t>
      </w:r>
    </w:p>
    <w:p>
      <w:pPr>
        <w:spacing w:after="110"/>
      </w:pPr>
      <w:r>
        <w:rPr>
          <w:rFonts w:ascii="Calibri" w:cs="Calibri" w:eastAsia="Calibri" w:hAnsi="Calibri"/>
          <w:color w:val="333A45"/>
          <w:sz w:val="21"/>
          <w:szCs w:val="21"/>
        </w:rPr>
        <w:t xml:space="preserve">20.1 AI used in recruitment, evaluation, scheduling, or discipline is a Level 4 use: impact assessment before use, human determination, transparency to the people affected, and no solely automated adverse decision.</w:t>
      </w:r>
    </w:p>
    <w:p>
      <w:pPr>
        <w:spacing w:after="110"/>
      </w:pPr>
      <w:r>
        <w:rPr>
          <w:rFonts w:ascii="Calibri" w:cs="Calibri" w:eastAsia="Calibri" w:hAnsi="Calibri"/>
          <w:color w:val="333A45"/>
          <w:sz w:val="21"/>
          <w:szCs w:val="21"/>
        </w:rPr>
        <w:t xml:space="preserve">20.2 Where algorithmic scheduling governs work - orders, hours, pay - the algorithm respects workers' rights to remuneration and rest, and its rules for order allocation, pay composition, working time, and rewards and penalties are established and improved as the rules require.</w:t>
      </w:r>
    </w:p>
    <w:p>
      <w:pPr>
        <w:spacing w:after="110"/>
      </w:pPr>
      <w:r>
        <w:rPr>
          <w:rFonts w:ascii="Calibri" w:cs="Calibri" w:eastAsia="Calibri" w:hAnsi="Calibri"/>
          <w:color w:val="333A45"/>
          <w:sz w:val="21"/>
          <w:szCs w:val="21"/>
        </w:rPr>
        <w:t xml:space="preserve">20.3 Monitoring of employees through AI is limited to what HR-management necessity lawfully supports, is proportionate, and is disclosed in [ORGANISATION]'s labour rules.</w:t>
      </w:r>
    </w:p>
    <w:p>
      <w:pPr>
        <w:keepNext/>
        <w:pBdr>
          <w:bottom w:val="single" w:color="9DB9E8" w:sz="4" w:space="3"/>
        </w:pBdr>
        <w:spacing w:after="100" w:before="260"/>
      </w:pPr>
      <w:r>
        <w:rPr>
          <w:rFonts w:ascii="Calibri" w:cs="Calibri" w:eastAsia="Calibri" w:hAnsi="Calibri"/>
          <w:b/>
          <w:bCs/>
          <w:color w:val="2E5AAC"/>
          <w:sz w:val="26"/>
          <w:szCs w:val="26"/>
        </w:rPr>
        <w:t xml:space="preserve">21. Responsibilities</w:t>
      </w:r>
    </w:p>
    <w:p>
      <w:pPr>
        <w:spacing w:after="110"/>
      </w:pPr>
      <w:r>
        <w:rPr>
          <w:rFonts w:ascii="Calibri" w:cs="Calibri" w:eastAsia="Calibri" w:hAnsi="Calibri"/>
          <w:color w:val="333A45"/>
          <w:sz w:val="21"/>
          <w:szCs w:val="21"/>
        </w:rPr>
        <w:t xml:space="preserve">21.1 </w:t>
      </w:r>
      <w:r>
        <w:rPr>
          <w:rFonts w:ascii="Calibri" w:cs="Calibri" w:eastAsia="Calibri" w:hAnsi="Calibri"/>
          <w:b/>
          <w:bCs/>
          <w:color w:val="333A45"/>
          <w:sz w:val="21"/>
          <w:szCs w:val="21"/>
        </w:rPr>
        <w:t xml:space="preserve">All personnel:</w:t>
      </w:r>
      <w:r>
        <w:rPr>
          <w:rFonts w:ascii="Calibri" w:cs="Calibri" w:eastAsia="Calibri" w:hAnsi="Calibri"/>
          <w:color w:val="333A45"/>
          <w:sz w:val="21"/>
          <w:szCs w:val="21"/>
        </w:rPr>
        <w:t xml:space="preserve"> use approved tools within their approved levels, follow the prohibitions, verify output, protect labels, report incidents.</w:t>
      </w:r>
    </w:p>
    <w:p>
      <w:pPr>
        <w:spacing w:after="110"/>
      </w:pPr>
      <w:r>
        <w:rPr>
          <w:rFonts w:ascii="Calibri" w:cs="Calibri" w:eastAsia="Calibri" w:hAnsi="Calibri"/>
          <w:color w:val="333A45"/>
          <w:sz w:val="21"/>
          <w:szCs w:val="21"/>
        </w:rPr>
        <w:t xml:space="preserve">21.2 </w:t>
      </w:r>
      <w:r>
        <w:rPr>
          <w:rFonts w:ascii="Calibri" w:cs="Calibri" w:eastAsia="Calibri" w:hAnsi="Calibri"/>
          <w:b/>
          <w:bCs/>
          <w:color w:val="333A45"/>
          <w:sz w:val="21"/>
          <w:szCs w:val="21"/>
        </w:rPr>
        <w:t xml:space="preserve">The policy owner:</w:t>
      </w:r>
      <w:r>
        <w:rPr>
          <w:rFonts w:ascii="Calibri" w:cs="Calibri" w:eastAsia="Calibri" w:hAnsi="Calibri"/>
          <w:color w:val="333A45"/>
          <w:sz w:val="21"/>
          <w:szCs w:val="21"/>
        </w:rPr>
        <w:t xml:space="preserve"> maintains this policy, the tool approvals, and the training programme.</w:t>
      </w:r>
    </w:p>
    <w:p>
      <w:pPr>
        <w:spacing w:after="110"/>
      </w:pPr>
      <w:r>
        <w:rPr>
          <w:rFonts w:ascii="Calibri" w:cs="Calibri" w:eastAsia="Calibri" w:hAnsi="Calibri"/>
          <w:color w:val="333A45"/>
          <w:sz w:val="21"/>
          <w:szCs w:val="21"/>
        </w:rPr>
        <w:t xml:space="preserve">21.3 </w:t>
      </w:r>
      <w:r>
        <w:rPr>
          <w:rFonts w:ascii="Calibri" w:cs="Calibri" w:eastAsia="Calibri" w:hAnsi="Calibri"/>
          <w:b/>
          <w:bCs/>
          <w:color w:val="333A45"/>
          <w:sz w:val="21"/>
          <w:szCs w:val="21"/>
        </w:rPr>
        <w:t xml:space="preserve">The privacy lead / Personal Information Protection Officer:</w:t>
      </w:r>
      <w:r>
        <w:rPr>
          <w:rFonts w:ascii="Calibri" w:cs="Calibri" w:eastAsia="Calibri" w:hAnsi="Calibri"/>
          <w:color w:val="333A45"/>
          <w:sz w:val="21"/>
          <w:szCs w:val="21"/>
        </w:rPr>
        <w:t xml:space="preserve"> owns the lawful-basis positions, impact assessments, cross-border routes, individuals' requests, and breach notification. Where [ORGANISATION] meets the statutory threshold, the personal information protection officer is designated, their contact details published, and their details filed with the authorities; the data security officer and management organisation are established where [ORGANISATION] handles important data.</w:t>
      </w:r>
    </w:p>
    <w:p>
      <w:pPr>
        <w:spacing w:after="110"/>
      </w:pPr>
      <w:r>
        <w:rPr>
          <w:rFonts w:ascii="Calibri" w:cs="Calibri" w:eastAsia="Calibri" w:hAnsi="Calibri"/>
          <w:color w:val="333A45"/>
          <w:sz w:val="21"/>
          <w:szCs w:val="21"/>
        </w:rPr>
        <w:t xml:space="preserve">21.4 </w:t>
      </w:r>
      <w:r>
        <w:rPr>
          <w:rFonts w:ascii="Calibri" w:cs="Calibri" w:eastAsia="Calibri" w:hAnsi="Calibri"/>
          <w:b/>
          <w:bCs/>
          <w:color w:val="333A45"/>
          <w:sz w:val="21"/>
          <w:szCs w:val="21"/>
        </w:rPr>
        <w:t xml:space="preserve">Managers:</w:t>
      </w:r>
      <w:r>
        <w:rPr>
          <w:rFonts w:ascii="Calibri" w:cs="Calibri" w:eastAsia="Calibri" w:hAnsi="Calibri"/>
          <w:color w:val="333A45"/>
          <w:sz w:val="21"/>
          <w:szCs w:val="21"/>
        </w:rPr>
        <w:t xml:space="preserve"> ensure their teams use AI within this policy and route new use cases through approval.</w:t>
      </w:r>
    </w:p>
    <w:p>
      <w:pPr>
        <w:spacing w:after="110"/>
      </w:pPr>
      <w:r>
        <w:rPr>
          <w:rFonts w:ascii="Calibri" w:cs="Calibri" w:eastAsia="Calibri" w:hAnsi="Calibri"/>
          <w:color w:val="333A45"/>
          <w:sz w:val="21"/>
          <w:szCs w:val="21"/>
        </w:rPr>
        <w:t xml:space="preserve">21.5 </w:t>
      </w:r>
      <w:r>
        <w:rPr>
          <w:rFonts w:ascii="Calibri" w:cs="Calibri" w:eastAsia="Calibri" w:hAnsi="Calibri"/>
          <w:b/>
          <w:bCs/>
          <w:color w:val="333A45"/>
          <w:sz w:val="21"/>
          <w:szCs w:val="21"/>
        </w:rPr>
        <w:t xml:space="preserve">The AI Governance Committee:</w:t>
      </w:r>
      <w:r>
        <w:rPr>
          <w:rFonts w:ascii="Calibri" w:cs="Calibri" w:eastAsia="Calibri" w:hAnsi="Calibri"/>
          <w:color w:val="333A45"/>
          <w:sz w:val="21"/>
          <w:szCs w:val="21"/>
        </w:rPr>
        <w:t xml:space="preserve"> approves Level 3 and 4 uses and owns the Enterprise Annex.</w:t>
      </w:r>
    </w:p>
    <w:p>
      <w:pPr>
        <w:keepNext/>
        <w:pBdr>
          <w:bottom w:val="single" w:color="9DB9E8" w:sz="4" w:space="3"/>
        </w:pBdr>
        <w:spacing w:after="100" w:before="260"/>
      </w:pPr>
      <w:r>
        <w:rPr>
          <w:rFonts w:ascii="Calibri" w:cs="Calibri" w:eastAsia="Calibri" w:hAnsi="Calibri"/>
          <w:b/>
          <w:bCs/>
          <w:color w:val="2E5AAC"/>
          <w:sz w:val="26"/>
          <w:szCs w:val="26"/>
        </w:rPr>
        <w:t xml:space="preserve">22. What this policy does not state, and why</w:t>
      </w:r>
    </w:p>
    <w:p>
      <w:pPr>
        <w:spacing w:after="110"/>
      </w:pPr>
      <w:r>
        <w:rPr>
          <w:rFonts w:ascii="Calibri" w:cs="Calibri" w:eastAsia="Calibri" w:hAnsi="Calibri"/>
          <w:color w:val="333A45"/>
          <w:sz w:val="21"/>
          <w:szCs w:val="21"/>
        </w:rPr>
        <w:t xml:space="preserve">22.1 This set is built on the national instruments listed in the research note. It does not state: sector rules (finance, health, news, publishing, audiovisual); local regulations of provinces, municipalities, or free trade zones - including FTZ negative lists, which must be checked for the zones [ORGANISATION] operates in; the mandatory national labelling standard's technical detail; or the criminal law dimension. Where those apply, they apply in addition, and the sources held and not held are stated in the source register.</w:t>
      </w:r>
    </w:p>
    <w:p>
      <w:pPr>
        <w:spacing w:after="110"/>
      </w:pPr>
      <w:r>
        <w:rPr>
          <w:rFonts w:ascii="Calibri" w:cs="Calibri" w:eastAsia="Calibri" w:hAnsi="Calibri"/>
          <w:color w:val="333A45"/>
          <w:sz w:val="21"/>
          <w:szCs w:val="21"/>
        </w:rPr>
        <w:t xml:space="preserve">22.2 Where a statutory volume threshold, filing window, or deadline is stated in this set, it was read in the held Chinese text; where a duty is stated without its number, the number lives in the research note.</w:t>
      </w:r>
    </w:p>
    <w:p>
      <w:pPr>
        <w:keepNext/>
        <w:pBdr>
          <w:bottom w:val="single" w:color="9DB9E8" w:sz="4" w:space="3"/>
        </w:pBdr>
        <w:spacing w:after="100" w:before="260"/>
      </w:pPr>
      <w:r>
        <w:rPr>
          <w:rFonts w:ascii="Calibri" w:cs="Calibri" w:eastAsia="Calibri" w:hAnsi="Calibri"/>
          <w:b/>
          <w:bCs/>
          <w:color w:val="2E5AAC"/>
          <w:sz w:val="26"/>
          <w:szCs w:val="26"/>
        </w:rPr>
        <w:t xml:space="preserve">23. Knowledge, skills and acknowledgement</w:t>
      </w:r>
    </w:p>
    <w:p>
      <w:pPr>
        <w:spacing w:after="110"/>
      </w:pPr>
      <w:r>
        <w:rPr>
          <w:rFonts w:ascii="Calibri" w:cs="Calibri" w:eastAsia="Calibri" w:hAnsi="Calibri"/>
          <w:color w:val="333A45"/>
          <w:sz w:val="21"/>
          <w:szCs w:val="21"/>
        </w:rPr>
        <w:t xml:space="preserve">23.1 Personnel complete AI acceptable-use training before first use and annually: the levels, the prohibitions, the labelling duties, and the public-facing line. Roles touching Level 3 and 4 uses receive role-specific training, including the impact-assessment and cross-border modules.</w:t>
      </w:r>
    </w:p>
    <w:p>
      <w:pPr>
        <w:spacing w:after="110"/>
      </w:pPr>
      <w:r>
        <w:rPr>
          <w:rFonts w:ascii="Calibri" w:cs="Calibri" w:eastAsia="Calibri" w:hAnsi="Calibri"/>
          <w:color w:val="333A45"/>
          <w:sz w:val="21"/>
          <w:szCs w:val="21"/>
        </w:rPr>
        <w:t xml:space="preserve">23.2 Personnel acknowledge this policy on joining and at each material update.</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policy, published 3 September 2026; verified against the Chinese texts of the ten instruments in the source register.</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the PRC instruments set out in the accompanying research note and must be reviewed by the privacy lead or qualified PRC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undefined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 People's Republic of China</dc:title>
  <dc:creator>Narendra Karki</dc:creator>
  <cp:lastModifiedBy>Narendra Karki</cp:lastModifiedBy>
  <cp:revision>1</cp:revision>
  <dcterms:created xsi:type="dcterms:W3CDTF">2026-09-02T10:53:29.574Z</dcterms:created>
  <dcterms:modified xsi:type="dcterms:W3CDTF">2026-09-02T10:53:29.600Z</dcterms:modified>
</cp:coreProperties>
</file>

<file path=docProps/custom.xml><?xml version="1.0" encoding="utf-8"?>
<Properties xmlns="http://schemas.openxmlformats.org/officeDocument/2006/custom-properties" xmlns:vt="http://schemas.openxmlformats.org/officeDocument/2006/docPropsVTypes"/>
</file>