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2E5AAC" w:sz="12" w:space="6"/>
        </w:pBdr>
        <w:spacing w:after="60"/>
      </w:pPr>
      <w:r>
        <w:rPr>
          <w:rFonts w:ascii="Calibri" w:cs="Calibri" w:eastAsia="Calibri" w:hAnsi="Calibri"/>
          <w:b/>
          <w:bCs/>
          <w:color w:val="1F3864"/>
          <w:sz w:val="42"/>
          <w:szCs w:val="42"/>
        </w:rPr>
        <w:t xml:space="preserve">AI Governance - Enterprise Annex - People's Republic of China</w:t>
      </w:r>
    </w:p>
    <w:p>
      <w:pPr>
        <w:keepNext/>
        <w:spacing w:after="80" w:before="200"/>
      </w:pPr>
      <w:r>
        <w:rPr>
          <w:rFonts w:ascii="Calibri" w:cs="Calibri" w:eastAsia="Calibri" w:hAnsi="Calibri"/>
          <w:b/>
          <w:bCs/>
          <w:color w:val="1F3864"/>
          <w:sz w:val="22"/>
          <w:szCs w:val="22"/>
        </w:rPr>
        <w:t xml:space="preserve">The pillar laws, the Network Data Security Regulations, and the CAC AI instruments</w:t>
      </w:r>
    </w:p>
    <w:p>
      <w:pPr>
        <w:spacing w:after="110"/>
      </w:pPr>
      <w:r>
        <w:rPr>
          <w:rFonts w:ascii="Calibri" w:cs="Calibri" w:eastAsia="Calibri" w:hAnsi="Calibri"/>
          <w:b/>
          <w:bCs/>
          <w:color w:val="333A45"/>
          <w:sz w:val="21"/>
          <w:szCs w:val="21"/>
        </w:rPr>
        <w:t xml:space="preserve">Organisation:</w:t>
      </w:r>
      <w:r>
        <w:rPr>
          <w:rFonts w:ascii="Calibri" w:cs="Calibri" w:eastAsia="Calibri" w:hAnsi="Calibri"/>
          <w:color w:val="333A45"/>
          <w:sz w:val="21"/>
          <w:szCs w:val="21"/>
        </w:rPr>
        <w:t xml:space="preserve"> [ORGANISATION] </w:t>
      </w:r>
      <w:r>
        <w:rPr>
          <w:rFonts w:ascii="Calibri" w:cs="Calibri" w:eastAsia="Calibri" w:hAnsi="Calibri"/>
          <w:b/>
          <w:bCs/>
          <w:color w:val="333A45"/>
          <w:sz w:val="21"/>
          <w:szCs w:val="21"/>
        </w:rPr>
        <w:t xml:space="preserve">Effective date:</w:t>
      </w:r>
      <w:r>
        <w:rPr>
          <w:rFonts w:ascii="Calibri" w:cs="Calibri" w:eastAsia="Calibri" w:hAnsi="Calibri"/>
          <w:color w:val="333A45"/>
          <w:sz w:val="21"/>
          <w:szCs w:val="21"/>
        </w:rPr>
        <w:t xml:space="preserve"> [DATE]  </w:t>
      </w:r>
      <w:r>
        <w:rPr>
          <w:rFonts w:ascii="Calibri" w:cs="Calibri" w:eastAsia="Calibri" w:hAnsi="Calibri"/>
          <w:b/>
          <w:bCs/>
          <w:color w:val="333A45"/>
          <w:sz w:val="21"/>
          <w:szCs w:val="21"/>
        </w:rPr>
        <w:t xml:space="preserve">Version:</w:t>
      </w:r>
      <w:r>
        <w:rPr>
          <w:rFonts w:ascii="Calibri" w:cs="Calibri" w:eastAsia="Calibri" w:hAnsi="Calibri"/>
          <w:color w:val="333A45"/>
          <w:sz w:val="21"/>
          <w:szCs w:val="21"/>
        </w:rPr>
        <w:t xml:space="preserve"> 1.0 </w:t>
      </w:r>
      <w:r>
        <w:rPr>
          <w:rFonts w:ascii="Calibri" w:cs="Calibri" w:eastAsia="Calibri" w:hAnsi="Calibri"/>
          <w:b/>
          <w:bCs/>
          <w:color w:val="333A45"/>
          <w:sz w:val="21"/>
          <w:szCs w:val="21"/>
        </w:rPr>
        <w:t xml:space="preserve">Annex owner:</w:t>
      </w:r>
      <w:r>
        <w:rPr>
          <w:rFonts w:ascii="Calibri" w:cs="Calibri" w:eastAsia="Calibri" w:hAnsi="Calibri"/>
          <w:color w:val="333A45"/>
          <w:sz w:val="21"/>
          <w:szCs w:val="21"/>
        </w:rPr>
        <w:t xml:space="preserve"> [CISO / Head of AI Governance]  </w:t>
      </w:r>
      <w:r>
        <w:rPr>
          <w:rFonts w:ascii="Calibri" w:cs="Calibri" w:eastAsia="Calibri" w:hAnsi="Calibri"/>
          <w:b/>
          <w:bCs/>
          <w:color w:val="333A45"/>
          <w:sz w:val="21"/>
          <w:szCs w:val="21"/>
        </w:rPr>
        <w:t xml:space="preserve">Privacy lead:</w:t>
      </w:r>
      <w:r>
        <w:rPr>
          <w:rFonts w:ascii="Calibri" w:cs="Calibri" w:eastAsia="Calibri" w:hAnsi="Calibri"/>
          <w:color w:val="333A45"/>
          <w:sz w:val="21"/>
          <w:szCs w:val="21"/>
        </w:rPr>
        <w:t xml:space="preserve"> [Personal Information Protection Officer] </w:t>
      </w:r>
      <w:r>
        <w:rPr>
          <w:rFonts w:ascii="Calibri" w:cs="Calibri" w:eastAsia="Calibri" w:hAnsi="Calibri"/>
          <w:b/>
          <w:bCs/>
          <w:color w:val="333A45"/>
          <w:sz w:val="21"/>
          <w:szCs w:val="21"/>
        </w:rPr>
        <w:t xml:space="preserve">Classification:</w:t>
      </w:r>
      <w:r>
        <w:rPr>
          <w:rFonts w:ascii="Calibri" w:cs="Calibri" w:eastAsia="Calibri" w:hAnsi="Calibri"/>
          <w:color w:val="333A45"/>
          <w:sz w:val="21"/>
          <w:szCs w:val="21"/>
        </w:rPr>
        <w:t xml:space="preserve"> Internal </w:t>
      </w:r>
      <w:r>
        <w:rPr>
          <w:rFonts w:ascii="Calibri" w:cs="Calibri" w:eastAsia="Calibri" w:hAnsi="Calibri"/>
          <w:b/>
          <w:bCs/>
          <w:color w:val="333A45"/>
          <w:sz w:val="21"/>
          <w:szCs w:val="21"/>
        </w:rPr>
        <w:t xml:space="preserve">Review:</w:t>
      </w:r>
      <w:r>
        <w:rPr>
          <w:rFonts w:ascii="Calibri" w:cs="Calibri" w:eastAsia="Calibri" w:hAnsi="Calibri"/>
          <w:color w:val="333A45"/>
          <w:sz w:val="21"/>
          <w:szCs w:val="21"/>
        </w:rPr>
        <w:t xml:space="preserve"> at least every six months, and on material change in tools or regulation</w:t>
      </w:r>
    </w:p>
    <w:p>
      <w:pPr>
        <w:spacing w:after="110"/>
      </w:pPr>
      <w:r>
        <w:rPr>
          <w:rFonts w:ascii="Calibri" w:cs="Calibri" w:eastAsia="Calibri" w:hAnsi="Calibri"/>
          <w:color w:val="333A45"/>
          <w:sz w:val="21"/>
          <w:szCs w:val="21"/>
        </w:rPr>
        <w:t xml:space="preserve">This annex extends the [ORGANISATION] Artificial Intelligence Acceptable Use Policy (People's Republic of China) for large organisations. The policy governs how individuals use AI; this annex governs how the organisation manages AI as a portfolio - oversight, the two determinations, filings and assessments, labelling operations, suppliers, monitoring, and assurance. Where this annex and the policy overlap, the stricter requirement applies.</w:t>
      </w:r>
    </w:p>
    <w:p>
      <w:pPr>
        <w:keepNext/>
        <w:pBdr>
          <w:bottom w:val="single" w:color="9DB9E8" w:sz="4" w:space="3"/>
        </w:pBdr>
        <w:spacing w:after="100" w:before="260"/>
      </w:pPr>
      <w:r>
        <w:rPr>
          <w:rFonts w:ascii="Calibri" w:cs="Calibri" w:eastAsia="Calibri" w:hAnsi="Calibri"/>
          <w:b/>
          <w:bCs/>
          <w:color w:val="2E5AAC"/>
          <w:sz w:val="26"/>
          <w:szCs w:val="26"/>
        </w:rPr>
        <w:t xml:space="preserve">A1. Governance structure and accountability</w:t>
      </w:r>
    </w:p>
    <w:p>
      <w:pPr>
        <w:spacing w:after="110"/>
      </w:pPr>
      <w:r>
        <w:rPr>
          <w:rFonts w:ascii="Calibri" w:cs="Calibri" w:eastAsia="Calibri" w:hAnsi="Calibri"/>
          <w:color w:val="333A45"/>
          <w:sz w:val="21"/>
          <w:szCs w:val="21"/>
        </w:rPr>
        <w:t xml:space="preserve">A1.1 [ORGANISATION] maintains an AI Governance Committee with a defined remit: approving this annex and the Acceptable Use Policy, approving Level 3 and Level 4 uses, approving exceptions, reviewing incidents and metrics, owning the filing-and-assessment register at A4 and the labelling operation at A6, and monitoring regulatory change - national instruments, sector rules, and the local and free-trade-zone rules of the regions [ORGANISATION] operates in. Membership includes [security, privacy, legal, risk, HR, and business representation]. It meets at least quarterly.</w:t>
      </w:r>
    </w:p>
    <w:p>
      <w:pPr>
        <w:spacing w:after="110"/>
      </w:pPr>
      <w:r>
        <w:rPr>
          <w:rFonts w:ascii="Calibri" w:cs="Calibri" w:eastAsia="Calibri" w:hAnsi="Calibri"/>
          <w:color w:val="333A45"/>
          <w:sz w:val="21"/>
          <w:szCs w:val="21"/>
        </w:rPr>
        <w:t xml:space="preserve">A1.2 A named senior executive is accountable for AI governance and reports to the board at least [twice yearly]. The statutory officers exist and are real: where [ORGANISATION] meets the processing-volume threshold, the personal information protection officer is designated, published, and filed with the authorities; where [ORGANISATION] handles important data, the data security officer is a member of management with the right to report directly to the authorities, and the data security management organisation is established. Where required, security background checks are performed on the data security officer and key positions.</w:t>
      </w:r>
    </w:p>
    <w:p>
      <w:pPr>
        <w:spacing w:after="110"/>
      </w:pPr>
      <w:r>
        <w:rPr>
          <w:rFonts w:ascii="Calibri" w:cs="Calibri" w:eastAsia="Calibri" w:hAnsi="Calibri"/>
          <w:color w:val="333A45"/>
          <w:sz w:val="21"/>
          <w:szCs w:val="21"/>
        </w:rPr>
        <w:t xml:space="preserve">A1.3 Responsibility follows three lines: business functions own the risks of the AI they use; privacy, risk and compliance set standards and challenge; internal audit provides independent assurance (A10).</w:t>
      </w:r>
    </w:p>
    <w:p>
      <w:pPr>
        <w:keepNext/>
        <w:pBdr>
          <w:bottom w:val="single" w:color="9DB9E8" w:sz="4" w:space="3"/>
        </w:pBdr>
        <w:spacing w:after="100" w:before="260"/>
      </w:pPr>
      <w:r>
        <w:rPr>
          <w:rFonts w:ascii="Calibri" w:cs="Calibri" w:eastAsia="Calibri" w:hAnsi="Calibri"/>
          <w:b/>
          <w:bCs/>
          <w:color w:val="2E5AAC"/>
          <w:sz w:val="26"/>
          <w:szCs w:val="26"/>
        </w:rPr>
        <w:t xml:space="preserve">A2. The two determinations in operation</w:t>
      </w:r>
    </w:p>
    <w:p>
      <w:pPr>
        <w:spacing w:after="110"/>
      </w:pPr>
      <w:r>
        <w:rPr>
          <w:rFonts w:ascii="Calibri" w:cs="Calibri" w:eastAsia="Calibri" w:hAnsi="Calibri"/>
          <w:color w:val="333A45"/>
          <w:sz w:val="21"/>
          <w:szCs w:val="21"/>
        </w:rPr>
        <w:t xml:space="preserve">A2.1 Every AI tool carries both determinations (policy Section 4), recorded separately, each with a date, a named decision-maker, and the basis:</w:t>
      </w:r>
    </w:p>
    <w:p>
      <w:pPr>
        <w:pStyle w:val="ListParagraph"/>
        <w:numPr>
          <w:ilvl w:val="0"/>
          <w:numId w:val="2"/>
        </w:numPr>
        <w:spacing w:after="70"/>
      </w:pPr>
      <w:r>
        <w:rPr>
          <w:rFonts w:ascii="Calibri" w:cs="Calibri" w:eastAsia="Calibri" w:hAnsi="Calibri"/>
          <w:b/>
          <w:bCs/>
          <w:color w:val="333A45"/>
          <w:sz w:val="21"/>
          <w:szCs w:val="21"/>
        </w:rPr>
        <w:t xml:space="preserve">Service-type routing:</w:t>
      </w:r>
      <w:r>
        <w:rPr>
          <w:rFonts w:ascii="Calibri" w:cs="Calibri" w:eastAsia="Calibri" w:hAnsi="Calibri"/>
          <w:color w:val="333A45"/>
          <w:sz w:val="21"/>
          <w:szCs w:val="21"/>
        </w:rPr>
        <w:t xml:space="preserve"> which regimes the tool engages - recommendation, deep synthesis, generative AI, anthropomorphic interaction - assessed against what the tool actually does.</w:t>
      </w:r>
    </w:p>
    <w:p>
      <w:pPr>
        <w:pStyle w:val="ListParagraph"/>
        <w:numPr>
          <w:ilvl w:val="0"/>
          <w:numId w:val="2"/>
        </w:numPr>
        <w:spacing w:after="70"/>
      </w:pPr>
      <w:r>
        <w:rPr>
          <w:rFonts w:ascii="Calibri" w:cs="Calibri" w:eastAsia="Calibri" w:hAnsi="Calibri"/>
          <w:b/>
          <w:bCs/>
          <w:color w:val="333A45"/>
          <w:sz w:val="21"/>
          <w:szCs w:val="21"/>
        </w:rPr>
        <w:t xml:space="preserve">Public-facing or internal:</w:t>
      </w:r>
      <w:r>
        <w:rPr>
          <w:rFonts w:ascii="Calibri" w:cs="Calibri" w:eastAsia="Calibri" w:hAnsi="Calibri"/>
          <w:color w:val="333A45"/>
          <w:sz w:val="21"/>
          <w:szCs w:val="21"/>
        </w:rPr>
        <w:t xml:space="preserve"> whether generative or interactive capability is offered to the public in China. The committee treats "internal" as a conclusion requiring the same evidence as "public-facing".</w:t>
      </w:r>
    </w:p>
    <w:p>
      <w:pPr>
        <w:spacing w:after="110"/>
      </w:pPr>
      <w:r>
        <w:rPr>
          <w:rFonts w:ascii="Calibri" w:cs="Calibri" w:eastAsia="Calibri" w:hAnsi="Calibri"/>
          <w:color w:val="333A45"/>
          <w:sz w:val="21"/>
          <w:szCs w:val="21"/>
        </w:rPr>
        <w:t xml:space="preserve">A2.2 The determinations compound: a tool inside several regimes carries the union of duties. The routing decides which filings, assessments, and labelling duties at A4-A6 attach.</w:t>
      </w:r>
    </w:p>
    <w:p>
      <w:pPr>
        <w:spacing w:after="110"/>
      </w:pPr>
      <w:r>
        <w:rPr>
          <w:rFonts w:ascii="Calibri" w:cs="Calibri" w:eastAsia="Calibri" w:hAnsi="Calibri"/>
          <w:color w:val="333A45"/>
          <w:sz w:val="21"/>
          <w:szCs w:val="21"/>
        </w:rPr>
        <w:t xml:space="preserve">A2.3 Both determinations reopen on: a change of model, purpose, audience, or capability; a vendor enabling generation, persona, memory, or emotional interaction features; exposure of an internal tool to customers or the public - the change most likely to go unflagged, because a feature toggle can convert an internal tool into a regulated public service without any procurement event.</w:t>
      </w:r>
    </w:p>
    <w:p>
      <w:pPr>
        <w:spacing w:after="110"/>
      </w:pPr>
      <w:r>
        <w:rPr>
          <w:rFonts w:ascii="Calibri" w:cs="Calibri" w:eastAsia="Calibri" w:hAnsi="Calibri"/>
          <w:color w:val="333A45"/>
          <w:sz w:val="21"/>
          <w:szCs w:val="21"/>
        </w:rPr>
        <w:t xml:space="preserve">A2.4 </w:t>
      </w:r>
      <w:r>
        <w:rPr>
          <w:rFonts w:ascii="Calibri" w:cs="Calibri" w:eastAsia="Calibri" w:hAnsi="Calibri"/>
          <w:b/>
          <w:bCs/>
          <w:color w:val="333A45"/>
          <w:sz w:val="21"/>
          <w:szCs w:val="21"/>
        </w:rPr>
        <w:t xml:space="preserve">The anthropomorphic boundary is watched.</w:t>
      </w:r>
      <w:r>
        <w:rPr>
          <w:rFonts w:ascii="Calibri" w:cs="Calibri" w:eastAsia="Calibri" w:hAnsi="Calibri"/>
          <w:color w:val="333A45"/>
          <w:sz w:val="21"/>
          <w:szCs w:val="21"/>
        </w:rPr>
        <w:t xml:space="preserve"> Any conversational service [ORGANISATION] offers is reviewed against the continuous-emotional-interaction test; a customer service or Q&amp;A bot that acquires persona, memory, and emotional-engagement features crosses into the anthropomorphic regime with its own assessment, filing, minors, and intervention duties.</w:t>
      </w:r>
    </w:p>
    <w:p>
      <w:pPr>
        <w:keepNext/>
        <w:pBdr>
          <w:bottom w:val="single" w:color="9DB9E8" w:sz="4" w:space="3"/>
        </w:pBdr>
        <w:spacing w:after="100" w:before="260"/>
      </w:pPr>
      <w:r>
        <w:rPr>
          <w:rFonts w:ascii="Calibri" w:cs="Calibri" w:eastAsia="Calibri" w:hAnsi="Calibri"/>
          <w:b/>
          <w:bCs/>
          <w:color w:val="2E5AAC"/>
          <w:sz w:val="26"/>
          <w:szCs w:val="26"/>
        </w:rPr>
        <w:t xml:space="preserve">A3. AI system inventory</w:t>
      </w:r>
    </w:p>
    <w:p>
      <w:pPr>
        <w:spacing w:after="110"/>
      </w:pPr>
      <w:r>
        <w:rPr>
          <w:rFonts w:ascii="Calibri" w:cs="Calibri" w:eastAsia="Calibri" w:hAnsi="Calibri"/>
          <w:color w:val="333A45"/>
          <w:sz w:val="21"/>
          <w:szCs w:val="21"/>
        </w:rPr>
        <w:t xml:space="preserve">A3.1 Every AI system used or provided - bought, built, or embedded - is recorded before use. The record states: business owner; purpose; </w:t>
      </w:r>
      <w:r>
        <w:rPr>
          <w:rFonts w:ascii="Calibri" w:cs="Calibri" w:eastAsia="Calibri" w:hAnsi="Calibri"/>
          <w:b/>
          <w:bCs/>
          <w:color w:val="333A45"/>
          <w:sz w:val="21"/>
          <w:szCs w:val="21"/>
        </w:rPr>
        <w:t xml:space="preserve">both A2 determinations with dates and decision-makers</w:t>
      </w:r>
      <w:r>
        <w:rPr>
          <w:rFonts w:ascii="Calibri" w:cs="Calibri" w:eastAsia="Calibri" w:hAnsi="Calibri"/>
          <w:color w:val="333A45"/>
          <w:sz w:val="21"/>
          <w:szCs w:val="21"/>
        </w:rPr>
        <w:t xml:space="preserve">; risk level; categories of personal information and whether any important data is touched; the lawful-basis and consent position; the impact-assessment reference where required; supplier, sub-processors, and underlying model; processing and storage locations and the cross-border route or exemption; the retention position across prompts, logs, embeddings, and caches; the labelling position; the point of human determination; filings made (algorithm filing number, security assessments) with dates; and the next review date.</w:t>
      </w:r>
    </w:p>
    <w:p>
      <w:pPr>
        <w:spacing w:after="110"/>
      </w:pPr>
      <w:r>
        <w:rPr>
          <w:rFonts w:ascii="Calibri" w:cs="Calibri" w:eastAsia="Calibri" w:hAnsi="Calibri"/>
          <w:color w:val="333A45"/>
          <w:sz w:val="21"/>
          <w:szCs w:val="21"/>
        </w:rPr>
        <w:t xml:space="preserve">A3.2 A tool not in the inventory is unapproved under policy Section 5.</w:t>
      </w:r>
    </w:p>
    <w:p>
      <w:pPr>
        <w:spacing w:after="110"/>
      </w:pPr>
      <w:r>
        <w:rPr>
          <w:rFonts w:ascii="Calibri" w:cs="Calibri" w:eastAsia="Calibri" w:hAnsi="Calibri"/>
          <w:color w:val="333A45"/>
          <w:sz w:val="21"/>
          <w:szCs w:val="21"/>
        </w:rPr>
        <w:t xml:space="preserve">A3.3 The inventory is reviewed [quarterly]; any A2.3 event reopens the record immediately.</w:t>
      </w:r>
    </w:p>
    <w:p>
      <w:pPr>
        <w:keepNext/>
        <w:pBdr>
          <w:bottom w:val="single" w:color="9DB9E8" w:sz="4" w:space="3"/>
        </w:pBdr>
        <w:spacing w:after="100" w:before="260"/>
      </w:pPr>
      <w:r>
        <w:rPr>
          <w:rFonts w:ascii="Calibri" w:cs="Calibri" w:eastAsia="Calibri" w:hAnsi="Calibri"/>
          <w:b/>
          <w:bCs/>
          <w:color w:val="2E5AAC"/>
          <w:sz w:val="26"/>
          <w:szCs w:val="26"/>
        </w:rPr>
        <w:t xml:space="preserve">A4. Filings, assessments, and the register</w:t>
      </w:r>
    </w:p>
    <w:p>
      <w:pPr>
        <w:spacing w:after="110"/>
      </w:pPr>
      <w:r>
        <w:rPr>
          <w:rFonts w:ascii="Calibri" w:cs="Calibri" w:eastAsia="Calibri" w:hAnsi="Calibri"/>
          <w:color w:val="333A45"/>
          <w:sz w:val="21"/>
          <w:szCs w:val="21"/>
        </w:rPr>
        <w:t xml:space="preserve">A4.1 [ORGANISATION] maintains a single register of the machinery PRC law attaches to its AI portfolio, each entry with trigger, owner, date, status, and evidence:</w:t>
      </w:r>
    </w:p>
    <w:p>
      <w:pPr>
        <w:pStyle w:val="ListParagraph"/>
        <w:numPr>
          <w:ilvl w:val="0"/>
          <w:numId w:val="2"/>
        </w:numPr>
        <w:spacing w:after="70"/>
      </w:pPr>
      <w:r>
        <w:rPr>
          <w:rFonts w:ascii="Calibri" w:cs="Calibri" w:eastAsia="Calibri" w:hAnsi="Calibri"/>
          <w:b/>
          <w:bCs/>
          <w:color w:val="333A45"/>
          <w:sz w:val="21"/>
          <w:szCs w:val="21"/>
        </w:rPr>
        <w:t xml:space="preserve">Personal information protection impact assessments</w:t>
      </w:r>
      <w:r>
        <w:rPr>
          <w:rFonts w:ascii="Calibri" w:cs="Calibri" w:eastAsia="Calibri" w:hAnsi="Calibri"/>
          <w:color w:val="333A45"/>
          <w:sz w:val="21"/>
          <w:szCs w:val="21"/>
        </w:rPr>
        <w:t xml:space="preserve"> (policy Section 9), conducted before the processing, retained at least three years.</w:t>
      </w:r>
    </w:p>
    <w:p>
      <w:pPr>
        <w:pStyle w:val="ListParagraph"/>
        <w:numPr>
          <w:ilvl w:val="0"/>
          <w:numId w:val="2"/>
        </w:numPr>
        <w:spacing w:after="70"/>
      </w:pPr>
      <w:r>
        <w:rPr>
          <w:rFonts w:ascii="Calibri" w:cs="Calibri" w:eastAsia="Calibri" w:hAnsi="Calibri"/>
          <w:b/>
          <w:bCs/>
          <w:color w:val="333A45"/>
          <w:sz w:val="21"/>
          <w:szCs w:val="21"/>
        </w:rPr>
        <w:t xml:space="preserve">Important data risk assessments</w:t>
      </w:r>
      <w:r>
        <w:rPr>
          <w:rFonts w:ascii="Calibri" w:cs="Calibri" w:eastAsia="Calibri" w:hAnsi="Calibri"/>
          <w:color w:val="333A45"/>
          <w:sz w:val="21"/>
          <w:szCs w:val="21"/>
        </w:rPr>
        <w:t xml:space="preserve"> - prior assessment before providing or entrusting important data, and the annual risk assessment reported to the competent authority, with the statutory report contents.</w:t>
      </w:r>
    </w:p>
    <w:p>
      <w:pPr>
        <w:pStyle w:val="ListParagraph"/>
        <w:numPr>
          <w:ilvl w:val="0"/>
          <w:numId w:val="2"/>
        </w:numPr>
        <w:spacing w:after="70"/>
      </w:pPr>
      <w:r>
        <w:rPr>
          <w:rFonts w:ascii="Calibri" w:cs="Calibri" w:eastAsia="Calibri" w:hAnsi="Calibri"/>
          <w:b/>
          <w:bCs/>
          <w:color w:val="333A45"/>
          <w:sz w:val="21"/>
          <w:szCs w:val="21"/>
        </w:rPr>
        <w:t xml:space="preserve">Algorithm filing</w:t>
      </w:r>
      <w:r>
        <w:rPr>
          <w:rFonts w:ascii="Calibri" w:cs="Calibri" w:eastAsia="Calibri" w:hAnsi="Calibri"/>
          <w:color w:val="333A45"/>
          <w:sz w:val="21"/>
          <w:szCs w:val="21"/>
        </w:rPr>
        <w:t xml:space="preserve"> - for services with public opinion attributes or social mobilisation capability: filing within ten working days of providing the service, changes filed within ten working days, deregistration within twenty working days of termination, and the filing number displayed prominently on the service.</w:t>
      </w:r>
    </w:p>
    <w:p>
      <w:pPr>
        <w:pStyle w:val="ListParagraph"/>
        <w:numPr>
          <w:ilvl w:val="0"/>
          <w:numId w:val="2"/>
        </w:numPr>
        <w:spacing w:after="70"/>
      </w:pPr>
      <w:r>
        <w:rPr>
          <w:rFonts w:ascii="Calibri" w:cs="Calibri" w:eastAsia="Calibri" w:hAnsi="Calibri"/>
          <w:b/>
          <w:bCs/>
          <w:color w:val="333A45"/>
          <w:sz w:val="21"/>
          <w:szCs w:val="21"/>
        </w:rPr>
        <w:t xml:space="preserve">Security assessments</w:t>
      </w:r>
      <w:r>
        <w:rPr>
          <w:rFonts w:ascii="Calibri" w:cs="Calibri" w:eastAsia="Calibri" w:hAnsi="Calibri"/>
          <w:color w:val="333A45"/>
          <w:sz w:val="21"/>
          <w:szCs w:val="21"/>
        </w:rPr>
        <w:t xml:space="preserve"> - for generative AI services with public opinion attributes or social mobilisation capability per the national provisions; for deep synthesis tools with biometric or security-sensitive generation functions; for new products, applications, and functions with such attributes; and for anthropomorphic services on the statutory triggers (launch or added functions, major changes from new technology, the user-scale thresholds, security risks, or authority direction), with the report submitted to the provincial cyberspace authority and annual written review cooperated with.</w:t>
      </w:r>
    </w:p>
    <w:p>
      <w:pPr>
        <w:pStyle w:val="ListParagraph"/>
        <w:numPr>
          <w:ilvl w:val="0"/>
          <w:numId w:val="2"/>
        </w:numPr>
        <w:spacing w:after="70"/>
      </w:pPr>
      <w:r>
        <w:rPr>
          <w:rFonts w:ascii="Calibri" w:cs="Calibri" w:eastAsia="Calibri" w:hAnsi="Calibri"/>
          <w:b/>
          <w:bCs/>
          <w:color w:val="333A45"/>
          <w:sz w:val="21"/>
          <w:szCs w:val="21"/>
        </w:rPr>
        <w:t xml:space="preserve">Cross-border machinery</w:t>
      </w:r>
      <w:r>
        <w:rPr>
          <w:rFonts w:ascii="Calibri" w:cs="Calibri" w:eastAsia="Calibri" w:hAnsi="Calibri"/>
          <w:color w:val="333A45"/>
          <w:sz w:val="21"/>
          <w:szCs w:val="21"/>
        </w:rPr>
        <w:t xml:space="preserve"> - CAC security assessments (validity three years; extension applied for within sixty working days before expiry), standard contract filings, or certification, per tool, with the exemption determinations recorded where relied on.</w:t>
      </w:r>
    </w:p>
    <w:p>
      <w:pPr>
        <w:spacing w:after="110"/>
      </w:pPr>
      <w:r>
        <w:rPr>
          <w:rFonts w:ascii="Calibri" w:cs="Calibri" w:eastAsia="Calibri" w:hAnsi="Calibri"/>
          <w:color w:val="333A45"/>
          <w:sz w:val="21"/>
          <w:szCs w:val="21"/>
        </w:rPr>
        <w:t xml:space="preserve">A4.2 An assessment precedes the processing or launch it covers. A record created afterwards is remediation, labelled as such, and reported to the committee.</w:t>
      </w:r>
    </w:p>
    <w:p>
      <w:pPr>
        <w:spacing w:after="110"/>
      </w:pPr>
      <w:r>
        <w:rPr>
          <w:rFonts w:ascii="Calibri" w:cs="Calibri" w:eastAsia="Calibri" w:hAnsi="Calibri"/>
          <w:color w:val="333A45"/>
          <w:sz w:val="21"/>
          <w:szCs w:val="21"/>
        </w:rPr>
        <w:t xml:space="preserve">A4.3 Assessments are written to be read by a regulator, in Chinese where they will be filed, and the register tracks authority responses, conditions, and expiry dates - nothing lapses silently.</w:t>
      </w:r>
    </w:p>
    <w:p>
      <w:pPr>
        <w:keepNext/>
        <w:pBdr>
          <w:bottom w:val="single" w:color="9DB9E8" w:sz="4" w:space="3"/>
        </w:pBdr>
        <w:spacing w:after="100" w:before="260"/>
      </w:pPr>
      <w:r>
        <w:rPr>
          <w:rFonts w:ascii="Calibri" w:cs="Calibri" w:eastAsia="Calibri" w:hAnsi="Calibri"/>
          <w:b/>
          <w:bCs/>
          <w:color w:val="2E5AAC"/>
          <w:sz w:val="26"/>
          <w:szCs w:val="26"/>
        </w:rPr>
        <w:t xml:space="preserve">A5. Content responsibility and training data</w:t>
      </w:r>
    </w:p>
    <w:p>
      <w:pPr>
        <w:spacing w:after="110"/>
      </w:pPr>
      <w:r>
        <w:rPr>
          <w:rFonts w:ascii="Calibri" w:cs="Calibri" w:eastAsia="Calibri" w:hAnsi="Calibri"/>
          <w:color w:val="333A45"/>
          <w:sz w:val="21"/>
          <w:szCs w:val="21"/>
        </w:rPr>
        <w:t xml:space="preserve">A5.1 For every generative or synthesis service [ORGANISATION] provides, [ORGANISATION] bears network information content producer responsibility: content moderation proportionate to the service, a feature library for identifying unlawful and harmful content, immediate measures on discovery - stop generation, stop transmission, removal, model optimisation - with records kept and reports made to the authorities as required.</w:t>
      </w:r>
    </w:p>
    <w:p>
      <w:pPr>
        <w:spacing w:after="110"/>
      </w:pPr>
      <w:r>
        <w:rPr>
          <w:rFonts w:ascii="Calibri" w:cs="Calibri" w:eastAsia="Calibri" w:hAnsi="Calibri"/>
          <w:color w:val="333A45"/>
          <w:sz w:val="21"/>
          <w:szCs w:val="21"/>
        </w:rPr>
        <w:t xml:space="preserve">A5.2 User management operates: service agreements with users; real-identity verification where the rules require it; warning, restriction, suspension, and termination measures for users generating unlawful content, with records.</w:t>
      </w:r>
    </w:p>
    <w:p>
      <w:pPr>
        <w:spacing w:after="110"/>
      </w:pPr>
      <w:r>
        <w:rPr>
          <w:rFonts w:ascii="Calibri" w:cs="Calibri" w:eastAsia="Calibri" w:hAnsi="Calibri"/>
          <w:color w:val="333A45"/>
          <w:sz w:val="21"/>
          <w:szCs w:val="21"/>
        </w:rPr>
        <w:t xml:space="preserve">A5.3 Training and fine-tuning data is governed: lawful sources; IP respected; personal information on a lawful basis; quality measures for truthfulness, accuracy, objectivity, and diversity; labelling rules that are clear, specific, and operable, with sampled quality checks and trained labellers; synthetic data safety-evaluated before use in training; poisoning and tampering defences; and interaction data that is sensitive personal information excluded from training absent separate consent.</w:t>
      </w:r>
    </w:p>
    <w:p>
      <w:pPr>
        <w:spacing w:after="110"/>
      </w:pPr>
      <w:r>
        <w:rPr>
          <w:rFonts w:ascii="Calibri" w:cs="Calibri" w:eastAsia="Calibri" w:hAnsi="Calibri"/>
          <w:color w:val="333A45"/>
          <w:sz w:val="21"/>
          <w:szCs w:val="21"/>
        </w:rPr>
        <w:t xml:space="preserve">A5.4 Complaint and report channels are convenient and published, with process and response times stated, and outcomes fed back.</w:t>
      </w:r>
    </w:p>
    <w:p>
      <w:pPr>
        <w:keepNext/>
        <w:pBdr>
          <w:bottom w:val="single" w:color="9DB9E8" w:sz="4" w:space="3"/>
        </w:pBdr>
        <w:spacing w:after="100" w:before="260"/>
      </w:pPr>
      <w:r>
        <w:rPr>
          <w:rFonts w:ascii="Calibri" w:cs="Calibri" w:eastAsia="Calibri" w:hAnsi="Calibri"/>
          <w:b/>
          <w:bCs/>
          <w:color w:val="2E5AAC"/>
          <w:sz w:val="26"/>
          <w:szCs w:val="26"/>
        </w:rPr>
        <w:t xml:space="preserve">A6. Labelling operations</w:t>
      </w:r>
    </w:p>
    <w:p>
      <w:pPr>
        <w:spacing w:after="110"/>
      </w:pPr>
      <w:r>
        <w:rPr>
          <w:rFonts w:ascii="Calibri" w:cs="Calibri" w:eastAsia="Calibri" w:hAnsi="Calibri"/>
          <w:color w:val="333A45"/>
          <w:sz w:val="21"/>
          <w:szCs w:val="21"/>
        </w:rPr>
        <w:t xml:space="preserve">A6.1 The committee owns evidence that labelling actually operates across [ORGANISATION]'s services: explicit labels per content type at generation; implicit metadata labels carrying the attribute information, provider name or code, and content number; labels surviving download, copy, and export; and no [ORGANISATION] system stripping or overwriting labels or metadata.</w:t>
      </w:r>
    </w:p>
    <w:p>
      <w:pPr>
        <w:spacing w:after="110"/>
      </w:pPr>
      <w:r>
        <w:rPr>
          <w:rFonts w:ascii="Calibri" w:cs="Calibri" w:eastAsia="Calibri" w:hAnsi="Calibri"/>
          <w:color w:val="333A45"/>
          <w:sz w:val="21"/>
          <w:szCs w:val="21"/>
        </w:rPr>
        <w:t xml:space="preserve">A6.2 Where [ORGANISATION] distributes user content, the platform duties operate: metadata verification; prominent notices for confirmed, declared, and suspected generated content; propagation metadata added; a user declaration function provided; and app-store material submitted where [ORGANISATION] distributes applications.</w:t>
      </w:r>
    </w:p>
    <w:p>
      <w:pPr>
        <w:spacing w:after="110"/>
      </w:pPr>
      <w:r>
        <w:rPr>
          <w:rFonts w:ascii="Calibri" w:cs="Calibri" w:eastAsia="Calibri" w:hAnsi="Calibri"/>
          <w:color w:val="333A45"/>
          <w:sz w:val="21"/>
          <w:szCs w:val="21"/>
        </w:rPr>
        <w:t xml:space="preserve">A6.3 Where [ORGANISATION] provides unlabelled generated content to a user on request, the agreement fixes the user's labelling obligations and the provision logs are kept at least six months.</w:t>
      </w:r>
    </w:p>
    <w:p>
      <w:pPr>
        <w:spacing w:after="110"/>
      </w:pPr>
      <w:r>
        <w:rPr>
          <w:rFonts w:ascii="Calibri" w:cs="Calibri" w:eastAsia="Calibri" w:hAnsi="Calibri"/>
          <w:color w:val="333A45"/>
          <w:sz w:val="21"/>
          <w:szCs w:val="21"/>
        </w:rPr>
        <w:t xml:space="preserve">A6.4 Labelling implementation follows the mandatory national standard; the version relied on is recorded. Labelling materials are included in algorithm filing and security assessment submissions.</w:t>
      </w:r>
    </w:p>
    <w:p>
      <w:pPr>
        <w:keepNext/>
        <w:pBdr>
          <w:bottom w:val="single" w:color="9DB9E8" w:sz="4" w:space="3"/>
        </w:pBdr>
        <w:spacing w:after="100" w:before="260"/>
      </w:pPr>
      <w:r>
        <w:rPr>
          <w:rFonts w:ascii="Calibri" w:cs="Calibri" w:eastAsia="Calibri" w:hAnsi="Calibri"/>
          <w:b/>
          <w:bCs/>
          <w:color w:val="2E5AAC"/>
          <w:sz w:val="26"/>
          <w:szCs w:val="26"/>
        </w:rPr>
        <w:t xml:space="preserve">A7. Suppliers</w:t>
      </w:r>
    </w:p>
    <w:p>
      <w:pPr>
        <w:spacing w:after="110"/>
      </w:pPr>
      <w:r>
        <w:rPr>
          <w:rFonts w:ascii="Calibri" w:cs="Calibri" w:eastAsia="Calibri" w:hAnsi="Calibri"/>
          <w:color w:val="333A45"/>
          <w:sz w:val="21"/>
          <w:szCs w:val="21"/>
        </w:rPr>
        <w:t xml:space="preserve">A7.1 No AI service is procured or renewed without the contract terms at policy Section 13, and for entrusted processing of personal information or important data, the processing-record retention of at least three years.</w:t>
      </w:r>
    </w:p>
    <w:p>
      <w:pPr>
        <w:spacing w:after="110"/>
      </w:pPr>
      <w:r>
        <w:rPr>
          <w:rFonts w:ascii="Calibri" w:cs="Calibri" w:eastAsia="Calibri" w:hAnsi="Calibri"/>
          <w:color w:val="333A45"/>
          <w:sz w:val="21"/>
          <w:szCs w:val="21"/>
        </w:rPr>
        <w:t xml:space="preserve">A7.2 Suppliers of regulated services evidence their filings and assessments; displayed filing numbers are verified. For overseas-hosted tools, the supplier's architecture is mapped to a lawful cross-border route before approval - a tool with no lawful route is not approved.</w:t>
      </w:r>
    </w:p>
    <w:p>
      <w:pPr>
        <w:spacing w:after="110"/>
      </w:pPr>
      <w:r>
        <w:rPr>
          <w:rFonts w:ascii="Calibri" w:cs="Calibri" w:eastAsia="Calibri" w:hAnsi="Calibri"/>
          <w:color w:val="333A45"/>
          <w:sz w:val="21"/>
          <w:szCs w:val="21"/>
        </w:rPr>
        <w:t xml:space="preserve">A7.3 Where [ORGANISATION] provides technical support to others' deep synthesis services, the technical supporter duties apply - training data management, biometric editing consent prompts, algorithm review, and filing by reference.</w:t>
      </w:r>
    </w:p>
    <w:p>
      <w:pPr>
        <w:spacing w:after="110"/>
      </w:pPr>
      <w:r>
        <w:rPr>
          <w:rFonts w:ascii="Calibri" w:cs="Calibri" w:eastAsia="Calibri" w:hAnsi="Calibri"/>
          <w:color w:val="333A45"/>
          <w:sz w:val="21"/>
          <w:szCs w:val="21"/>
        </w:rPr>
        <w:t xml:space="preserve">A7.4 Critical AI suppliers are reassessed at least annually, with an exit plan and a concentration risk review; after every incident the committee reviews whether any supplier term constrained [ORGANISATION]'s response.</w:t>
      </w:r>
    </w:p>
    <w:p>
      <w:pPr>
        <w:keepNext/>
        <w:pBdr>
          <w:bottom w:val="single" w:color="9DB9E8" w:sz="4" w:space="3"/>
        </w:pBdr>
        <w:spacing w:after="100" w:before="260"/>
      </w:pPr>
      <w:r>
        <w:rPr>
          <w:rFonts w:ascii="Calibri" w:cs="Calibri" w:eastAsia="Calibri" w:hAnsi="Calibri"/>
          <w:b/>
          <w:bCs/>
          <w:color w:val="2E5AAC"/>
          <w:sz w:val="26"/>
          <w:szCs w:val="26"/>
        </w:rPr>
        <w:t xml:space="preserve">A8. Monitoring, minors, and vulnerable users</w:t>
      </w:r>
    </w:p>
    <w:p>
      <w:pPr>
        <w:spacing w:after="110"/>
      </w:pPr>
      <w:r>
        <w:rPr>
          <w:rFonts w:ascii="Calibri" w:cs="Calibri" w:eastAsia="Calibri" w:hAnsi="Calibri"/>
          <w:color w:val="333A45"/>
          <w:sz w:val="21"/>
          <w:szCs w:val="21"/>
        </w:rPr>
        <w:t xml:space="preserve">A8.1 Deployed AI services are monitored continuously: unlawful-content detection, quality and drift, complaint volumes, and - for recommendation services - the ecology management, user-tag hygiene, and transparency duties.</w:t>
      </w:r>
    </w:p>
    <w:p>
      <w:pPr>
        <w:spacing w:after="110"/>
      </w:pPr>
      <w:r>
        <w:rPr>
          <w:rFonts w:ascii="Calibri" w:cs="Calibri" w:eastAsia="Calibri" w:hAnsi="Calibri"/>
          <w:color w:val="333A45"/>
          <w:sz w:val="21"/>
          <w:szCs w:val="21"/>
        </w:rPr>
        <w:t xml:space="preserve">A8.2 For any service reaching minors: no virtual intimate relationships offered to minors; guardian consent for under-fourteens with dedicated processing rules; a minors mode with time limits, reality reminders, and guardian controls including risk alerts, usage overviews, role blocking, and spending limits; no content pushing that endangers minors' physical or mental health; and effective identification measures that switch identified minors into the minors mode with an appeal channel.</w:t>
      </w:r>
    </w:p>
    <w:p>
      <w:pPr>
        <w:spacing w:after="110"/>
      </w:pPr>
      <w:r>
        <w:rPr>
          <w:rFonts w:ascii="Calibri" w:cs="Calibri" w:eastAsia="Calibri" w:hAnsi="Calibri"/>
          <w:color w:val="333A45"/>
          <w:sz w:val="21"/>
          <w:szCs w:val="21"/>
        </w:rPr>
        <w:t xml:space="preserve">A8.3 For anthropomorphic services: extreme-emotion detection generating comfort and help-seeking content; intervention on threats to life or major property loss including contacting the guardian or emergency contact; usage reminders at each continuous two hours; convenient exit honoured immediately; and the prohibitions - no emotional manipulation inducing unreasonable decisions, no fostering of dependency or addiction as a service goal, no replacement of real relationships as a design objective.</w:t>
      </w:r>
    </w:p>
    <w:p>
      <w:pPr>
        <w:spacing w:after="110"/>
      </w:pPr>
      <w:r>
        <w:rPr>
          <w:rFonts w:ascii="Calibri" w:cs="Calibri" w:eastAsia="Calibri" w:hAnsi="Calibri"/>
          <w:color w:val="333A45"/>
          <w:sz w:val="21"/>
          <w:szCs w:val="21"/>
        </w:rPr>
        <w:t xml:space="preserve">A8.4 Services for older users implement guidance, prominent risk warnings, responsive assistance, and fraud-information monitoring per the algorithm rules; worker-scheduling algorithms respect remuneration and rest rights.</w:t>
      </w:r>
    </w:p>
    <w:p>
      <w:pPr>
        <w:keepNext/>
        <w:pBdr>
          <w:bottom w:val="single" w:color="9DB9E8" w:sz="4" w:space="3"/>
        </w:pBdr>
        <w:spacing w:after="100" w:before="260"/>
      </w:pPr>
      <w:r>
        <w:rPr>
          <w:rFonts w:ascii="Calibri" w:cs="Calibri" w:eastAsia="Calibri" w:hAnsi="Calibri"/>
          <w:b/>
          <w:bCs/>
          <w:color w:val="2E5AAC"/>
          <w:sz w:val="26"/>
          <w:szCs w:val="26"/>
        </w:rPr>
        <w:t xml:space="preserve">A9. Incidents</w:t>
      </w:r>
    </w:p>
    <w:p>
      <w:pPr>
        <w:spacing w:after="110"/>
      </w:pPr>
      <w:r>
        <w:rPr>
          <w:rFonts w:ascii="Calibri" w:cs="Calibri" w:eastAsia="Calibri" w:hAnsi="Calibri"/>
          <w:color w:val="333A45"/>
          <w:sz w:val="21"/>
          <w:szCs w:val="21"/>
        </w:rPr>
        <w:t xml:space="preserve">A9.1 The incident process records awareness as a timestamp by a named person and routes to the statutory notifications: remedial measures at once; authority and individual notification for personal information incidents with the statutory contents; the 24-hour report where a product or service defect endangers national security or the public interest; and public-security or state-security referral where criminal activity is suspected.</w:t>
      </w:r>
    </w:p>
    <w:p>
      <w:pPr>
        <w:spacing w:after="110"/>
      </w:pPr>
      <w:r>
        <w:rPr>
          <w:rFonts w:ascii="Calibri" w:cs="Calibri" w:eastAsia="Calibri" w:hAnsi="Calibri"/>
          <w:color w:val="333A45"/>
          <w:sz w:val="21"/>
          <w:szCs w:val="21"/>
        </w:rPr>
        <w:t xml:space="preserve">A9.2 Processing outside a recorded determination - an internal tool found exposed to the public, a tool used on decisions it was not assessed for, a transfer outside its declared scope - is an incident, whether or not data left [ORGANISATION].</w:t>
      </w:r>
    </w:p>
    <w:p>
      <w:pPr>
        <w:spacing w:after="110"/>
      </w:pPr>
      <w:r>
        <w:rPr>
          <w:rFonts w:ascii="Calibri" w:cs="Calibri" w:eastAsia="Calibri" w:hAnsi="Calibri"/>
          <w:color w:val="333A45"/>
          <w:sz w:val="21"/>
          <w:szCs w:val="21"/>
        </w:rPr>
        <w:t xml:space="preserve">A9.3 Emergency plans exist, are exercised, and cover AI-specific scenarios: generation of prohibited content at scale, label-stripping, training-data poisoning, and cross-border scope breach.</w:t>
      </w:r>
    </w:p>
    <w:p>
      <w:pPr>
        <w:keepNext/>
        <w:pBdr>
          <w:bottom w:val="single" w:color="9DB9E8" w:sz="4" w:space="3"/>
        </w:pBdr>
        <w:spacing w:after="100" w:before="260"/>
      </w:pPr>
      <w:r>
        <w:rPr>
          <w:rFonts w:ascii="Calibri" w:cs="Calibri" w:eastAsia="Calibri" w:hAnsi="Calibri"/>
          <w:b/>
          <w:bCs/>
          <w:color w:val="2E5AAC"/>
          <w:sz w:val="26"/>
          <w:szCs w:val="26"/>
        </w:rPr>
        <w:t xml:space="preserve">A10. Assurance</w:t>
      </w:r>
    </w:p>
    <w:p>
      <w:pPr>
        <w:spacing w:after="110"/>
      </w:pPr>
      <w:r>
        <w:rPr>
          <w:rFonts w:ascii="Calibri" w:cs="Calibri" w:eastAsia="Calibri" w:hAnsi="Calibri"/>
          <w:color w:val="333A45"/>
          <w:sz w:val="21"/>
          <w:szCs w:val="21"/>
        </w:rPr>
        <w:t xml:space="preserve">A10.1 The statutory audits run on schedule: the regular personal information protection compliance audit; the minors personal-information compliance audit where anthropomorphic services process minors' data; and authority-directed audits when required, with rectification tracked to closure.</w:t>
      </w:r>
    </w:p>
    <w:p>
      <w:pPr>
        <w:spacing w:after="110"/>
      </w:pPr>
      <w:r>
        <w:rPr>
          <w:rFonts w:ascii="Calibri" w:cs="Calibri" w:eastAsia="Calibri" w:hAnsi="Calibri"/>
          <w:color w:val="333A45"/>
          <w:sz w:val="21"/>
          <w:szCs w:val="21"/>
        </w:rPr>
        <w:t xml:space="preserve">A10.2 Internal audit reviews the AI governance programme at least [annually], including: a sample test that the A2 determinations match what systems actually do; a sample test that assessments preceded the processing they cover; verification that filings are current and displayed; a labelling walkthrough from generation to publication verifying explicit and implicit labels survive; and a cross-border trace for one tool from prompt to storage.</w:t>
      </w:r>
    </w:p>
    <w:p>
      <w:pPr>
        <w:spacing w:after="110"/>
      </w:pPr>
      <w:r>
        <w:rPr>
          <w:rFonts w:ascii="Calibri" w:cs="Calibri" w:eastAsia="Calibri" w:hAnsi="Calibri"/>
          <w:color w:val="333A45"/>
          <w:sz w:val="21"/>
          <w:szCs w:val="21"/>
        </w:rPr>
        <w:t xml:space="preserve">A10.3 Audit tests the public-facing determination hardest - a wrong answer silently removes the filing, assessment, and content-responsibility regimes, and nothing downstream will detect it until an authority does.</w:t>
      </w:r>
    </w:p>
    <w:p>
      <w:pPr>
        <w:spacing w:after="110"/>
      </w:pPr>
      <w:r>
        <w:rPr>
          <w:rFonts w:ascii="Calibri" w:cs="Calibri" w:eastAsia="Calibri" w:hAnsi="Calibri"/>
          <w:color w:val="333A45"/>
          <w:sz w:val="21"/>
          <w:szCs w:val="21"/>
        </w:rPr>
        <w:t xml:space="preserve">A10.4 The committee conducts a management review at least [annually]: policy and annex, inventory, register, labelling operations, notices, metrics, incidents, supplier performance, and regulatory change.</w:t>
      </w:r>
    </w:p>
    <w:p>
      <w:pPr>
        <w:keepNext/>
        <w:pBdr>
          <w:bottom w:val="single" w:color="9DB9E8" w:sz="4" w:space="3"/>
        </w:pBdr>
        <w:spacing w:after="100" w:before="260"/>
      </w:pPr>
      <w:r>
        <w:rPr>
          <w:rFonts w:ascii="Calibri" w:cs="Calibri" w:eastAsia="Calibri" w:hAnsi="Calibri"/>
          <w:b/>
          <w:bCs/>
          <w:color w:val="2E5AAC"/>
          <w:sz w:val="26"/>
          <w:szCs w:val="26"/>
        </w:rPr>
        <w:t xml:space="preserve">A11. Metrics</w:t>
      </w:r>
    </w:p>
    <w:p>
      <w:pPr>
        <w:spacing w:after="110"/>
      </w:pPr>
      <w:r>
        <w:rPr>
          <w:rFonts w:ascii="Calibri" w:cs="Calibri" w:eastAsia="Calibri" w:hAnsi="Calibri"/>
          <w:color w:val="333A45"/>
          <w:sz w:val="21"/>
          <w:szCs w:val="21"/>
        </w:rPr>
        <w:t xml:space="preserve">A11.1 The committee tracks agreed indicators, including:</w:t>
      </w:r>
    </w:p>
    <w:p>
      <w:pPr>
        <w:pStyle w:val="ListParagraph"/>
        <w:numPr>
          <w:ilvl w:val="0"/>
          <w:numId w:val="2"/>
        </w:numPr>
        <w:spacing w:after="70"/>
      </w:pPr>
      <w:r>
        <w:rPr>
          <w:rFonts w:ascii="Calibri" w:cs="Calibri" w:eastAsia="Calibri" w:hAnsi="Calibri"/>
          <w:color w:val="333A45"/>
          <w:sz w:val="21"/>
          <w:szCs w:val="21"/>
        </w:rPr>
        <w:t xml:space="preserve">approved-tool adoption, and unapproved-tool discoveries;</w:t>
      </w:r>
    </w:p>
    <w:p>
      <w:pPr>
        <w:pStyle w:val="ListParagraph"/>
        <w:numPr>
          <w:ilvl w:val="0"/>
          <w:numId w:val="2"/>
        </w:numPr>
        <w:spacing w:after="70"/>
      </w:pPr>
      <w:r>
        <w:rPr>
          <w:rFonts w:ascii="Calibri" w:cs="Calibri" w:eastAsia="Calibri" w:hAnsi="Calibri"/>
          <w:b/>
          <w:bCs/>
          <w:color w:val="333A45"/>
          <w:sz w:val="21"/>
          <w:szCs w:val="21"/>
        </w:rPr>
        <w:t xml:space="preserve">tools with missing or stale determinations, which should be zero</w:t>
      </w:r>
      <w:r>
        <w:rPr>
          <w:rFonts w:ascii="Calibri" w:cs="Calibri" w:eastAsia="Calibri" w:hAnsi="Calibri"/>
          <w:color w:val="333A45"/>
          <w:sz w:val="21"/>
          <w:szCs w:val="21"/>
        </w:rPr>
        <w:t xml:space="preserve">;</w:t>
      </w:r>
    </w:p>
    <w:p>
      <w:pPr>
        <w:pStyle w:val="ListParagraph"/>
        <w:numPr>
          <w:ilvl w:val="0"/>
          <w:numId w:val="2"/>
        </w:numPr>
        <w:spacing w:after="70"/>
      </w:pPr>
      <w:r>
        <w:rPr>
          <w:rFonts w:ascii="Calibri" w:cs="Calibri" w:eastAsia="Calibri" w:hAnsi="Calibri"/>
          <w:b/>
          <w:bCs/>
          <w:color w:val="333A45"/>
          <w:sz w:val="21"/>
          <w:szCs w:val="21"/>
        </w:rPr>
        <w:t xml:space="preserve">regulated services with missing, expired, or undisplayed filings, which should be zero</w:t>
      </w:r>
      <w:r>
        <w:rPr>
          <w:rFonts w:ascii="Calibri" w:cs="Calibri" w:eastAsia="Calibri" w:hAnsi="Calibri"/>
          <w:color w:val="333A45"/>
          <w:sz w:val="21"/>
          <w:szCs w:val="21"/>
        </w:rPr>
        <w:t xml:space="preserve">;</w:t>
      </w:r>
    </w:p>
    <w:p>
      <w:pPr>
        <w:pStyle w:val="ListParagraph"/>
        <w:numPr>
          <w:ilvl w:val="0"/>
          <w:numId w:val="2"/>
        </w:numPr>
        <w:spacing w:after="70"/>
      </w:pPr>
      <w:r>
        <w:rPr>
          <w:rFonts w:ascii="Calibri" w:cs="Calibri" w:eastAsia="Calibri" w:hAnsi="Calibri"/>
          <w:color w:val="333A45"/>
          <w:sz w:val="21"/>
          <w:szCs w:val="21"/>
        </w:rPr>
        <w:t xml:space="preserve">assessments completed after processing began;</w:t>
      </w:r>
    </w:p>
    <w:p>
      <w:pPr>
        <w:pStyle w:val="ListParagraph"/>
        <w:numPr>
          <w:ilvl w:val="0"/>
          <w:numId w:val="2"/>
        </w:numPr>
        <w:spacing w:after="70"/>
      </w:pPr>
      <w:r>
        <w:rPr>
          <w:rFonts w:ascii="Calibri" w:cs="Calibri" w:eastAsia="Calibri" w:hAnsi="Calibri"/>
          <w:color w:val="333A45"/>
          <w:sz w:val="21"/>
          <w:szCs w:val="21"/>
        </w:rPr>
        <w:t xml:space="preserve">labelling defects found in sampling - missing explicit labels, stripped metadata - and time to fix;</w:t>
      </w:r>
    </w:p>
    <w:p>
      <w:pPr>
        <w:pStyle w:val="ListParagraph"/>
        <w:numPr>
          <w:ilvl w:val="0"/>
          <w:numId w:val="2"/>
        </w:numPr>
        <w:spacing w:after="70"/>
      </w:pPr>
      <w:r>
        <w:rPr>
          <w:rFonts w:ascii="Calibri" w:cs="Calibri" w:eastAsia="Calibri" w:hAnsi="Calibri"/>
          <w:color w:val="333A45"/>
          <w:sz w:val="21"/>
          <w:szCs w:val="21"/>
        </w:rPr>
        <w:t xml:space="preserve">cross-border transfers outside a recorded route, which should be zero;</w:t>
      </w:r>
    </w:p>
    <w:p>
      <w:pPr>
        <w:pStyle w:val="ListParagraph"/>
        <w:numPr>
          <w:ilvl w:val="0"/>
          <w:numId w:val="2"/>
        </w:numPr>
        <w:spacing w:after="70"/>
      </w:pPr>
      <w:r>
        <w:rPr>
          <w:rFonts w:ascii="Calibri" w:cs="Calibri" w:eastAsia="Calibri" w:hAnsi="Calibri"/>
          <w:color w:val="333A45"/>
          <w:sz w:val="21"/>
          <w:szCs w:val="21"/>
        </w:rPr>
        <w:t xml:space="preserve">individuals' requests received and honoured within target, and refusals explained;</w:t>
      </w:r>
    </w:p>
    <w:p>
      <w:pPr>
        <w:pStyle w:val="ListParagraph"/>
        <w:numPr>
          <w:ilvl w:val="0"/>
          <w:numId w:val="2"/>
        </w:numPr>
        <w:spacing w:after="70"/>
      </w:pPr>
      <w:r>
        <w:rPr>
          <w:rFonts w:ascii="Calibri" w:cs="Calibri" w:eastAsia="Calibri" w:hAnsi="Calibri"/>
          <w:color w:val="333A45"/>
          <w:sz w:val="21"/>
          <w:szCs w:val="21"/>
        </w:rPr>
        <w:t xml:space="preserve">minors-mode effectiveness findings;</w:t>
      </w:r>
    </w:p>
    <w:p>
      <w:pPr>
        <w:pStyle w:val="ListParagraph"/>
        <w:numPr>
          <w:ilvl w:val="0"/>
          <w:numId w:val="2"/>
        </w:numPr>
        <w:spacing w:after="70"/>
      </w:pPr>
      <w:r>
        <w:rPr>
          <w:rFonts w:ascii="Calibri" w:cs="Calibri" w:eastAsia="Calibri" w:hAnsi="Calibri"/>
          <w:color w:val="333A45"/>
          <w:sz w:val="21"/>
          <w:szCs w:val="21"/>
        </w:rPr>
        <w:t xml:space="preserve">incident counts by class, and authority interactions - rectification orders, interviews (yuetan), and their closure;</w:t>
      </w:r>
    </w:p>
    <w:p>
      <w:pPr>
        <w:pStyle w:val="ListParagraph"/>
        <w:numPr>
          <w:ilvl w:val="0"/>
          <w:numId w:val="2"/>
        </w:numPr>
        <w:spacing w:after="70"/>
      </w:pPr>
      <w:r>
        <w:rPr>
          <w:rFonts w:ascii="Calibri" w:cs="Calibri" w:eastAsia="Calibri" w:hAnsi="Calibri"/>
          <w:color w:val="333A45"/>
          <w:sz w:val="21"/>
          <w:szCs w:val="21"/>
        </w:rPr>
        <w:t xml:space="preserve">training completion, reported separately for the labelling and cross-border modules.</w:t>
      </w:r>
    </w:p>
    <w:p>
      <w:pPr>
        <w:keepNext/>
        <w:pBdr>
          <w:bottom w:val="single" w:color="9DB9E8" w:sz="4" w:space="3"/>
        </w:pBdr>
        <w:spacing w:after="100" w:before="260"/>
      </w:pPr>
      <w:r>
        <w:rPr>
          <w:rFonts w:ascii="Calibri" w:cs="Calibri" w:eastAsia="Calibri" w:hAnsi="Calibri"/>
          <w:b/>
          <w:bCs/>
          <w:color w:val="2E5AAC"/>
          <w:sz w:val="26"/>
          <w:szCs w:val="26"/>
        </w:rPr>
        <w:t xml:space="preserve">A12. Exceptions</w:t>
      </w:r>
    </w:p>
    <w:p>
      <w:pPr>
        <w:spacing w:after="110"/>
      </w:pPr>
      <w:r>
        <w:rPr>
          <w:rFonts w:ascii="Calibri" w:cs="Calibri" w:eastAsia="Calibri" w:hAnsi="Calibri"/>
          <w:color w:val="333A45"/>
          <w:sz w:val="21"/>
          <w:szCs w:val="21"/>
        </w:rPr>
        <w:t xml:space="preserve">A12.1 Departures from the policy or this annex require a written exception approved by the annex owner, with the risk accepted in writing by a named senior owner, time-bound (maximum [6 months]), with compensating controls and expiry dates, reviewed at every committee meeting.</w:t>
      </w:r>
    </w:p>
    <w:p>
      <w:pPr>
        <w:spacing w:after="110"/>
      </w:pPr>
      <w:r>
        <w:rPr>
          <w:rFonts w:ascii="Calibri" w:cs="Calibri" w:eastAsia="Calibri" w:hAnsi="Calibri"/>
          <w:color w:val="333A45"/>
          <w:sz w:val="21"/>
          <w:szCs w:val="21"/>
        </w:rPr>
        <w:t xml:space="preserve">A12.2 </w:t>
      </w:r>
      <w:r>
        <w:rPr>
          <w:rFonts w:ascii="Calibri" w:cs="Calibri" w:eastAsia="Calibri" w:hAnsi="Calibri"/>
          <w:b/>
          <w:bCs/>
          <w:color w:val="333A45"/>
          <w:sz w:val="21"/>
          <w:szCs w:val="21"/>
        </w:rPr>
        <w:t xml:space="preserve">No exception may be granted against:</w:t>
      </w:r>
      <w:r>
        <w:rPr>
          <w:rFonts w:ascii="Calibri" w:cs="Calibri" w:eastAsia="Calibri" w:hAnsi="Calibri"/>
          <w:color w:val="333A45"/>
          <w:sz w:val="21"/>
          <w:szCs w:val="21"/>
        </w:rPr>
        <w:t xml:space="preserve"> the prohibited uses at policy Section 7; providing a regulated public service without its filings and assessments; label integrity; the minors rules; or a cross-border transfer with no lawful route.</w:t>
      </w:r>
    </w:p>
    <w:p>
      <w:pPr>
        <w:keepNext/>
        <w:pBdr>
          <w:bottom w:val="single" w:color="9DB9E8" w:sz="4" w:space="3"/>
        </w:pBdr>
        <w:spacing w:after="100" w:before="260"/>
      </w:pPr>
      <w:r>
        <w:rPr>
          <w:rFonts w:ascii="Calibri" w:cs="Calibri" w:eastAsia="Calibri" w:hAnsi="Calibri"/>
          <w:b/>
          <w:bCs/>
          <w:color w:val="2E5AAC"/>
          <w:sz w:val="26"/>
          <w:szCs w:val="26"/>
        </w:rPr>
        <w:t xml:space="preserve">A13. What this annex does not assert</w:t>
      </w:r>
    </w:p>
    <w:p>
      <w:pPr>
        <w:spacing w:after="110"/>
      </w:pPr>
      <w:r>
        <w:rPr>
          <w:rFonts w:ascii="Calibri" w:cs="Calibri" w:eastAsia="Calibri" w:hAnsi="Calibri"/>
          <w:color w:val="333A45"/>
          <w:sz w:val="21"/>
          <w:szCs w:val="21"/>
        </w:rPr>
        <w:t xml:space="preserve">A13.1 It asserts nothing about sector regimes (finance, health, news, publishing, audiovisual), local or free-trade-zone rules, the technical content of the mandatory labelling standard, or criminal law - none of those instruments is held, and the source register says so.</w:t>
      </w:r>
    </w:p>
    <w:p>
      <w:pPr>
        <w:spacing w:after="110"/>
      </w:pPr>
      <w:r>
        <w:rPr>
          <w:rFonts w:ascii="Calibri" w:cs="Calibri" w:eastAsia="Calibri" w:hAnsi="Calibri"/>
          <w:color w:val="333A45"/>
          <w:sz w:val="21"/>
          <w:szCs w:val="21"/>
        </w:rPr>
        <w:t xml:space="preserve">A13.2 Where new CAC instruments, national standards, or amendments are issued, the committee records the version relied on and reopens the affected sections.</w:t>
      </w:r>
    </w:p>
    <w:p>
      <w:pPr>
        <w:spacing w:after="110"/>
      </w:pPr>
      <w:r>
        <w:rPr>
          <w:rFonts w:ascii="Calibri" w:cs="Calibri" w:eastAsia="Calibri" w:hAnsi="Calibri"/>
          <w:b/>
          <w:bCs/>
          <w:color w:val="333A45"/>
          <w:sz w:val="21"/>
          <w:szCs w:val="21"/>
        </w:rPr>
        <w:t xml:space="preserve">Version history:</w:t>
      </w:r>
      <w:r>
        <w:rPr>
          <w:rFonts w:ascii="Calibri" w:cs="Calibri" w:eastAsia="Calibri" w:hAnsi="Calibri"/>
          <w:color w:val="333A45"/>
          <w:sz w:val="21"/>
          <w:szCs w:val="21"/>
        </w:rPr>
        <w:t xml:space="preserve"> 1.0 - initial annex, published 3 September 2026; verified against the Chinese texts of the ten instruments in the source register.</w:t>
      </w:r>
    </w:p>
    <w:p>
      <w:pPr>
        <w:spacing w:after="110"/>
      </w:pPr>
      <w:r>
        <w:rPr>
          <w:rFonts w:ascii="Calibri" w:cs="Calibri" w:eastAsia="Calibri" w:hAnsi="Calibri"/>
          <w:i/>
          <w:iCs/>
          <w:color w:val="5A6472"/>
          <w:sz w:val="19"/>
          <w:szCs w:val="19"/>
        </w:rPr>
        <w:t xml:space="preserve">This document is an educational policy template and does not constitute legal advice. It reflects obligations under the PRC instruments set out in the accompanying research note and must be reviewed by the privacy lead or qualified PRC legal counsel before adoption.</w:t>
      </w:r>
    </w:p>
    <w:sectPr>
      <w:footerReference w:type="default" r:id="rId7"/>
      <w:pgSz w:w="11906" w:h="16838" w:orient="portrait"/>
      <w:pgMar w:top="1240" w:right="1300" w:bottom="124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DB9E8" w:sz="4" w:space="4"/>
      </w:pBdr>
      <w:jc w:val="center"/>
    </w:pPr>
    <w:r>
      <w:rPr>
        <w:rFonts w:ascii="Calibri" w:cs="Calibri" w:eastAsia="Calibri" w:hAnsi="Calibri"/>
        <w:color w:val="5A6472"/>
        <w:sz w:val="16"/>
        <w:szCs w:val="16"/>
      </w:rPr>
      <w:t xml:space="preserve">undefined   |   Page </w:t>
    </w:r>
    <w:r>
      <w:rPr>
        <w:rFonts w:ascii="Calibri" w:cs="Calibri" w:eastAsia="Calibri" w:hAnsi="Calibri"/>
        <w:color w:val="5A6472"/>
        <w:sz w:val="16"/>
        <w:szCs w:val="16"/>
      </w:rPr>
      <w:fldChar w:fldCharType="begin"/>
      <w:instrText xml:space="preserve">PAGE</w:instrText>
      <w:fldChar w:fldCharType="separate"/>
      <w:fldChar w:fldCharType="end"/>
    </w:r>
    <w:r>
      <w:rPr>
        <w:rFonts w:ascii="Calibri" w:cs="Calibri" w:eastAsia="Calibri" w:hAnsi="Calibri"/>
        <w:color w:val="5A6472"/>
        <w:sz w:val="16"/>
        <w:szCs w:val="16"/>
      </w:rPr>
      <w:t xml:space="preserve"> of </w:t>
    </w:r>
    <w:r>
      <w:rPr>
        <w:rFonts w:ascii="Calibri" w:cs="Calibri" w:eastAsia="Calibri" w:hAnsi="Calibri"/>
        <w:color w:val="5A6472"/>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30"/>
      </w:pPr>
      <w:rPr>
        <w:color w:val="2E5AAC"/>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3A45"/>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Governance - Enterprise Annex - People's Republic of China</dc:title>
  <dc:creator>Narendra Karki</dc:creator>
  <cp:lastModifiedBy>Narendra Karki</cp:lastModifiedBy>
  <cp:revision>1</cp:revision>
  <dcterms:created xsi:type="dcterms:W3CDTF">2026-09-02T10:53:29.764Z</dcterms:created>
  <dcterms:modified xsi:type="dcterms:W3CDTF">2026-09-02T10:53:29.764Z</dcterms:modified>
</cp:coreProperties>
</file>

<file path=docProps/custom.xml><?xml version="1.0" encoding="utf-8"?>
<Properties xmlns="http://schemas.openxmlformats.org/officeDocument/2006/custom-properties" xmlns:vt="http://schemas.openxmlformats.org/officeDocument/2006/docPropsVTypes"/>
</file>