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5AAC" w:sz="12" w:space="6"/>
        </w:pBdr>
        <w:spacing w:after="60"/>
      </w:pPr>
      <w:r>
        <w:rPr>
          <w:rFonts w:ascii="Calibri" w:cs="Calibri" w:eastAsia="Calibri" w:hAnsi="Calibri"/>
          <w:b/>
          <w:bCs/>
          <w:color w:val="1F3864"/>
          <w:sz w:val="42"/>
          <w:szCs w:val="42"/>
        </w:rPr>
        <w:t xml:space="preserve">Research note - People's Republic of China AI policy set</w:t>
      </w:r>
    </w:p>
    <w:p>
      <w:pPr>
        <w:spacing w:after="110"/>
      </w:pPr>
      <w:r>
        <w:rPr>
          <w:rFonts w:ascii="Calibri" w:cs="Calibri" w:eastAsia="Calibri" w:hAnsi="Calibri"/>
          <w:color w:val="333A45"/>
          <w:sz w:val="21"/>
          <w:szCs w:val="21"/>
        </w:rPr>
        <w:t xml:space="preserve">Basis for the [ORGANISATION] AI Acceptable Use Policy (China) v1.0 and the Enterprise Annex v1.0. Provision identifiers live here, not in the policy body. Verification was performed against the Chinese texts in the source register - PRC law is enacted in Chinese, and no official English translation exists for any instrument in this set. State as at 3 September 2026.</w:t>
      </w:r>
    </w:p>
    <w:p>
      <w:pPr>
        <w:keepNext/>
        <w:pBdr>
          <w:bottom w:val="single" w:color="9DB9E8" w:sz="4" w:space="3"/>
        </w:pBdr>
        <w:spacing w:after="100" w:before="260"/>
      </w:pPr>
      <w:r>
        <w:rPr>
          <w:rFonts w:ascii="Calibri" w:cs="Calibri" w:eastAsia="Calibri" w:hAnsi="Calibri"/>
          <w:b/>
          <w:bCs/>
          <w:color w:val="2E5AAC"/>
          <w:sz w:val="26"/>
          <w:szCs w:val="26"/>
        </w:rPr>
        <w:t xml:space="preserve">1. The instruments this set rests on</w:t>
      </w:r>
    </w:p>
    <w:p>
      <w:pPr>
        <w:spacing w:after="110"/>
      </w:pPr>
      <w:r>
        <w:rPr>
          <w:rFonts w:ascii="Calibri" w:cs="Calibri" w:eastAsia="Calibri" w:hAnsi="Calibri"/>
          <w:color w:val="333A45"/>
          <w:sz w:val="21"/>
          <w:szCs w:val="21"/>
        </w:rPr>
        <w:t xml:space="preserve">Three pillar laws of the National People's Congress Standing Committee:</w:t>
      </w:r>
    </w:p>
    <w:p>
      <w:pPr>
        <w:pStyle w:val="ListParagraph"/>
        <w:numPr>
          <w:ilvl w:val="0"/>
          <w:numId w:val="2"/>
        </w:numPr>
        <w:spacing w:after="70"/>
      </w:pPr>
      <w:r>
        <w:rPr>
          <w:rFonts w:ascii="Calibri" w:cs="Calibri" w:eastAsia="Calibri" w:hAnsi="Calibri"/>
          <w:b/>
          <w:bCs/>
          <w:color w:val="333A45"/>
          <w:sz w:val="21"/>
          <w:szCs w:val="21"/>
        </w:rPr>
        <w:t xml:space="preserve">Cybersecurity Law</w:t>
      </w:r>
      <w:r>
        <w:rPr>
          <w:rFonts w:ascii="Calibri" w:cs="Calibri" w:eastAsia="Calibri" w:hAnsi="Calibri"/>
          <w:color w:val="333A45"/>
          <w:sz w:val="21"/>
          <w:szCs w:val="21"/>
        </w:rPr>
        <w:t xml:space="preserve"> (网络安全法), adopted 7 November 2016, in force 1 June 2017, </w:t>
      </w:r>
      <w:r>
        <w:rPr>
          <w:rFonts w:ascii="Calibri" w:cs="Calibri" w:eastAsia="Calibri" w:hAnsi="Calibri"/>
          <w:b/>
          <w:bCs/>
          <w:color w:val="333A45"/>
          <w:sz w:val="21"/>
          <w:szCs w:val="21"/>
        </w:rPr>
        <w:t xml:space="preserve">as amended by the NPCSC decision of 28 October 2025</w:t>
      </w:r>
      <w:r>
        <w:rPr>
          <w:rFonts w:ascii="Calibri" w:cs="Calibri" w:eastAsia="Calibri" w:hAnsi="Calibri"/>
          <w:color w:val="333A45"/>
          <w:sz w:val="21"/>
          <w:szCs w:val="21"/>
        </w:rPr>
        <w:t xml:space="preserve"> - the held text is the amended consolidation, 81 articles.</w:t>
      </w:r>
    </w:p>
    <w:p>
      <w:pPr>
        <w:pStyle w:val="ListParagraph"/>
        <w:numPr>
          <w:ilvl w:val="0"/>
          <w:numId w:val="2"/>
        </w:numPr>
        <w:spacing w:after="70"/>
      </w:pPr>
      <w:r>
        <w:rPr>
          <w:rFonts w:ascii="Calibri" w:cs="Calibri" w:eastAsia="Calibri" w:hAnsi="Calibri"/>
          <w:b/>
          <w:bCs/>
          <w:color w:val="333A45"/>
          <w:sz w:val="21"/>
          <w:szCs w:val="21"/>
        </w:rPr>
        <w:t xml:space="preserve">Data Security Law</w:t>
      </w:r>
      <w:r>
        <w:rPr>
          <w:rFonts w:ascii="Calibri" w:cs="Calibri" w:eastAsia="Calibri" w:hAnsi="Calibri"/>
          <w:color w:val="333A45"/>
          <w:sz w:val="21"/>
          <w:szCs w:val="21"/>
        </w:rPr>
        <w:t xml:space="preserve"> (数据安全法), adopted 10 June 2021, in force 1 September 2021, 55 articles.</w:t>
      </w:r>
    </w:p>
    <w:p>
      <w:pPr>
        <w:pStyle w:val="ListParagraph"/>
        <w:numPr>
          <w:ilvl w:val="0"/>
          <w:numId w:val="2"/>
        </w:numPr>
        <w:spacing w:after="70"/>
      </w:pPr>
      <w:r>
        <w:rPr>
          <w:rFonts w:ascii="Calibri" w:cs="Calibri" w:eastAsia="Calibri" w:hAnsi="Calibri"/>
          <w:b/>
          <w:bCs/>
          <w:color w:val="333A45"/>
          <w:sz w:val="21"/>
          <w:szCs w:val="21"/>
        </w:rPr>
        <w:t xml:space="preserve">Personal Information Protection Law</w:t>
      </w:r>
      <w:r>
        <w:rPr>
          <w:rFonts w:ascii="Calibri" w:cs="Calibri" w:eastAsia="Calibri" w:hAnsi="Calibri"/>
          <w:color w:val="333A45"/>
          <w:sz w:val="21"/>
          <w:szCs w:val="21"/>
        </w:rPr>
        <w:t xml:space="preserve"> (个人信息保护法, "PIPL"), adopted 20 August 2021, in force 1 November 2021, 74 articles.</w:t>
      </w:r>
    </w:p>
    <w:p>
      <w:pPr>
        <w:spacing w:after="110"/>
      </w:pPr>
      <w:r>
        <w:rPr>
          <w:rFonts w:ascii="Calibri" w:cs="Calibri" w:eastAsia="Calibri" w:hAnsi="Calibri"/>
          <w:color w:val="333A45"/>
          <w:sz w:val="21"/>
          <w:szCs w:val="21"/>
        </w:rPr>
        <w:t xml:space="preserve">One State Council administrative regulation:</w:t>
      </w:r>
    </w:p>
    <w:p>
      <w:pPr>
        <w:pStyle w:val="ListParagraph"/>
        <w:numPr>
          <w:ilvl w:val="0"/>
          <w:numId w:val="2"/>
        </w:numPr>
        <w:spacing w:after="70"/>
      </w:pPr>
      <w:r>
        <w:rPr>
          <w:rFonts w:ascii="Calibri" w:cs="Calibri" w:eastAsia="Calibri" w:hAnsi="Calibri"/>
          <w:b/>
          <w:bCs/>
          <w:color w:val="333A45"/>
          <w:sz w:val="21"/>
          <w:szCs w:val="21"/>
        </w:rPr>
        <w:t xml:space="preserve">Network Data Security Management Regulations</w:t>
      </w:r>
      <w:r>
        <w:rPr>
          <w:rFonts w:ascii="Calibri" w:cs="Calibri" w:eastAsia="Calibri" w:hAnsi="Calibri"/>
          <w:color w:val="333A45"/>
          <w:sz w:val="21"/>
          <w:szCs w:val="21"/>
        </w:rPr>
        <w:t xml:space="preserve"> (网络数据安全管理条例), dated 24 September 2024, in force 1 January 2025, 64 articles - the operational layer across all three pillar laws.</w:t>
      </w:r>
    </w:p>
    <w:p>
      <w:pPr>
        <w:spacing w:after="110"/>
      </w:pPr>
      <w:r>
        <w:rPr>
          <w:rFonts w:ascii="Calibri" w:cs="Calibri" w:eastAsia="Calibri" w:hAnsi="Calibri"/>
          <w:color w:val="333A45"/>
          <w:sz w:val="21"/>
          <w:szCs w:val="21"/>
        </w:rPr>
        <w:t xml:space="preserve">Six departmental rules and normative documents of the Cyberspace Administration of China (CAC) and co-issuing ministries:</w:t>
      </w:r>
    </w:p>
    <w:p>
      <w:pPr>
        <w:pStyle w:val="ListParagraph"/>
        <w:numPr>
          <w:ilvl w:val="0"/>
          <w:numId w:val="2"/>
        </w:numPr>
        <w:spacing w:after="70"/>
      </w:pPr>
      <w:r>
        <w:rPr>
          <w:rFonts w:ascii="Calibri" w:cs="Calibri" w:eastAsia="Calibri" w:hAnsi="Calibri"/>
          <w:b/>
          <w:bCs/>
          <w:color w:val="333A45"/>
          <w:sz w:val="21"/>
          <w:szCs w:val="21"/>
        </w:rPr>
        <w:t xml:space="preserve">Algorithm Recommendation Provisions</w:t>
      </w:r>
      <w:r>
        <w:rPr>
          <w:rFonts w:ascii="Calibri" w:cs="Calibri" w:eastAsia="Calibri" w:hAnsi="Calibri"/>
          <w:color w:val="333A45"/>
          <w:sz w:val="21"/>
          <w:szCs w:val="21"/>
        </w:rPr>
        <w:t xml:space="preserve"> (互联网信息服务算法推荐管理规定), CAC/MIIT/MPS/SAMR Order No. 9, in force 1 March 2022, 35 articles.</w:t>
      </w:r>
    </w:p>
    <w:p>
      <w:pPr>
        <w:pStyle w:val="ListParagraph"/>
        <w:numPr>
          <w:ilvl w:val="0"/>
          <w:numId w:val="2"/>
        </w:numPr>
        <w:spacing w:after="70"/>
      </w:pPr>
      <w:r>
        <w:rPr>
          <w:rFonts w:ascii="Calibri" w:cs="Calibri" w:eastAsia="Calibri" w:hAnsi="Calibri"/>
          <w:b/>
          <w:bCs/>
          <w:color w:val="333A45"/>
          <w:sz w:val="21"/>
          <w:szCs w:val="21"/>
        </w:rPr>
        <w:t xml:space="preserve">Deep Synthesis Provisions</w:t>
      </w:r>
      <w:r>
        <w:rPr>
          <w:rFonts w:ascii="Calibri" w:cs="Calibri" w:eastAsia="Calibri" w:hAnsi="Calibri"/>
          <w:color w:val="333A45"/>
          <w:sz w:val="21"/>
          <w:szCs w:val="21"/>
        </w:rPr>
        <w:t xml:space="preserve"> (互联网信息服务深度合成管理规定), CAC/MIIT/MPS Order No. 12, in force 10 January 2023, 25 articles.</w:t>
      </w:r>
    </w:p>
    <w:p>
      <w:pPr>
        <w:pStyle w:val="ListParagraph"/>
        <w:numPr>
          <w:ilvl w:val="0"/>
          <w:numId w:val="2"/>
        </w:numPr>
        <w:spacing w:after="70"/>
      </w:pPr>
      <w:r>
        <w:rPr>
          <w:rFonts w:ascii="Calibri" w:cs="Calibri" w:eastAsia="Calibri" w:hAnsi="Calibri"/>
          <w:b/>
          <w:bCs/>
          <w:color w:val="333A45"/>
          <w:sz w:val="21"/>
          <w:szCs w:val="21"/>
        </w:rPr>
        <w:t xml:space="preserve">Generative AI Interim Measures</w:t>
      </w:r>
      <w:r>
        <w:rPr>
          <w:rFonts w:ascii="Calibri" w:cs="Calibri" w:eastAsia="Calibri" w:hAnsi="Calibri"/>
          <w:color w:val="333A45"/>
          <w:sz w:val="21"/>
          <w:szCs w:val="21"/>
        </w:rPr>
        <w:t xml:space="preserve"> (生成式人工智能服务管理暂行办法), seven-department Order No. 15, in force 15 August 2023, 24 articles.</w:t>
      </w:r>
    </w:p>
    <w:p>
      <w:pPr>
        <w:pStyle w:val="ListParagraph"/>
        <w:numPr>
          <w:ilvl w:val="0"/>
          <w:numId w:val="2"/>
        </w:numPr>
        <w:spacing w:after="70"/>
      </w:pPr>
      <w:r>
        <w:rPr>
          <w:rFonts w:ascii="Calibri" w:cs="Calibri" w:eastAsia="Calibri" w:hAnsi="Calibri"/>
          <w:b/>
          <w:bCs/>
          <w:color w:val="333A45"/>
          <w:sz w:val="21"/>
          <w:szCs w:val="21"/>
        </w:rPr>
        <w:t xml:space="preserve">Cross-border Data Flow Provisions</w:t>
      </w:r>
      <w:r>
        <w:rPr>
          <w:rFonts w:ascii="Calibri" w:cs="Calibri" w:eastAsia="Calibri" w:hAnsi="Calibri"/>
          <w:color w:val="333A45"/>
          <w:sz w:val="21"/>
          <w:szCs w:val="21"/>
        </w:rPr>
        <w:t xml:space="preserve"> (促进和规范数据跨境流动规定), CAC Order No. 16, in force on publication 22 March 2024, 14 articles.</w:t>
      </w:r>
    </w:p>
    <w:p>
      <w:pPr>
        <w:pStyle w:val="ListParagraph"/>
        <w:numPr>
          <w:ilvl w:val="0"/>
          <w:numId w:val="2"/>
        </w:numPr>
        <w:spacing w:after="70"/>
      </w:pPr>
      <w:r>
        <w:rPr>
          <w:rFonts w:ascii="Calibri" w:cs="Calibri" w:eastAsia="Calibri" w:hAnsi="Calibri"/>
          <w:b/>
          <w:bCs/>
          <w:color w:val="333A45"/>
          <w:sz w:val="21"/>
          <w:szCs w:val="21"/>
        </w:rPr>
        <w:t xml:space="preserve">AI-Generated Content Labelling Measures</w:t>
      </w:r>
      <w:r>
        <w:rPr>
          <w:rFonts w:ascii="Calibri" w:cs="Calibri" w:eastAsia="Calibri" w:hAnsi="Calibri"/>
          <w:color w:val="333A45"/>
          <w:sz w:val="21"/>
          <w:szCs w:val="21"/>
        </w:rPr>
        <w:t xml:space="preserve"> (人工智能生成合成内容标识办法), issued by notice Guo Xin Ban Tong Zi [2025] No. 2 of 7 March 2025, in force 1 September 2025, 14 articles.</w:t>
      </w:r>
    </w:p>
    <w:p>
      <w:pPr>
        <w:pStyle w:val="ListParagraph"/>
        <w:numPr>
          <w:ilvl w:val="0"/>
          <w:numId w:val="2"/>
        </w:numPr>
        <w:spacing w:after="70"/>
      </w:pPr>
      <w:r>
        <w:rPr>
          <w:rFonts w:ascii="Calibri" w:cs="Calibri" w:eastAsia="Calibri" w:hAnsi="Calibri"/>
          <w:b/>
          <w:bCs/>
          <w:color w:val="333A45"/>
          <w:sz w:val="21"/>
          <w:szCs w:val="21"/>
        </w:rPr>
        <w:t xml:space="preserve">Anthropomorphic Interaction Interim Measures</w:t>
      </w:r>
      <w:r>
        <w:rPr>
          <w:rFonts w:ascii="Calibri" w:cs="Calibri" w:eastAsia="Calibri" w:hAnsi="Calibri"/>
          <w:color w:val="333A45"/>
          <w:sz w:val="21"/>
          <w:szCs w:val="21"/>
        </w:rPr>
        <w:t xml:space="preserve"> (人工智能拟人化互动服务管理暂行办法), five-department Order No. 21, adopted 2 February 2026, published 10 April 2026, </w:t>
      </w:r>
      <w:r>
        <w:rPr>
          <w:rFonts w:ascii="Calibri" w:cs="Calibri" w:eastAsia="Calibri" w:hAnsi="Calibri"/>
          <w:b/>
          <w:bCs/>
          <w:color w:val="333A45"/>
          <w:sz w:val="21"/>
          <w:szCs w:val="21"/>
        </w:rPr>
        <w:t xml:space="preserve">in force 15 July 2026</w:t>
      </w:r>
      <w:r>
        <w:rPr>
          <w:rFonts w:ascii="Calibri" w:cs="Calibri" w:eastAsia="Calibri" w:hAnsi="Calibri"/>
          <w:color w:val="333A45"/>
          <w:sz w:val="21"/>
          <w:szCs w:val="21"/>
        </w:rPr>
        <w:t xml:space="preserve">, 32 articles - the newest AI instrument in this series.</w:t>
      </w:r>
    </w:p>
    <w:p>
      <w:pPr>
        <w:keepNext/>
        <w:pBdr>
          <w:bottom w:val="single" w:color="9DB9E8" w:sz="4" w:space="3"/>
        </w:pBdr>
        <w:spacing w:after="100" w:before="260"/>
      </w:pPr>
      <w:r>
        <w:rPr>
          <w:rFonts w:ascii="Calibri" w:cs="Calibri" w:eastAsia="Calibri" w:hAnsi="Calibri"/>
          <w:b/>
          <w:bCs/>
          <w:color w:val="2E5AAC"/>
          <w:sz w:val="26"/>
          <w:szCs w:val="26"/>
        </w:rPr>
        <w:t xml:space="preserve">2. The structural finding - a layered regime routed by service type</w:t>
      </w:r>
    </w:p>
    <w:p>
      <w:pPr>
        <w:spacing w:after="110"/>
      </w:pPr>
      <w:r>
        <w:rPr>
          <w:rFonts w:ascii="Calibri" w:cs="Calibri" w:eastAsia="Calibri" w:hAnsi="Calibri"/>
          <w:color w:val="333A45"/>
          <w:sz w:val="21"/>
          <w:szCs w:val="21"/>
        </w:rPr>
        <w:t xml:space="preserve">China regulates AI by regulating service types, in the order the technology arrived: recommendation algorithms (2022), deep synthesis (2023), generative AI (2023), labelling (2025), anthropomorphic interaction (2026) - all resting on the pillar laws and the 2025 data regulations. The instruments cross-reference each other deliberately: the generative AI measures route labelling through the deep synthesis provisions (GenAI Art 12) and filing through the algorithm provisions (GenAI Art 17); the labelling measures implement deep synthesis Arts 16 and 17 (Label Arts 4-5); the anthropomorphic measures route filing the same way (Anthro Art 26). No single instrument states a complete duty - the policy therefore routes every tool through service-type determinations rather than through any one instrument.</w:t>
      </w:r>
    </w:p>
    <w:p>
      <w:pPr>
        <w:keepNext/>
        <w:pBdr>
          <w:bottom w:val="single" w:color="9DB9E8" w:sz="4" w:space="3"/>
        </w:pBdr>
        <w:spacing w:after="100" w:before="260"/>
      </w:pPr>
      <w:r>
        <w:rPr>
          <w:rFonts w:ascii="Calibri" w:cs="Calibri" w:eastAsia="Calibri" w:hAnsi="Calibri"/>
          <w:b/>
          <w:bCs/>
          <w:color w:val="2E5AAC"/>
          <w:sz w:val="26"/>
          <w:szCs w:val="26"/>
        </w:rPr>
        <w:t xml:space="preserve">3. Clause-by-clause basis</w:t>
      </w:r>
    </w:p>
    <w:p>
      <w:pPr>
        <w:keepNext/>
        <w:spacing w:after="80" w:before="200"/>
      </w:pPr>
      <w:r>
        <w:rPr>
          <w:rFonts w:ascii="Calibri" w:cs="Calibri" w:eastAsia="Calibri" w:hAnsi="Calibri"/>
          <w:b/>
          <w:bCs/>
          <w:color w:val="1F3864"/>
          <w:sz w:val="22"/>
          <w:szCs w:val="22"/>
        </w:rPr>
        <w:t xml:space="preserve">3.1 Policy</w:t>
      </w:r>
    </w:p>
    <w:p>
      <w:pPr>
        <w:pStyle w:val="ListParagraph"/>
        <w:numPr>
          <w:ilvl w:val="0"/>
          <w:numId w:val="2"/>
        </w:numPr>
        <w:spacing w:after="70"/>
      </w:pPr>
      <w:r>
        <w:rPr>
          <w:rFonts w:ascii="Calibri" w:cs="Calibri" w:eastAsia="Calibri" w:hAnsi="Calibri"/>
          <w:b/>
          <w:bCs/>
          <w:color w:val="333A45"/>
          <w:sz w:val="21"/>
          <w:szCs w:val="21"/>
        </w:rPr>
        <w:t xml:space="preserve">1.1 layered regime</w:t>
      </w:r>
      <w:r>
        <w:rPr>
          <w:rFonts w:ascii="Calibri" w:cs="Calibri" w:eastAsia="Calibri" w:hAnsi="Calibri"/>
          <w:color w:val="333A45"/>
          <w:sz w:val="21"/>
          <w:szCs w:val="21"/>
        </w:rPr>
        <w:t xml:space="preserve"> - the instrument list at section 1; the cross-references cited at section 2.</w:t>
      </w:r>
    </w:p>
    <w:p>
      <w:pPr>
        <w:pStyle w:val="ListParagraph"/>
        <w:numPr>
          <w:ilvl w:val="0"/>
          <w:numId w:val="2"/>
        </w:numPr>
        <w:spacing w:after="70"/>
      </w:pPr>
      <w:r>
        <w:rPr>
          <w:rFonts w:ascii="Calibri" w:cs="Calibri" w:eastAsia="Calibri" w:hAnsi="Calibri"/>
          <w:b/>
          <w:bCs/>
          <w:color w:val="333A45"/>
          <w:sz w:val="21"/>
          <w:szCs w:val="21"/>
        </w:rPr>
        <w:t xml:space="preserve">1.2 public-facing line</w:t>
      </w:r>
      <w:r>
        <w:rPr>
          <w:rFonts w:ascii="Calibri" w:cs="Calibri" w:eastAsia="Calibri" w:hAnsi="Calibri"/>
          <w:color w:val="333A45"/>
          <w:sz w:val="21"/>
          <w:szCs w:val="21"/>
        </w:rPr>
        <w:t xml:space="preserve"> - GenAI Art 2: the measures apply to generative services provided to the public within China (para 1); organisations researching, developing, and applying the technology </w:t>
      </w:r>
      <w:r>
        <w:rPr>
          <w:rFonts w:ascii="Calibri" w:cs="Calibri" w:eastAsia="Calibri" w:hAnsi="Calibri"/>
          <w:b/>
          <w:bCs/>
          <w:color w:val="333A45"/>
          <w:sz w:val="21"/>
          <w:szCs w:val="21"/>
        </w:rPr>
        <w:t xml:space="preserve">without providing services to the domestic public are outside the measures</w:t>
      </w:r>
      <w:r>
        <w:rPr>
          <w:rFonts w:ascii="Calibri" w:cs="Calibri" w:eastAsia="Calibri" w:hAnsi="Calibri"/>
          <w:color w:val="333A45"/>
          <w:sz w:val="21"/>
          <w:szCs w:val="21"/>
        </w:rPr>
        <w:t xml:space="preserve"> (para 3).</w:t>
      </w:r>
    </w:p>
    <w:p>
      <w:pPr>
        <w:pStyle w:val="ListParagraph"/>
        <w:numPr>
          <w:ilvl w:val="0"/>
          <w:numId w:val="2"/>
        </w:numPr>
        <w:spacing w:after="70"/>
      </w:pPr>
      <w:r>
        <w:rPr>
          <w:rFonts w:ascii="Calibri" w:cs="Calibri" w:eastAsia="Calibri" w:hAnsi="Calibri"/>
          <w:b/>
          <w:bCs/>
          <w:color w:val="333A45"/>
          <w:sz w:val="21"/>
          <w:szCs w:val="21"/>
        </w:rPr>
        <w:t xml:space="preserve">1.3 labelling</w:t>
      </w:r>
      <w:r>
        <w:rPr>
          <w:rFonts w:ascii="Calibri" w:cs="Calibri" w:eastAsia="Calibri" w:hAnsi="Calibri"/>
          <w:color w:val="333A45"/>
          <w:sz w:val="21"/>
          <w:szCs w:val="21"/>
        </w:rPr>
        <w:t xml:space="preserve"> - Label Arts 3 (explicit and implicit labels defined), 10 (no malicious deletion, alteration, forgery, or concealment; no tools or help for it); DeepSynth Art 18 (same prohibition for synthesis labels); Label Art 11 (mandatory national standards apply).</w:t>
      </w:r>
    </w:p>
    <w:p>
      <w:pPr>
        <w:pStyle w:val="ListParagraph"/>
        <w:numPr>
          <w:ilvl w:val="0"/>
          <w:numId w:val="2"/>
        </w:numPr>
        <w:spacing w:after="70"/>
      </w:pPr>
      <w:r>
        <w:rPr>
          <w:rFonts w:ascii="Calibri" w:cs="Calibri" w:eastAsia="Calibri" w:hAnsi="Calibri"/>
          <w:b/>
          <w:bCs/>
          <w:color w:val="333A45"/>
          <w:sz w:val="21"/>
          <w:szCs w:val="21"/>
        </w:rPr>
        <w:t xml:space="preserve">2.1 scope</w:t>
      </w:r>
      <w:r>
        <w:rPr>
          <w:rFonts w:ascii="Calibri" w:cs="Calibri" w:eastAsia="Calibri" w:hAnsi="Calibri"/>
          <w:color w:val="333A45"/>
          <w:sz w:val="21"/>
          <w:szCs w:val="21"/>
        </w:rPr>
        <w:t xml:space="preserve"> - PIPL Art 3 (territorial and extraterritorial scope: providing products or services to persons in China, or analysing their behaviour); DSL Art 2; CSL Art 2; NetData Regs Art 2.</w:t>
      </w:r>
    </w:p>
    <w:p>
      <w:pPr>
        <w:pStyle w:val="ListParagraph"/>
        <w:numPr>
          <w:ilvl w:val="0"/>
          <w:numId w:val="2"/>
        </w:numPr>
        <w:spacing w:after="70"/>
      </w:pPr>
      <w:r>
        <w:rPr>
          <w:rFonts w:ascii="Calibri" w:cs="Calibri" w:eastAsia="Calibri" w:hAnsi="Calibri"/>
          <w:b/>
          <w:bCs/>
          <w:color w:val="333A45"/>
          <w:sz w:val="21"/>
          <w:szCs w:val="21"/>
        </w:rPr>
        <w:t xml:space="preserve">3.1 baseline</w:t>
      </w:r>
      <w:r>
        <w:rPr>
          <w:rFonts w:ascii="Calibri" w:cs="Calibri" w:eastAsia="Calibri" w:hAnsi="Calibri"/>
          <w:color w:val="333A45"/>
          <w:sz w:val="21"/>
          <w:szCs w:val="21"/>
        </w:rPr>
        <w:t xml:space="preserve"> - CSL Arts 10-13 (operator duties, prohibited content at Art 13 para 2); DSL Arts 8, 27, 32; PIPL throughout; NetData Regs Arts 8-9.</w:t>
      </w:r>
    </w:p>
    <w:p>
      <w:pPr>
        <w:pStyle w:val="ListParagraph"/>
        <w:numPr>
          <w:ilvl w:val="0"/>
          <w:numId w:val="2"/>
        </w:numPr>
        <w:spacing w:after="70"/>
      </w:pPr>
      <w:r>
        <w:rPr>
          <w:rFonts w:ascii="Calibri" w:cs="Calibri" w:eastAsia="Calibri" w:hAnsi="Calibri"/>
          <w:b/>
          <w:bCs/>
          <w:color w:val="333A45"/>
          <w:sz w:val="21"/>
          <w:szCs w:val="21"/>
        </w:rPr>
        <w:t xml:space="preserve">3.2 recommendation</w:t>
      </w:r>
      <w:r>
        <w:rPr>
          <w:rFonts w:ascii="Calibri" w:cs="Calibri" w:eastAsia="Calibri" w:hAnsi="Calibri"/>
          <w:color w:val="333A45"/>
          <w:sz w:val="21"/>
          <w:szCs w:val="21"/>
        </w:rPr>
        <w:t xml:space="preserve"> - AlgoRec Art 2 (five algorithm classes: generation and synthesis, personalised push, ranking and selection, retrieval and filtering, scheduling and decision-making), Arts 16-17 (disclosure; opt-out, off-switch, tag deletion, explanation for major impacts), Arts 18-21 (minors, older people, workers, consumers).</w:t>
      </w:r>
    </w:p>
    <w:p>
      <w:pPr>
        <w:pStyle w:val="ListParagraph"/>
        <w:numPr>
          <w:ilvl w:val="0"/>
          <w:numId w:val="2"/>
        </w:numPr>
        <w:spacing w:after="70"/>
      </w:pPr>
      <w:r>
        <w:rPr>
          <w:rFonts w:ascii="Calibri" w:cs="Calibri" w:eastAsia="Calibri" w:hAnsi="Calibri"/>
          <w:b/>
          <w:bCs/>
          <w:color w:val="333A45"/>
          <w:sz w:val="21"/>
          <w:szCs w:val="21"/>
        </w:rPr>
        <w:t xml:space="preserve">3.3 deep synthesis</w:t>
      </w:r>
      <w:r>
        <w:rPr>
          <w:rFonts w:ascii="Calibri" w:cs="Calibri" w:eastAsia="Calibri" w:hAnsi="Calibri"/>
          <w:color w:val="333A45"/>
          <w:sz w:val="21"/>
          <w:szCs w:val="21"/>
        </w:rPr>
        <w:t xml:space="preserve"> - DeepSynth Art 23 (definitions), Art 9 (real-identity verification), Art 10 (content review), Art 14 para 2 (biometric editing: prompt the user to inform and obtain the </w:t>
      </w:r>
      <w:r>
        <w:rPr>
          <w:rFonts w:ascii="Calibri" w:cs="Calibri" w:eastAsia="Calibri" w:hAnsi="Calibri"/>
          <w:b/>
          <w:bCs/>
          <w:color w:val="333A45"/>
          <w:sz w:val="21"/>
          <w:szCs w:val="21"/>
        </w:rPr>
        <w:t xml:space="preserve">separate consent</w:t>
      </w:r>
      <w:r>
        <w:rPr>
          <w:rFonts w:ascii="Calibri" w:cs="Calibri" w:eastAsia="Calibri" w:hAnsi="Calibri"/>
          <w:color w:val="333A45"/>
          <w:sz w:val="21"/>
          <w:szCs w:val="21"/>
        </w:rPr>
        <w:t xml:space="preserve"> of the person edited).</w:t>
      </w:r>
    </w:p>
    <w:p>
      <w:pPr>
        <w:pStyle w:val="ListParagraph"/>
        <w:numPr>
          <w:ilvl w:val="0"/>
          <w:numId w:val="2"/>
        </w:numPr>
        <w:spacing w:after="70"/>
      </w:pPr>
      <w:r>
        <w:rPr>
          <w:rFonts w:ascii="Calibri" w:cs="Calibri" w:eastAsia="Calibri" w:hAnsi="Calibri"/>
          <w:b/>
          <w:bCs/>
          <w:color w:val="333A45"/>
          <w:sz w:val="21"/>
          <w:szCs w:val="21"/>
        </w:rPr>
        <w:t xml:space="preserve">3.4 generative AI</w:t>
      </w:r>
      <w:r>
        <w:rPr>
          <w:rFonts w:ascii="Calibri" w:cs="Calibri" w:eastAsia="Calibri" w:hAnsi="Calibri"/>
          <w:color w:val="333A45"/>
          <w:sz w:val="21"/>
          <w:szCs w:val="21"/>
        </w:rPr>
        <w:t xml:space="preserve"> - GenAI Arts 4, 7, 9-15, 17.</w:t>
      </w:r>
    </w:p>
    <w:p>
      <w:pPr>
        <w:pStyle w:val="ListParagraph"/>
        <w:numPr>
          <w:ilvl w:val="0"/>
          <w:numId w:val="2"/>
        </w:numPr>
        <w:spacing w:after="70"/>
      </w:pPr>
      <w:r>
        <w:rPr>
          <w:rFonts w:ascii="Calibri" w:cs="Calibri" w:eastAsia="Calibri" w:hAnsi="Calibri"/>
          <w:b/>
          <w:bCs/>
          <w:color w:val="333A45"/>
          <w:sz w:val="21"/>
          <w:szCs w:val="21"/>
        </w:rPr>
        <w:t xml:space="preserve">3.5 anthropomorphic</w:t>
      </w:r>
      <w:r>
        <w:rPr>
          <w:rFonts w:ascii="Calibri" w:cs="Calibri" w:eastAsia="Calibri" w:hAnsi="Calibri"/>
          <w:color w:val="333A45"/>
          <w:sz w:val="21"/>
          <w:szCs w:val="21"/>
        </w:rPr>
        <w:t xml:space="preserve"> - Anthro Art 2 (continuous emotional interaction services simulating a natural person's personality, thinking, and communication style; customer service, knowledge Q&amp;A, work assistance, education, and research without continuous emotional interaction excluded).</w:t>
      </w:r>
    </w:p>
    <w:p>
      <w:pPr>
        <w:pStyle w:val="ListParagraph"/>
        <w:numPr>
          <w:ilvl w:val="0"/>
          <w:numId w:val="2"/>
        </w:numPr>
        <w:spacing w:after="70"/>
      </w:pPr>
      <w:r>
        <w:rPr>
          <w:rFonts w:ascii="Calibri" w:cs="Calibri" w:eastAsia="Calibri" w:hAnsi="Calibri"/>
          <w:b/>
          <w:bCs/>
          <w:color w:val="333A45"/>
          <w:sz w:val="21"/>
          <w:szCs w:val="21"/>
        </w:rPr>
        <w:t xml:space="preserve">3.6 cross-border</w:t>
      </w:r>
      <w:r>
        <w:rPr>
          <w:rFonts w:ascii="Calibri" w:cs="Calibri" w:eastAsia="Calibri" w:hAnsi="Calibri"/>
          <w:color w:val="333A45"/>
          <w:sz w:val="21"/>
          <w:szCs w:val="21"/>
        </w:rPr>
        <w:t xml:space="preserve"> - policy Section 10 sources below.</w:t>
      </w:r>
    </w:p>
    <w:p>
      <w:pPr>
        <w:pStyle w:val="ListParagraph"/>
        <w:numPr>
          <w:ilvl w:val="0"/>
          <w:numId w:val="2"/>
        </w:numPr>
        <w:spacing w:after="70"/>
      </w:pPr>
      <w:r>
        <w:rPr>
          <w:rFonts w:ascii="Calibri" w:cs="Calibri" w:eastAsia="Calibri" w:hAnsi="Calibri"/>
          <w:b/>
          <w:bCs/>
          <w:color w:val="333A45"/>
          <w:sz w:val="21"/>
          <w:szCs w:val="21"/>
        </w:rPr>
        <w:t xml:space="preserve">4 determinations</w:t>
      </w:r>
      <w:r>
        <w:rPr>
          <w:rFonts w:ascii="Calibri" w:cs="Calibri" w:eastAsia="Calibri" w:hAnsi="Calibri"/>
          <w:color w:val="333A45"/>
          <w:sz w:val="21"/>
          <w:szCs w:val="21"/>
        </w:rPr>
        <w:t xml:space="preserve"> - the scoping provisions above; the design mirrors the series convention of recording regime membership per tool.</w:t>
      </w:r>
    </w:p>
    <w:p>
      <w:pPr>
        <w:pStyle w:val="ListParagraph"/>
        <w:numPr>
          <w:ilvl w:val="0"/>
          <w:numId w:val="2"/>
        </w:numPr>
        <w:spacing w:after="70"/>
      </w:pPr>
      <w:r>
        <w:rPr>
          <w:rFonts w:ascii="Calibri" w:cs="Calibri" w:eastAsia="Calibri" w:hAnsi="Calibri"/>
          <w:b/>
          <w:bCs/>
          <w:color w:val="333A45"/>
          <w:sz w:val="21"/>
          <w:szCs w:val="21"/>
        </w:rPr>
        <w:t xml:space="preserve">6 levels</w:t>
      </w:r>
      <w:r>
        <w:rPr>
          <w:rFonts w:ascii="Calibri" w:cs="Calibri" w:eastAsia="Calibri" w:hAnsi="Calibri"/>
          <w:color w:val="333A45"/>
          <w:sz w:val="21"/>
          <w:szCs w:val="21"/>
        </w:rPr>
        <w:t xml:space="preserve"> - anchored to statutory triggers: Level 2 = PIPL Arts 5-7, 13; Level 3 = PIPL Arts 28-32 (sensitive personal information: Art 28 definition including biometrics, religious belief, specific identity, medical health, financial accounts, location tracks, and all personal information of minors under fourteen; Art 29 separate consent; Art 31 guardian consent and dedicated rules), DSL Art 30 and NetData Regs Arts 29-33 (important data), PIPL Arts 38-40 (cross-border); Level 4 = PIPL Arts 24, 55 (automated decision-making and its prior impact assessment) and the public-service filings at annex A4.</w:t>
      </w:r>
    </w:p>
    <w:p>
      <w:pPr>
        <w:pStyle w:val="ListParagraph"/>
        <w:numPr>
          <w:ilvl w:val="0"/>
          <w:numId w:val="2"/>
        </w:numPr>
        <w:spacing w:after="70"/>
      </w:pPr>
      <w:r>
        <w:rPr>
          <w:rFonts w:ascii="Calibri" w:cs="Calibri" w:eastAsia="Calibri" w:hAnsi="Calibri"/>
          <w:b/>
          <w:bCs/>
          <w:color w:val="333A45"/>
          <w:sz w:val="21"/>
          <w:szCs w:val="21"/>
        </w:rPr>
        <w:t xml:space="preserve">7.1 prohibited content</w:t>
      </w:r>
      <w:r>
        <w:rPr>
          <w:rFonts w:ascii="Calibri" w:cs="Calibri" w:eastAsia="Calibri" w:hAnsi="Calibri"/>
          <w:color w:val="333A45"/>
          <w:sz w:val="21"/>
          <w:szCs w:val="21"/>
        </w:rPr>
        <w:t xml:space="preserve"> - GenAI Art 4(1); CSL Art 13 para 2; DeepSynth Art 6; Anthro Art 8(1).</w:t>
      </w:r>
    </w:p>
    <w:p>
      <w:pPr>
        <w:pStyle w:val="ListParagraph"/>
        <w:numPr>
          <w:ilvl w:val="0"/>
          <w:numId w:val="2"/>
        </w:numPr>
        <w:spacing w:after="70"/>
      </w:pPr>
      <w:r>
        <w:rPr>
          <w:rFonts w:ascii="Calibri" w:cs="Calibri" w:eastAsia="Calibri" w:hAnsi="Calibri"/>
          <w:b/>
          <w:bCs/>
          <w:color w:val="333A45"/>
          <w:sz w:val="21"/>
          <w:szCs w:val="21"/>
        </w:rPr>
        <w:t xml:space="preserve">7.2 fake news, impersonation, biometrics</w:t>
      </w:r>
      <w:r>
        <w:rPr>
          <w:rFonts w:ascii="Calibri" w:cs="Calibri" w:eastAsia="Calibri" w:hAnsi="Calibri"/>
          <w:color w:val="333A45"/>
          <w:sz w:val="21"/>
          <w:szCs w:val="21"/>
        </w:rPr>
        <w:t xml:space="preserve"> - DeepSynth Art 6 para 2 (no fake news from synthesis; republication only from approved sources), Art 14 para 2; AlgoRec Art 13 (no generating fake news; licensed news services).</w:t>
      </w:r>
    </w:p>
    <w:p>
      <w:pPr>
        <w:pStyle w:val="ListParagraph"/>
        <w:numPr>
          <w:ilvl w:val="0"/>
          <w:numId w:val="2"/>
        </w:numPr>
        <w:spacing w:after="70"/>
      </w:pPr>
      <w:r>
        <w:rPr>
          <w:rFonts w:ascii="Calibri" w:cs="Calibri" w:eastAsia="Calibri" w:hAnsi="Calibri"/>
          <w:b/>
          <w:bCs/>
          <w:color w:val="333A45"/>
          <w:sz w:val="21"/>
          <w:szCs w:val="21"/>
        </w:rPr>
        <w:t xml:space="preserve">7.3 label integrity</w:t>
      </w:r>
      <w:r>
        <w:rPr>
          <w:rFonts w:ascii="Calibri" w:cs="Calibri" w:eastAsia="Calibri" w:hAnsi="Calibri"/>
          <w:color w:val="333A45"/>
          <w:sz w:val="21"/>
          <w:szCs w:val="21"/>
        </w:rPr>
        <w:t xml:space="preserve"> - Label Art 10; DeepSynth Art 18.</w:t>
      </w:r>
    </w:p>
    <w:p>
      <w:pPr>
        <w:pStyle w:val="ListParagraph"/>
        <w:numPr>
          <w:ilvl w:val="0"/>
          <w:numId w:val="2"/>
        </w:numPr>
        <w:spacing w:after="70"/>
      </w:pPr>
      <w:r>
        <w:rPr>
          <w:rFonts w:ascii="Calibri" w:cs="Calibri" w:eastAsia="Calibri" w:hAnsi="Calibri"/>
          <w:b/>
          <w:bCs/>
          <w:color w:val="333A45"/>
          <w:sz w:val="21"/>
          <w:szCs w:val="21"/>
        </w:rPr>
        <w:t xml:space="preserve">7.4 secrets</w:t>
      </w:r>
      <w:r>
        <w:rPr>
          <w:rFonts w:ascii="Calibri" w:cs="Calibri" w:eastAsia="Calibri" w:hAnsi="Calibri"/>
          <w:color w:val="333A45"/>
          <w:sz w:val="21"/>
          <w:szCs w:val="21"/>
        </w:rPr>
        <w:t xml:space="preserve"> - DSL Art 53 (state secrets regime applies); NetData Regs Art 63 (state and work secrets); export-controlled data DSL Art 25.</w:t>
      </w:r>
    </w:p>
    <w:p>
      <w:pPr>
        <w:pStyle w:val="ListParagraph"/>
        <w:numPr>
          <w:ilvl w:val="0"/>
          <w:numId w:val="2"/>
        </w:numPr>
        <w:spacing w:after="70"/>
      </w:pPr>
      <w:r>
        <w:rPr>
          <w:rFonts w:ascii="Calibri" w:cs="Calibri" w:eastAsia="Calibri" w:hAnsi="Calibri"/>
          <w:b/>
          <w:bCs/>
          <w:color w:val="333A45"/>
          <w:sz w:val="21"/>
          <w:szCs w:val="21"/>
        </w:rPr>
        <w:t xml:space="preserve">7.5 illegal collection</w:t>
      </w:r>
      <w:r>
        <w:rPr>
          <w:rFonts w:ascii="Calibri" w:cs="Calibri" w:eastAsia="Calibri" w:hAnsi="Calibri"/>
          <w:color w:val="333A45"/>
          <w:sz w:val="21"/>
          <w:szCs w:val="21"/>
        </w:rPr>
        <w:t xml:space="preserve"> - NetData Regs Art 18 (automated collection tools: assess service impact, no illegal intrusion, no interference with normal operation), Art 8 (no theft or other illegal acquisition); CSL Art 29; PIPL Art 10.</w:t>
      </w:r>
    </w:p>
    <w:p>
      <w:pPr>
        <w:pStyle w:val="ListParagraph"/>
        <w:numPr>
          <w:ilvl w:val="0"/>
          <w:numId w:val="2"/>
        </w:numPr>
        <w:spacing w:after="70"/>
      </w:pPr>
      <w:r>
        <w:rPr>
          <w:rFonts w:ascii="Calibri" w:cs="Calibri" w:eastAsia="Calibri" w:hAnsi="Calibri"/>
          <w:b/>
          <w:bCs/>
          <w:color w:val="333A45"/>
          <w:sz w:val="21"/>
          <w:szCs w:val="21"/>
        </w:rPr>
        <w:t xml:space="preserve">7.6 differential treatment and addiction</w:t>
      </w:r>
      <w:r>
        <w:rPr>
          <w:rFonts w:ascii="Calibri" w:cs="Calibri" w:eastAsia="Calibri" w:hAnsi="Calibri"/>
          <w:color w:val="333A45"/>
          <w:sz w:val="21"/>
          <w:szCs w:val="21"/>
        </w:rPr>
        <w:t xml:space="preserve"> - PIPL Art 24 para 1 (no unreasonable differential treatment in transaction terms); AlgoRec Art 21 (no differential pricing on preferences or habits), Art 8 (no models inducing addiction or excessive consumption); NetData Regs Art 46(3) (large platforms: no unreasonable differential treatment).</w:t>
      </w:r>
    </w:p>
    <w:p>
      <w:pPr>
        <w:pStyle w:val="ListParagraph"/>
        <w:numPr>
          <w:ilvl w:val="0"/>
          <w:numId w:val="2"/>
        </w:numPr>
        <w:spacing w:after="70"/>
      </w:pPr>
      <w:r>
        <w:rPr>
          <w:rFonts w:ascii="Calibri" w:cs="Calibri" w:eastAsia="Calibri" w:hAnsi="Calibri"/>
          <w:b/>
          <w:bCs/>
          <w:color w:val="333A45"/>
          <w:sz w:val="21"/>
          <w:szCs w:val="21"/>
        </w:rPr>
        <w:t xml:space="preserve">7.7 solely automated decisions</w:t>
      </w:r>
      <w:r>
        <w:rPr>
          <w:rFonts w:ascii="Calibri" w:cs="Calibri" w:eastAsia="Calibri" w:hAnsi="Calibri"/>
          <w:color w:val="333A45"/>
          <w:sz w:val="21"/>
          <w:szCs w:val="21"/>
        </w:rPr>
        <w:t xml:space="preserve"> - PIPL Art 24 para 3 (right to an explanation and the right to refuse a decision made solely by automated means with a major impact).</w:t>
      </w:r>
    </w:p>
    <w:p>
      <w:pPr>
        <w:pStyle w:val="ListParagraph"/>
        <w:numPr>
          <w:ilvl w:val="0"/>
          <w:numId w:val="2"/>
        </w:numPr>
        <w:spacing w:after="70"/>
      </w:pPr>
      <w:r>
        <w:rPr>
          <w:rFonts w:ascii="Calibri" w:cs="Calibri" w:eastAsia="Calibri" w:hAnsi="Calibri"/>
          <w:b/>
          <w:bCs/>
          <w:color w:val="333A45"/>
          <w:sz w:val="21"/>
          <w:szCs w:val="21"/>
        </w:rPr>
        <w:t xml:space="preserve">7.8 foreign authorities</w:t>
      </w:r>
      <w:r>
        <w:rPr>
          <w:rFonts w:ascii="Calibri" w:cs="Calibri" w:eastAsia="Calibri" w:hAnsi="Calibri"/>
          <w:color w:val="333A45"/>
          <w:sz w:val="21"/>
          <w:szCs w:val="21"/>
        </w:rPr>
        <w:t xml:space="preserve"> - PIPL Art 41 and DSL Art 36: data stored in China is not provided to foreign judicial or law enforcement authorities without the approval of the competent PRC authority. The policy applies this to AI-vendor legal-process responses, the same exposure recorded in the Saudi set (Implementing Regulation Art 17(1)(e)).</w:t>
      </w:r>
    </w:p>
    <w:p>
      <w:pPr>
        <w:pStyle w:val="ListParagraph"/>
        <w:numPr>
          <w:ilvl w:val="0"/>
          <w:numId w:val="2"/>
        </w:numPr>
        <w:spacing w:after="70"/>
      </w:pPr>
      <w:r>
        <w:rPr>
          <w:rFonts w:ascii="Calibri" w:cs="Calibri" w:eastAsia="Calibri" w:hAnsi="Calibri"/>
          <w:b/>
          <w:bCs/>
          <w:color w:val="333A45"/>
          <w:sz w:val="21"/>
          <w:szCs w:val="21"/>
        </w:rPr>
        <w:t xml:space="preserve">7.9 minors and intimacy services</w:t>
      </w:r>
      <w:r>
        <w:rPr>
          <w:rFonts w:ascii="Calibri" w:cs="Calibri" w:eastAsia="Calibri" w:hAnsi="Calibri"/>
          <w:color w:val="333A45"/>
          <w:sz w:val="21"/>
          <w:szCs w:val="21"/>
        </w:rPr>
        <w:t xml:space="preserve"> - Anthro Art 14 para 1: no virtual relatives, virtual partners, or other virtual intimate-relationship services to minors; other anthropomorphic services to under-fourteens only with guardian consent.</w:t>
      </w:r>
    </w:p>
    <w:p>
      <w:pPr>
        <w:pStyle w:val="ListParagraph"/>
        <w:numPr>
          <w:ilvl w:val="0"/>
          <w:numId w:val="2"/>
        </w:numPr>
        <w:spacing w:after="70"/>
      </w:pPr>
      <w:r>
        <w:rPr>
          <w:rFonts w:ascii="Calibri" w:cs="Calibri" w:eastAsia="Calibri" w:hAnsi="Calibri"/>
          <w:b/>
          <w:bCs/>
          <w:color w:val="333A45"/>
          <w:sz w:val="21"/>
          <w:szCs w:val="21"/>
        </w:rPr>
        <w:t xml:space="preserve">8.1 lawful bases</w:t>
      </w:r>
      <w:r>
        <w:rPr>
          <w:rFonts w:ascii="Calibri" w:cs="Calibri" w:eastAsia="Calibri" w:hAnsi="Calibri"/>
          <w:color w:val="333A45"/>
          <w:sz w:val="21"/>
          <w:szCs w:val="21"/>
        </w:rPr>
        <w:t xml:space="preserve"> - PIPL Art 13 (consent; contract necessity; HR management necessity under lawfully adopted labour rules and collective contracts; legal duties; emergencies; news in the public interest; lawfully disclosed information; other statutory grounds), Arts 14-15 (informed, voluntary, explicit consent; withdrawal with a convenient route), Art 16 (no refusal of service for refusing consent unless necessary).</w:t>
      </w:r>
    </w:p>
    <w:p>
      <w:pPr>
        <w:pStyle w:val="ListParagraph"/>
        <w:numPr>
          <w:ilvl w:val="0"/>
          <w:numId w:val="2"/>
        </w:numPr>
        <w:spacing w:after="70"/>
      </w:pPr>
      <w:r>
        <w:rPr>
          <w:rFonts w:ascii="Calibri" w:cs="Calibri" w:eastAsia="Calibri" w:hAnsi="Calibri"/>
          <w:b/>
          <w:bCs/>
          <w:color w:val="333A45"/>
          <w:sz w:val="21"/>
          <w:szCs w:val="21"/>
        </w:rPr>
        <w:t xml:space="preserve">8.2 minimisation</w:t>
      </w:r>
      <w:r>
        <w:rPr>
          <w:rFonts w:ascii="Calibri" w:cs="Calibri" w:eastAsia="Calibri" w:hAnsi="Calibri"/>
          <w:color w:val="333A45"/>
          <w:sz w:val="21"/>
          <w:szCs w:val="21"/>
        </w:rPr>
        <w:t xml:space="preserve"> - PIPL Arts 6, 19; NetData Regs Art 22(1).</w:t>
      </w:r>
    </w:p>
    <w:p>
      <w:pPr>
        <w:pStyle w:val="ListParagraph"/>
        <w:numPr>
          <w:ilvl w:val="0"/>
          <w:numId w:val="2"/>
        </w:numPr>
        <w:spacing w:after="70"/>
      </w:pPr>
      <w:r>
        <w:rPr>
          <w:rFonts w:ascii="Calibri" w:cs="Calibri" w:eastAsia="Calibri" w:hAnsi="Calibri"/>
          <w:b/>
          <w:bCs/>
          <w:color w:val="333A45"/>
          <w:sz w:val="21"/>
          <w:szCs w:val="21"/>
        </w:rPr>
        <w:t xml:space="preserve">8.3 sensitive PI</w:t>
      </w:r>
      <w:r>
        <w:rPr>
          <w:rFonts w:ascii="Calibri" w:cs="Calibri" w:eastAsia="Calibri" w:hAnsi="Calibri"/>
          <w:color w:val="333A45"/>
          <w:sz w:val="21"/>
          <w:szCs w:val="21"/>
        </w:rPr>
        <w:t xml:space="preserve"> - PIPL Arts 28-32 as above; NetData Regs Art 22(2)-(3).</w:t>
      </w:r>
    </w:p>
    <w:p>
      <w:pPr>
        <w:pStyle w:val="ListParagraph"/>
        <w:numPr>
          <w:ilvl w:val="0"/>
          <w:numId w:val="2"/>
        </w:numPr>
        <w:spacing w:after="70"/>
      </w:pPr>
      <w:r>
        <w:rPr>
          <w:rFonts w:ascii="Calibri" w:cs="Calibri" w:eastAsia="Calibri" w:hAnsi="Calibri"/>
          <w:b/>
          <w:bCs/>
          <w:color w:val="333A45"/>
          <w:sz w:val="21"/>
          <w:szCs w:val="21"/>
        </w:rPr>
        <w:t xml:space="preserve">8.4 provision and entrustment</w:t>
      </w:r>
      <w:r>
        <w:rPr>
          <w:rFonts w:ascii="Calibri" w:cs="Calibri" w:eastAsia="Calibri" w:hAnsi="Calibri"/>
          <w:color w:val="333A45"/>
          <w:sz w:val="21"/>
          <w:szCs w:val="21"/>
        </w:rPr>
        <w:t xml:space="preserve"> - PIPL Arts 21, 23 (notice plus separate consent for provision to another processor); NetData Regs Art 12 (contract, supervision, and three-year records).</w:t>
      </w:r>
    </w:p>
    <w:p>
      <w:pPr>
        <w:pStyle w:val="ListParagraph"/>
        <w:numPr>
          <w:ilvl w:val="0"/>
          <w:numId w:val="2"/>
        </w:numPr>
        <w:spacing w:after="70"/>
      </w:pPr>
      <w:r>
        <w:rPr>
          <w:rFonts w:ascii="Calibri" w:cs="Calibri" w:eastAsia="Calibri" w:hAnsi="Calibri"/>
          <w:b/>
          <w:bCs/>
          <w:color w:val="333A45"/>
          <w:sz w:val="21"/>
          <w:szCs w:val="21"/>
        </w:rPr>
        <w:t xml:space="preserve">8.5 interaction data</w:t>
      </w:r>
      <w:r>
        <w:rPr>
          <w:rFonts w:ascii="Calibri" w:cs="Calibri" w:eastAsia="Calibri" w:hAnsi="Calibri"/>
          <w:color w:val="333A45"/>
          <w:sz w:val="21"/>
          <w:szCs w:val="21"/>
        </w:rPr>
        <w:t xml:space="preserve"> - Anthro Art 16 para 4: interaction data that is sensitive personal information is not used for model training without separate consent (statutory exceptions preserved).</w:t>
      </w:r>
    </w:p>
    <w:p>
      <w:pPr>
        <w:pStyle w:val="ListParagraph"/>
        <w:numPr>
          <w:ilvl w:val="0"/>
          <w:numId w:val="2"/>
        </w:numPr>
        <w:spacing w:after="70"/>
      </w:pPr>
      <w:r>
        <w:rPr>
          <w:rFonts w:ascii="Calibri" w:cs="Calibri" w:eastAsia="Calibri" w:hAnsi="Calibri"/>
          <w:b/>
          <w:bCs/>
          <w:color w:val="333A45"/>
          <w:sz w:val="21"/>
          <w:szCs w:val="21"/>
        </w:rPr>
        <w:t xml:space="preserve">9.1-9.2 impact assessments</w:t>
      </w:r>
      <w:r>
        <w:rPr>
          <w:rFonts w:ascii="Calibri" w:cs="Calibri" w:eastAsia="Calibri" w:hAnsi="Calibri"/>
          <w:color w:val="333A45"/>
          <w:sz w:val="21"/>
          <w:szCs w:val="21"/>
        </w:rPr>
        <w:t xml:space="preserve"> - PIPL Art 55 (triggers: sensitive personal information; </w:t>
      </w:r>
      <w:r>
        <w:rPr>
          <w:rFonts w:ascii="Calibri" w:cs="Calibri" w:eastAsia="Calibri" w:hAnsi="Calibri"/>
          <w:b/>
          <w:bCs/>
          <w:color w:val="333A45"/>
          <w:sz w:val="21"/>
          <w:szCs w:val="21"/>
        </w:rPr>
        <w:t xml:space="preserve">automated decision-making</w:t>
      </w:r>
      <w:r>
        <w:rPr>
          <w:rFonts w:ascii="Calibri" w:cs="Calibri" w:eastAsia="Calibri" w:hAnsi="Calibri"/>
          <w:color w:val="333A45"/>
          <w:sz w:val="21"/>
          <w:szCs w:val="21"/>
        </w:rPr>
        <w:t xml:space="preserve">; entrustment, provision to other processors, or publication; cross-border transfers; other processing with a major impact), Art 56 (contents; reports and records kept at least three years).</w:t>
      </w:r>
    </w:p>
    <w:p>
      <w:pPr>
        <w:pStyle w:val="ListParagraph"/>
        <w:numPr>
          <w:ilvl w:val="0"/>
          <w:numId w:val="2"/>
        </w:numPr>
        <w:spacing w:after="70"/>
      </w:pPr>
      <w:r>
        <w:rPr>
          <w:rFonts w:ascii="Calibri" w:cs="Calibri" w:eastAsia="Calibri" w:hAnsi="Calibri"/>
          <w:b/>
          <w:bCs/>
          <w:color w:val="333A45"/>
          <w:sz w:val="21"/>
          <w:szCs w:val="21"/>
        </w:rPr>
        <w:t xml:space="preserve">9.3 important data</w:t>
      </w:r>
      <w:r>
        <w:rPr>
          <w:rFonts w:ascii="Calibri" w:cs="Calibri" w:eastAsia="Calibri" w:hAnsi="Calibri"/>
          <w:color w:val="333A45"/>
          <w:sz w:val="21"/>
          <w:szCs w:val="21"/>
        </w:rPr>
        <w:t xml:space="preserve"> - NetData Regs Art 31 (prior risk assessment before providing or entrusting, with the evaluation heads), Art 33 (annual risk assessment reported to the competent authority, with the report contents); DSL Art 30.</w:t>
      </w:r>
    </w:p>
    <w:p>
      <w:pPr>
        <w:pStyle w:val="ListParagraph"/>
        <w:numPr>
          <w:ilvl w:val="0"/>
          <w:numId w:val="2"/>
        </w:numPr>
        <w:spacing w:after="70"/>
      </w:pPr>
      <w:r>
        <w:rPr>
          <w:rFonts w:ascii="Calibri" w:cs="Calibri" w:eastAsia="Calibri" w:hAnsi="Calibri"/>
          <w:b/>
          <w:bCs/>
          <w:color w:val="333A45"/>
          <w:sz w:val="21"/>
          <w:szCs w:val="21"/>
        </w:rPr>
        <w:t xml:space="preserve">10.1 prompts as transfers</w:t>
      </w:r>
      <w:r>
        <w:rPr>
          <w:rFonts w:ascii="Calibri" w:cs="Calibri" w:eastAsia="Calibri" w:hAnsi="Calibri"/>
          <w:color w:val="333A45"/>
          <w:sz w:val="21"/>
          <w:szCs w:val="21"/>
        </w:rPr>
        <w:t xml:space="preserve"> - the definitional consequence of PIPL Art 38 (providing personal information outside the mainland) applied to overseas-hosted tools; inventory recording at annex A3.</w:t>
      </w:r>
    </w:p>
    <w:p>
      <w:pPr>
        <w:pStyle w:val="ListParagraph"/>
        <w:numPr>
          <w:ilvl w:val="0"/>
          <w:numId w:val="2"/>
        </w:numPr>
        <w:spacing w:after="70"/>
      </w:pPr>
      <w:r>
        <w:rPr>
          <w:rFonts w:ascii="Calibri" w:cs="Calibri" w:eastAsia="Calibri" w:hAnsi="Calibri"/>
          <w:b/>
          <w:bCs/>
          <w:color w:val="333A45"/>
          <w:sz w:val="21"/>
          <w:szCs w:val="21"/>
        </w:rPr>
        <w:t xml:space="preserve">10.2 routes and exemptions</w:t>
      </w:r>
      <w:r>
        <w:rPr>
          <w:rFonts w:ascii="Calibri" w:cs="Calibri" w:eastAsia="Calibri" w:hAnsi="Calibri"/>
          <w:color w:val="333A45"/>
          <w:sz w:val="21"/>
          <w:szCs w:val="21"/>
        </w:rPr>
        <w:t xml:space="preserve"> - PIPL Art 38 (security assessment; certification; standard contract; other statutory conditions); Xborder Art 5 (exemptions: contract necessity for the individual; cross-border HR management; emergency; under 100,000 individuals' non-sensitive personal information cumulatively from 1 January), Art 6 (free trade zone negative lists); NetData Regs Art 35 (adding performance of statutory duties or obligations as a route).</w:t>
      </w:r>
    </w:p>
    <w:p>
      <w:pPr>
        <w:pStyle w:val="ListParagraph"/>
        <w:numPr>
          <w:ilvl w:val="0"/>
          <w:numId w:val="2"/>
        </w:numPr>
        <w:spacing w:after="70"/>
      </w:pPr>
      <w:r>
        <w:rPr>
          <w:rFonts w:ascii="Calibri" w:cs="Calibri" w:eastAsia="Calibri" w:hAnsi="Calibri"/>
          <w:b/>
          <w:bCs/>
          <w:color w:val="333A45"/>
          <w:sz w:val="21"/>
          <w:szCs w:val="21"/>
        </w:rPr>
        <w:t xml:space="preserve">10.3 mandatory assessment</w:t>
      </w:r>
      <w:r>
        <w:rPr>
          <w:rFonts w:ascii="Calibri" w:cs="Calibri" w:eastAsia="Calibri" w:hAnsi="Calibri"/>
          <w:color w:val="333A45"/>
          <w:sz w:val="21"/>
          <w:szCs w:val="21"/>
        </w:rPr>
        <w:t xml:space="preserve"> - Xborder Art 7: critical information infrastructure operators providing any personal information or important data; important data by anyone; 1,000,000+ individuals' personal information or 10,000+ individuals' sensitive personal information </w:t>
      </w:r>
      <w:r>
        <w:rPr>
          <w:rFonts w:ascii="Calibri" w:cs="Calibri" w:eastAsia="Calibri" w:hAnsi="Calibri"/>
          <w:b/>
          <w:bCs/>
          <w:color w:val="333A45"/>
          <w:sz w:val="21"/>
          <w:szCs w:val="21"/>
        </w:rPr>
        <w:t xml:space="preserve">cumulatively from 1 January of the current year</w:t>
      </w:r>
      <w:r>
        <w:rPr>
          <w:rFonts w:ascii="Calibri" w:cs="Calibri" w:eastAsia="Calibri" w:hAnsi="Calibri"/>
          <w:color w:val="333A45"/>
          <w:sz w:val="21"/>
          <w:szCs w:val="21"/>
        </w:rPr>
        <w:t xml:space="preserve">; PIPL Art 40 (localisation for CII operators and threshold processors).</w:t>
      </w:r>
    </w:p>
    <w:p>
      <w:pPr>
        <w:pStyle w:val="ListParagraph"/>
        <w:numPr>
          <w:ilvl w:val="0"/>
          <w:numId w:val="2"/>
        </w:numPr>
        <w:spacing w:after="70"/>
      </w:pPr>
      <w:r>
        <w:rPr>
          <w:rFonts w:ascii="Calibri" w:cs="Calibri" w:eastAsia="Calibri" w:hAnsi="Calibri"/>
          <w:b/>
          <w:bCs/>
          <w:color w:val="333A45"/>
          <w:sz w:val="21"/>
          <w:szCs w:val="21"/>
        </w:rPr>
        <w:t xml:space="preserve">10.4 notice and scope</w:t>
      </w:r>
      <w:r>
        <w:rPr>
          <w:rFonts w:ascii="Calibri" w:cs="Calibri" w:eastAsia="Calibri" w:hAnsi="Calibri"/>
          <w:color w:val="333A45"/>
          <w:sz w:val="21"/>
          <w:szCs w:val="21"/>
        </w:rPr>
        <w:t xml:space="preserve"> - PIPL Art 39 (notice items and separate consent); Xborder Art 10; NetData Regs Art 38 (transfers stay within the declared purpose, method, scope, categories, and scale).</w:t>
      </w:r>
    </w:p>
    <w:p>
      <w:pPr>
        <w:pStyle w:val="ListParagraph"/>
        <w:numPr>
          <w:ilvl w:val="0"/>
          <w:numId w:val="2"/>
        </w:numPr>
        <w:spacing w:after="70"/>
      </w:pPr>
      <w:r>
        <w:rPr>
          <w:rFonts w:ascii="Calibri" w:cs="Calibri" w:eastAsia="Calibri" w:hAnsi="Calibri"/>
          <w:b/>
          <w:bCs/>
          <w:color w:val="333A45"/>
          <w:sz w:val="21"/>
          <w:szCs w:val="21"/>
        </w:rPr>
        <w:t xml:space="preserve">10.5 important data relief</w:t>
      </w:r>
      <w:r>
        <w:rPr>
          <w:rFonts w:ascii="Calibri" w:cs="Calibri" w:eastAsia="Calibri" w:hAnsi="Calibri"/>
          <w:color w:val="333A45"/>
          <w:sz w:val="21"/>
          <w:szCs w:val="21"/>
        </w:rPr>
        <w:t xml:space="preserve"> - Xborder Art 2 and NetData Regs Art 37: data not notified or publicly identified as important need not be declared for export assessment as important data.</w:t>
      </w:r>
    </w:p>
    <w:p>
      <w:pPr>
        <w:pStyle w:val="ListParagraph"/>
        <w:numPr>
          <w:ilvl w:val="0"/>
          <w:numId w:val="2"/>
        </w:numPr>
        <w:spacing w:after="70"/>
      </w:pPr>
      <w:r>
        <w:rPr>
          <w:rFonts w:ascii="Calibri" w:cs="Calibri" w:eastAsia="Calibri" w:hAnsi="Calibri"/>
          <w:b/>
          <w:bCs/>
          <w:color w:val="333A45"/>
          <w:sz w:val="21"/>
          <w:szCs w:val="21"/>
        </w:rPr>
        <w:t xml:space="preserve">11.1-11.2 human determination</w:t>
      </w:r>
      <w:r>
        <w:rPr>
          <w:rFonts w:ascii="Calibri" w:cs="Calibri" w:eastAsia="Calibri" w:hAnsi="Calibri"/>
          <w:color w:val="333A45"/>
          <w:sz w:val="21"/>
          <w:szCs w:val="21"/>
        </w:rPr>
        <w:t xml:space="preserve"> - PIPL Art 24 paras 1 and 3; the human review design follows the series convention.</w:t>
      </w:r>
    </w:p>
    <w:p>
      <w:pPr>
        <w:pStyle w:val="ListParagraph"/>
        <w:numPr>
          <w:ilvl w:val="0"/>
          <w:numId w:val="2"/>
        </w:numPr>
        <w:spacing w:after="70"/>
      </w:pPr>
      <w:r>
        <w:rPr>
          <w:rFonts w:ascii="Calibri" w:cs="Calibri" w:eastAsia="Calibri" w:hAnsi="Calibri"/>
          <w:b/>
          <w:bCs/>
          <w:color w:val="333A45"/>
          <w:sz w:val="21"/>
          <w:szCs w:val="21"/>
        </w:rPr>
        <w:t xml:space="preserve">11.3 push and recommendation</w:t>
      </w:r>
      <w:r>
        <w:rPr>
          <w:rFonts w:ascii="Calibri" w:cs="Calibri" w:eastAsia="Calibri" w:hAnsi="Calibri"/>
          <w:color w:val="333A45"/>
          <w:sz w:val="21"/>
          <w:szCs w:val="21"/>
        </w:rPr>
        <w:t xml:space="preserve"> - PIPL Art 24 para 2 (non-personalised option or convenient refusal); AlgoRec Art 17; NetData Regs Art 42 (easy-to-find off-switch; refuse push; delete tags).</w:t>
      </w:r>
    </w:p>
    <w:p>
      <w:pPr>
        <w:pStyle w:val="ListParagraph"/>
        <w:numPr>
          <w:ilvl w:val="0"/>
          <w:numId w:val="2"/>
        </w:numPr>
        <w:spacing w:after="70"/>
      </w:pPr>
      <w:r>
        <w:rPr>
          <w:rFonts w:ascii="Calibri" w:cs="Calibri" w:eastAsia="Calibri" w:hAnsi="Calibri"/>
          <w:b/>
          <w:bCs/>
          <w:color w:val="333A45"/>
          <w:sz w:val="21"/>
          <w:szCs w:val="21"/>
        </w:rPr>
        <w:t xml:space="preserve">12 rights</w:t>
      </w:r>
      <w:r>
        <w:rPr>
          <w:rFonts w:ascii="Calibri" w:cs="Calibri" w:eastAsia="Calibri" w:hAnsi="Calibri"/>
          <w:color w:val="333A45"/>
          <w:sz w:val="21"/>
          <w:szCs w:val="21"/>
        </w:rPr>
        <w:t xml:space="preserve"> - PIPL Arts 44-50 (Art 45 para 3 portability on the conditions the CAC sets; Art 47 deletion grounds including withdrawal; Art 48 explanation; Art 50 convenient mechanism and reasons on refusal; litigation on refusal); NetData Regs Arts 23-25 (convenient methods, no unreasonable conditions; deletion and anonymisation; portability conditions, with a cost-based fee for clearly excessive requests); Art 21 (processing rules: prominent, centralised, plain, with the listed contents).</w:t>
      </w:r>
    </w:p>
    <w:p>
      <w:pPr>
        <w:pStyle w:val="ListParagraph"/>
        <w:numPr>
          <w:ilvl w:val="0"/>
          <w:numId w:val="2"/>
        </w:numPr>
        <w:spacing w:after="70"/>
      </w:pPr>
      <w:r>
        <w:rPr>
          <w:rFonts w:ascii="Calibri" w:cs="Calibri" w:eastAsia="Calibri" w:hAnsi="Calibri"/>
          <w:b/>
          <w:bCs/>
          <w:color w:val="333A45"/>
          <w:sz w:val="21"/>
          <w:szCs w:val="21"/>
        </w:rPr>
        <w:t xml:space="preserve">13 suppliers</w:t>
      </w:r>
      <w:r>
        <w:rPr>
          <w:rFonts w:ascii="Calibri" w:cs="Calibri" w:eastAsia="Calibri" w:hAnsi="Calibri"/>
          <w:color w:val="333A45"/>
          <w:sz w:val="21"/>
          <w:szCs w:val="21"/>
        </w:rPr>
        <w:t xml:space="preserve"> - PIPL Art 21 (entrustment contract, supervision, no sub-entrustment without consent, return or deletion), Art 59 (entrusted party duties); NetData Regs Art 12 (three-year records); GenAI Art 7 for training-data warranties; filing display verification per AlgoRec Art 26.</w:t>
      </w:r>
    </w:p>
    <w:p>
      <w:pPr>
        <w:pStyle w:val="ListParagraph"/>
        <w:numPr>
          <w:ilvl w:val="0"/>
          <w:numId w:val="2"/>
        </w:numPr>
        <w:spacing w:after="70"/>
      </w:pPr>
      <w:r>
        <w:rPr>
          <w:rFonts w:ascii="Calibri" w:cs="Calibri" w:eastAsia="Calibri" w:hAnsi="Calibri"/>
          <w:b/>
          <w:bCs/>
          <w:color w:val="333A45"/>
          <w:sz w:val="21"/>
          <w:szCs w:val="21"/>
        </w:rPr>
        <w:t xml:space="preserve">14 labelling</w:t>
      </w:r>
      <w:r>
        <w:rPr>
          <w:rFonts w:ascii="Calibri" w:cs="Calibri" w:eastAsia="Calibri" w:hAnsi="Calibri"/>
          <w:color w:val="333A45"/>
          <w:sz w:val="21"/>
          <w:szCs w:val="21"/>
        </w:rPr>
        <w:t xml:space="preserve"> - Label Art 4 (explicit labels by content type - text, audio, image, video, virtual scenes - and labels preserved in downloads, copies, and exports), Art 5 (implicit metadata labels: attribute information, provider name or code, content number; watermarks encouraged), Art 10 para 1 (user declaration duty when publishing through platforms), Art 9 (unlabelled provision only under an agreement fixing the user's obligations, with logs kept at least six months); DeepSynth Arts 16-17.</w:t>
      </w:r>
    </w:p>
    <w:p>
      <w:pPr>
        <w:pStyle w:val="ListParagraph"/>
        <w:numPr>
          <w:ilvl w:val="0"/>
          <w:numId w:val="2"/>
        </w:numPr>
        <w:spacing w:after="70"/>
      </w:pPr>
      <w:r>
        <w:rPr>
          <w:rFonts w:ascii="Calibri" w:cs="Calibri" w:eastAsia="Calibri" w:hAnsi="Calibri"/>
          <w:b/>
          <w:bCs/>
          <w:color w:val="333A45"/>
          <w:sz w:val="21"/>
          <w:szCs w:val="21"/>
        </w:rPr>
        <w:t xml:space="preserve">15 interaction disclosure</w:t>
      </w:r>
      <w:r>
        <w:rPr>
          <w:rFonts w:ascii="Calibri" w:cs="Calibri" w:eastAsia="Calibri" w:hAnsi="Calibri"/>
          <w:color w:val="333A45"/>
          <w:sz w:val="21"/>
          <w:szCs w:val="21"/>
        </w:rPr>
        <w:t xml:space="preserve"> - Anthro Art 18 (effective measures so users know they interact with AI, not a natural person; dynamic pop-up reminders on over-reliance; a reminder at each continuous two hours), Art 19 (convenient exit honoured at once; no obstruction by continued engagement).</w:t>
      </w:r>
    </w:p>
    <w:p>
      <w:pPr>
        <w:pStyle w:val="ListParagraph"/>
        <w:numPr>
          <w:ilvl w:val="0"/>
          <w:numId w:val="2"/>
        </w:numPr>
        <w:spacing w:after="70"/>
      </w:pPr>
      <w:r>
        <w:rPr>
          <w:rFonts w:ascii="Calibri" w:cs="Calibri" w:eastAsia="Calibri" w:hAnsi="Calibri"/>
          <w:b/>
          <w:bCs/>
          <w:color w:val="333A45"/>
          <w:sz w:val="21"/>
          <w:szCs w:val="21"/>
        </w:rPr>
        <w:t xml:space="preserve">16 security</w:t>
      </w:r>
      <w:r>
        <w:rPr>
          <w:rFonts w:ascii="Calibri" w:cs="Calibri" w:eastAsia="Calibri" w:hAnsi="Calibri"/>
          <w:color w:val="333A45"/>
          <w:sz w:val="21"/>
          <w:szCs w:val="21"/>
        </w:rPr>
        <w:t xml:space="preserve"> - CSL Art 23 (multi-level protection scheme duties, including network logs kept at least six months), Art 24 (product and service standards; no malicious programs; defect remediation), Art 26 (real-identity verification for information publication services); DSL Art 27; NetData Regs Arts 9-11; Anthro Arts 10-11 (lifecycle security; training data including synthetic-data evaluation and poisoning defences); GenAI Art 8 (labelling rules for annotation, quality sampling, trained labellers).</w:t>
      </w:r>
    </w:p>
    <w:p>
      <w:pPr>
        <w:pStyle w:val="ListParagraph"/>
        <w:numPr>
          <w:ilvl w:val="0"/>
          <w:numId w:val="2"/>
        </w:numPr>
        <w:spacing w:after="70"/>
      </w:pPr>
      <w:r>
        <w:rPr>
          <w:rFonts w:ascii="Calibri" w:cs="Calibri" w:eastAsia="Calibri" w:hAnsi="Calibri"/>
          <w:b/>
          <w:bCs/>
          <w:color w:val="333A45"/>
          <w:sz w:val="21"/>
          <w:szCs w:val="21"/>
        </w:rPr>
        <w:t xml:space="preserve">17 breach</w:t>
      </w:r>
      <w:r>
        <w:rPr>
          <w:rFonts w:ascii="Calibri" w:cs="Calibri" w:eastAsia="Calibri" w:hAnsi="Calibri"/>
          <w:color w:val="333A45"/>
          <w:sz w:val="21"/>
          <w:szCs w:val="21"/>
        </w:rPr>
        <w:t xml:space="preserve"> - PIPL Art 57 (immediate remedial measures; notify the authorities and individuals with the statutory contents; individual notice excusable where measures effectively avoid harm, unless the authority requires it); NetData Regs Art 10 (product and service defects: immediate remediation, user notice, authority report - and a 24-hour report where national security or the public interest is endangered), Art 11 (incident notification to interested parties by the listed channels); CSL Art 27 (emergency plans and reporting); DSL Art 29.</w:t>
      </w:r>
    </w:p>
    <w:p>
      <w:pPr>
        <w:pStyle w:val="ListParagraph"/>
        <w:numPr>
          <w:ilvl w:val="0"/>
          <w:numId w:val="2"/>
        </w:numPr>
        <w:spacing w:after="70"/>
      </w:pPr>
      <w:r>
        <w:rPr>
          <w:rFonts w:ascii="Calibri" w:cs="Calibri" w:eastAsia="Calibri" w:hAnsi="Calibri"/>
          <w:b/>
          <w:bCs/>
          <w:color w:val="333A45"/>
          <w:sz w:val="21"/>
          <w:szCs w:val="21"/>
        </w:rPr>
        <w:t xml:space="preserve">19 IP and records</w:t>
      </w:r>
      <w:r>
        <w:rPr>
          <w:rFonts w:ascii="Calibri" w:cs="Calibri" w:eastAsia="Calibri" w:hAnsi="Calibri"/>
          <w:color w:val="333A45"/>
          <w:sz w:val="21"/>
          <w:szCs w:val="21"/>
        </w:rPr>
        <w:t xml:space="preserve"> - GenAI Arts 4(3), 7(2); DeepSynth Art 14 para 1; retention: PIPL Art 56 (three years), CSL Art 23(3) and Label Art 9 (six months).</w:t>
      </w:r>
    </w:p>
    <w:p>
      <w:pPr>
        <w:pStyle w:val="ListParagraph"/>
        <w:numPr>
          <w:ilvl w:val="0"/>
          <w:numId w:val="2"/>
        </w:numPr>
        <w:spacing w:after="70"/>
      </w:pPr>
      <w:r>
        <w:rPr>
          <w:rFonts w:ascii="Calibri" w:cs="Calibri" w:eastAsia="Calibri" w:hAnsi="Calibri"/>
          <w:b/>
          <w:bCs/>
          <w:color w:val="333A45"/>
          <w:sz w:val="21"/>
          <w:szCs w:val="21"/>
        </w:rPr>
        <w:t xml:space="preserve">20 employment</w:t>
      </w:r>
      <w:r>
        <w:rPr>
          <w:rFonts w:ascii="Calibri" w:cs="Calibri" w:eastAsia="Calibri" w:hAnsi="Calibri"/>
          <w:color w:val="333A45"/>
          <w:sz w:val="21"/>
          <w:szCs w:val="21"/>
        </w:rPr>
        <w:t xml:space="preserve"> - PIPL Arts 13(2), 24, 55; AlgoRec Art 20 (worker scheduling: remuneration and rest rights; order allocation, pay composition, working time, rewards and penalties algorithms).</w:t>
      </w:r>
    </w:p>
    <w:p>
      <w:pPr>
        <w:pStyle w:val="ListParagraph"/>
        <w:numPr>
          <w:ilvl w:val="0"/>
          <w:numId w:val="2"/>
        </w:numPr>
        <w:spacing w:after="70"/>
      </w:pPr>
      <w:r>
        <w:rPr>
          <w:rFonts w:ascii="Calibri" w:cs="Calibri" w:eastAsia="Calibri" w:hAnsi="Calibri"/>
          <w:b/>
          <w:bCs/>
          <w:color w:val="333A45"/>
          <w:sz w:val="21"/>
          <w:szCs w:val="21"/>
        </w:rPr>
        <w:t xml:space="preserve">21.3 statutory officers</w:t>
      </w:r>
      <w:r>
        <w:rPr>
          <w:rFonts w:ascii="Calibri" w:cs="Calibri" w:eastAsia="Calibri" w:hAnsi="Calibri"/>
          <w:color w:val="333A45"/>
          <w:sz w:val="21"/>
          <w:szCs w:val="21"/>
        </w:rPr>
        <w:t xml:space="preserve"> - PIPL Art 52 (threshold personal information protection officer, published and filed); NetData Regs Art 30 (data security officer as a member of management with a direct reporting right; management organisation; background checks for specified holdings); PIPL Art 53 (foreign processors' domestic organisation or representative, filed - NetData Regs Art 26 names the city-level cyberspace authority).</w:t>
      </w:r>
    </w:p>
    <w:p>
      <w:pPr>
        <w:keepNext/>
        <w:spacing w:after="80" w:before="200"/>
      </w:pPr>
      <w:r>
        <w:rPr>
          <w:rFonts w:ascii="Calibri" w:cs="Calibri" w:eastAsia="Calibri" w:hAnsi="Calibri"/>
          <w:b/>
          <w:bCs/>
          <w:color w:val="1F3864"/>
          <w:sz w:val="22"/>
          <w:szCs w:val="22"/>
        </w:rPr>
        <w:t xml:space="preserve">3.2 Annex</w:t>
      </w:r>
    </w:p>
    <w:p>
      <w:pPr>
        <w:pStyle w:val="ListParagraph"/>
        <w:numPr>
          <w:ilvl w:val="0"/>
          <w:numId w:val="2"/>
        </w:numPr>
        <w:spacing w:after="70"/>
      </w:pPr>
      <w:r>
        <w:rPr>
          <w:rFonts w:ascii="Calibri" w:cs="Calibri" w:eastAsia="Calibri" w:hAnsi="Calibri"/>
          <w:b/>
          <w:bCs/>
          <w:color w:val="333A45"/>
          <w:sz w:val="21"/>
          <w:szCs w:val="21"/>
        </w:rPr>
        <w:t xml:space="preserve">A1</w:t>
      </w:r>
      <w:r>
        <w:rPr>
          <w:rFonts w:ascii="Calibri" w:cs="Calibri" w:eastAsia="Calibri" w:hAnsi="Calibri"/>
          <w:color w:val="333A45"/>
          <w:sz w:val="21"/>
          <w:szCs w:val="21"/>
        </w:rPr>
        <w:t xml:space="preserve"> - PIPL Arts 51-54; NetData Regs Arts 27, 30; DSL Art 27.</w:t>
      </w:r>
    </w:p>
    <w:p>
      <w:pPr>
        <w:pStyle w:val="ListParagraph"/>
        <w:numPr>
          <w:ilvl w:val="0"/>
          <w:numId w:val="2"/>
        </w:numPr>
        <w:spacing w:after="70"/>
      </w:pPr>
      <w:r>
        <w:rPr>
          <w:rFonts w:ascii="Calibri" w:cs="Calibri" w:eastAsia="Calibri" w:hAnsi="Calibri"/>
          <w:b/>
          <w:bCs/>
          <w:color w:val="333A45"/>
          <w:sz w:val="21"/>
          <w:szCs w:val="21"/>
        </w:rPr>
        <w:t xml:space="preserve">A2</w:t>
      </w:r>
      <w:r>
        <w:rPr>
          <w:rFonts w:ascii="Calibri" w:cs="Calibri" w:eastAsia="Calibri" w:hAnsi="Calibri"/>
          <w:color w:val="333A45"/>
          <w:sz w:val="21"/>
          <w:szCs w:val="21"/>
        </w:rPr>
        <w:t xml:space="preserve"> - the scoping provisions at 3.1; the reopen events follow the series convention.</w:t>
      </w:r>
    </w:p>
    <w:p>
      <w:pPr>
        <w:pStyle w:val="ListParagraph"/>
        <w:numPr>
          <w:ilvl w:val="0"/>
          <w:numId w:val="2"/>
        </w:numPr>
        <w:spacing w:after="70"/>
      </w:pPr>
      <w:r>
        <w:rPr>
          <w:rFonts w:ascii="Calibri" w:cs="Calibri" w:eastAsia="Calibri" w:hAnsi="Calibri"/>
          <w:b/>
          <w:bCs/>
          <w:color w:val="333A45"/>
          <w:sz w:val="21"/>
          <w:szCs w:val="21"/>
        </w:rPr>
        <w:t xml:space="preserve">A4 filings and assessments</w:t>
      </w:r>
      <w:r>
        <w:rPr>
          <w:rFonts w:ascii="Calibri" w:cs="Calibri" w:eastAsia="Calibri" w:hAnsi="Calibri"/>
          <w:color w:val="333A45"/>
          <w:sz w:val="21"/>
          <w:szCs w:val="21"/>
        </w:rPr>
        <w:t xml:space="preserve"> - AlgoRec Arts 24-27 (filing within ten working days for services with public opinion attributes or social mobilisation capability; changes ten; deregistration twenty; authority processing thirty; display of the filing number; security assessment per national provisions); GenAI Art 17; DeepSynth Arts 15, 19-20; Anthro Arts 22-23 (triggers including launch or added functions, major changes, </w:t>
      </w:r>
      <w:r>
        <w:rPr>
          <w:rFonts w:ascii="Calibri" w:cs="Calibri" w:eastAsia="Calibri" w:hAnsi="Calibri"/>
          <w:b/>
          <w:bCs/>
          <w:color w:val="333A45"/>
          <w:sz w:val="21"/>
          <w:szCs w:val="21"/>
        </w:rPr>
        <w:t xml:space="preserve">1,000,000+ registered users or 100,000+ monthly active users</w:t>
      </w:r>
      <w:r>
        <w:rPr>
          <w:rFonts w:ascii="Calibri" w:cs="Calibri" w:eastAsia="Calibri" w:hAnsi="Calibri"/>
          <w:color w:val="333A45"/>
          <w:sz w:val="21"/>
          <w:szCs w:val="21"/>
        </w:rPr>
        <w:t xml:space="preserve">, risk, or direction; the eight assessment heads; provincial submission and sharing), 26 (filing plus annual verification of filing materials), 27 (annual written review; re-assessment orders; on-site inspection); Xborder Art 9 (three-year validity; extension in the sixty working days before expiry).</w:t>
      </w:r>
    </w:p>
    <w:p>
      <w:pPr>
        <w:pStyle w:val="ListParagraph"/>
        <w:numPr>
          <w:ilvl w:val="0"/>
          <w:numId w:val="2"/>
        </w:numPr>
        <w:spacing w:after="70"/>
      </w:pPr>
      <w:r>
        <w:rPr>
          <w:rFonts w:ascii="Calibri" w:cs="Calibri" w:eastAsia="Calibri" w:hAnsi="Calibri"/>
          <w:b/>
          <w:bCs/>
          <w:color w:val="333A45"/>
          <w:sz w:val="21"/>
          <w:szCs w:val="21"/>
        </w:rPr>
        <w:t xml:space="preserve">A5 content responsibility</w:t>
      </w:r>
      <w:r>
        <w:rPr>
          <w:rFonts w:ascii="Calibri" w:cs="Calibri" w:eastAsia="Calibri" w:hAnsi="Calibri"/>
          <w:color w:val="333A45"/>
          <w:sz w:val="21"/>
          <w:szCs w:val="21"/>
        </w:rPr>
        <w:t xml:space="preserve"> - GenAI Arts 9, 14 (stop generation, stop transmission, removal, model optimisation, report; user measures with records), 15; DeepSynth Arts 7-8, 10-12 (including the rumour-refutation mechanism); AlgoRec Art 9; training data GenAI Arts 7-8, Anthro Art 11.</w:t>
      </w:r>
    </w:p>
    <w:p>
      <w:pPr>
        <w:pStyle w:val="ListParagraph"/>
        <w:numPr>
          <w:ilvl w:val="0"/>
          <w:numId w:val="2"/>
        </w:numPr>
        <w:spacing w:after="70"/>
      </w:pPr>
      <w:r>
        <w:rPr>
          <w:rFonts w:ascii="Calibri" w:cs="Calibri" w:eastAsia="Calibri" w:hAnsi="Calibri"/>
          <w:b/>
          <w:bCs/>
          <w:color w:val="333A45"/>
          <w:sz w:val="21"/>
          <w:szCs w:val="21"/>
        </w:rPr>
        <w:t xml:space="preserve">A6 labelling operations</w:t>
      </w:r>
      <w:r>
        <w:rPr>
          <w:rFonts w:ascii="Calibri" w:cs="Calibri" w:eastAsia="Calibri" w:hAnsi="Calibri"/>
          <w:color w:val="333A45"/>
          <w:sz w:val="21"/>
          <w:szCs w:val="21"/>
        </w:rPr>
        <w:t xml:space="preserve"> - Label Arts 4-9, 12; DeepSynth Arts 16-18; AlgoRec Art 9 para 1 (platforms label unlabelled generated content before further transmission).</w:t>
      </w:r>
    </w:p>
    <w:p>
      <w:pPr>
        <w:pStyle w:val="ListParagraph"/>
        <w:numPr>
          <w:ilvl w:val="0"/>
          <w:numId w:val="2"/>
        </w:numPr>
        <w:spacing w:after="70"/>
      </w:pPr>
      <w:r>
        <w:rPr>
          <w:rFonts w:ascii="Calibri" w:cs="Calibri" w:eastAsia="Calibri" w:hAnsi="Calibri"/>
          <w:b/>
          <w:bCs/>
          <w:color w:val="333A45"/>
          <w:sz w:val="21"/>
          <w:szCs w:val="21"/>
        </w:rPr>
        <w:t xml:space="preserve">A7 suppliers</w:t>
      </w:r>
      <w:r>
        <w:rPr>
          <w:rFonts w:ascii="Calibri" w:cs="Calibri" w:eastAsia="Calibri" w:hAnsi="Calibri"/>
          <w:color w:val="333A45"/>
          <w:sz w:val="21"/>
          <w:szCs w:val="21"/>
        </w:rPr>
        <w:t xml:space="preserve"> - as 3.1 policy 13; DeepSynth Art 19 para 2 (technical supporters file by reference); Art 14 (technical supporters share training-data and biometric duties).</w:t>
      </w:r>
    </w:p>
    <w:p>
      <w:pPr>
        <w:pStyle w:val="ListParagraph"/>
        <w:numPr>
          <w:ilvl w:val="0"/>
          <w:numId w:val="2"/>
        </w:numPr>
        <w:spacing w:after="70"/>
      </w:pPr>
      <w:r>
        <w:rPr>
          <w:rFonts w:ascii="Calibri" w:cs="Calibri" w:eastAsia="Calibri" w:hAnsi="Calibri"/>
          <w:b/>
          <w:bCs/>
          <w:color w:val="333A45"/>
          <w:sz w:val="21"/>
          <w:szCs w:val="21"/>
        </w:rPr>
        <w:t xml:space="preserve">A8 monitoring and vulnerable users</w:t>
      </w:r>
      <w:r>
        <w:rPr>
          <w:rFonts w:ascii="Calibri" w:cs="Calibri" w:eastAsia="Calibri" w:hAnsi="Calibri"/>
          <w:color w:val="333A45"/>
          <w:sz w:val="21"/>
          <w:szCs w:val="21"/>
        </w:rPr>
        <w:t xml:space="preserve"> - AlgoRec Arts 8, 10-11, 18-21; Anthro Arts 13 (risk identification; extreme-emotion content; intervention and guardian or emergency contact on threats to life or major property loss), 14 (minors mode, guardian controls, identification and appeal), 15 (older users); GenAI Art 10.</w:t>
      </w:r>
    </w:p>
    <w:p>
      <w:pPr>
        <w:pStyle w:val="ListParagraph"/>
        <w:numPr>
          <w:ilvl w:val="0"/>
          <w:numId w:val="2"/>
        </w:numPr>
        <w:spacing w:after="70"/>
      </w:pPr>
      <w:r>
        <w:rPr>
          <w:rFonts w:ascii="Calibri" w:cs="Calibri" w:eastAsia="Calibri" w:hAnsi="Calibri"/>
          <w:b/>
          <w:bCs/>
          <w:color w:val="333A45"/>
          <w:sz w:val="21"/>
          <w:szCs w:val="21"/>
        </w:rPr>
        <w:t xml:space="preserve">A9 incidents</w:t>
      </w:r>
      <w:r>
        <w:rPr>
          <w:rFonts w:ascii="Calibri" w:cs="Calibri" w:eastAsia="Calibri" w:hAnsi="Calibri"/>
          <w:color w:val="333A45"/>
          <w:sz w:val="21"/>
          <w:szCs w:val="21"/>
        </w:rPr>
        <w:t xml:space="preserve"> - as policy 17; NetData Regs Art 11; referral duties NetData Regs Art 11 para 2.</w:t>
      </w:r>
    </w:p>
    <w:p>
      <w:pPr>
        <w:pStyle w:val="ListParagraph"/>
        <w:numPr>
          <w:ilvl w:val="0"/>
          <w:numId w:val="2"/>
        </w:numPr>
        <w:spacing w:after="70"/>
      </w:pPr>
      <w:r>
        <w:rPr>
          <w:rFonts w:ascii="Calibri" w:cs="Calibri" w:eastAsia="Calibri" w:hAnsi="Calibri"/>
          <w:b/>
          <w:bCs/>
          <w:color w:val="333A45"/>
          <w:sz w:val="21"/>
          <w:szCs w:val="21"/>
        </w:rPr>
        <w:t xml:space="preserve">A10 assurance</w:t>
      </w:r>
      <w:r>
        <w:rPr>
          <w:rFonts w:ascii="Calibri" w:cs="Calibri" w:eastAsia="Calibri" w:hAnsi="Calibri"/>
          <w:color w:val="333A45"/>
          <w:sz w:val="21"/>
          <w:szCs w:val="21"/>
        </w:rPr>
        <w:t xml:space="preserve"> - PIPL Art 54 (regular compliance audits) and Art 64 (authority-ordered audits and interviews); NetData Regs Art 27; Anthro Art 17 para 2 (minors personal information compliance audits); Art 29 (interviews and cooperation).</w:t>
      </w:r>
    </w:p>
    <w:p>
      <w:pPr>
        <w:pStyle w:val="ListParagraph"/>
        <w:numPr>
          <w:ilvl w:val="0"/>
          <w:numId w:val="2"/>
        </w:numPr>
        <w:spacing w:after="70"/>
      </w:pPr>
      <w:r>
        <w:rPr>
          <w:rFonts w:ascii="Calibri" w:cs="Calibri" w:eastAsia="Calibri" w:hAnsi="Calibri"/>
          <w:b/>
          <w:bCs/>
          <w:color w:val="333A45"/>
          <w:sz w:val="21"/>
          <w:szCs w:val="21"/>
        </w:rPr>
        <w:t xml:space="preserve">A11 metrics</w:t>
      </w:r>
      <w:r>
        <w:rPr>
          <w:rFonts w:ascii="Calibri" w:cs="Calibri" w:eastAsia="Calibri" w:hAnsi="Calibri"/>
          <w:color w:val="333A45"/>
          <w:sz w:val="21"/>
          <w:szCs w:val="21"/>
        </w:rPr>
        <w:t xml:space="preserve"> - the committee's own design; the authority-interaction metric reflects PIPL Art 64, NetData Regs Art 51 para 3, Anthro Art 29.</w:t>
      </w:r>
    </w:p>
    <w:p>
      <w:pPr>
        <w:keepNext/>
        <w:pBdr>
          <w:bottom w:val="single" w:color="9DB9E8" w:sz="4" w:space="3"/>
        </w:pBdr>
        <w:spacing w:after="100" w:before="260"/>
      </w:pPr>
      <w:r>
        <w:rPr>
          <w:rFonts w:ascii="Calibri" w:cs="Calibri" w:eastAsia="Calibri" w:hAnsi="Calibri"/>
          <w:b/>
          <w:bCs/>
          <w:color w:val="2E5AAC"/>
          <w:sz w:val="26"/>
          <w:szCs w:val="26"/>
        </w:rPr>
        <w:t xml:space="preserve">4. The findings worth recording</w:t>
      </w:r>
    </w:p>
    <w:p>
      <w:pPr>
        <w:keepNext/>
        <w:spacing w:after="80" w:before="200"/>
      </w:pPr>
      <w:r>
        <w:rPr>
          <w:rFonts w:ascii="Calibri" w:cs="Calibri" w:eastAsia="Calibri" w:hAnsi="Calibri"/>
          <w:b/>
          <w:bCs/>
          <w:color w:val="1F3864"/>
          <w:sz w:val="22"/>
          <w:szCs w:val="22"/>
        </w:rPr>
        <w:t xml:space="preserve">4.1 The amendment that moved the articles</w:t>
      </w:r>
    </w:p>
    <w:p>
      <w:pPr>
        <w:spacing w:after="110"/>
      </w:pPr>
      <w:r>
        <w:rPr>
          <w:rFonts w:ascii="Calibri" w:cs="Calibri" w:eastAsia="Calibri" w:hAnsi="Calibri"/>
          <w:color w:val="333A45"/>
          <w:sz w:val="21"/>
          <w:szCs w:val="21"/>
        </w:rPr>
        <w:t xml:space="preserve">The 2025 amendment to the Cybersecurity Law did not only raise penalties - it </w:t>
      </w:r>
      <w:r>
        <w:rPr>
          <w:rFonts w:ascii="Calibri" w:cs="Calibri" w:eastAsia="Calibri" w:hAnsi="Calibri"/>
          <w:b/>
          <w:bCs/>
          <w:color w:val="333A45"/>
          <w:sz w:val="21"/>
          <w:szCs w:val="21"/>
        </w:rPr>
        <w:t xml:space="preserve">renumbered the law</w:t>
      </w:r>
      <w:r>
        <w:rPr>
          <w:rFonts w:ascii="Calibri" w:cs="Calibri" w:eastAsia="Calibri" w:hAnsi="Calibri"/>
          <w:color w:val="333A45"/>
          <w:sz w:val="21"/>
          <w:szCs w:val="21"/>
        </w:rPr>
        <w:t xml:space="preserve">. Two articles were inserted (a leadership clause as Art 3 and a new AI clause as Art 20), taking the law from 79 to 81 articles and shifting most citations by one or two. The multi-level protection scheme duties universally cited for eight years as "CSL Art 21" now sit at </w:t>
      </w:r>
      <w:r>
        <w:rPr>
          <w:rFonts w:ascii="Calibri" w:cs="Calibri" w:eastAsia="Calibri" w:hAnsi="Calibri"/>
          <w:b/>
          <w:bCs/>
          <w:color w:val="333A45"/>
          <w:sz w:val="21"/>
          <w:szCs w:val="21"/>
        </w:rPr>
        <w:t xml:space="preserve">Art 23</w:t>
      </w:r>
      <w:r>
        <w:rPr>
          <w:rFonts w:ascii="Calibri" w:cs="Calibri" w:eastAsia="Calibri" w:hAnsi="Calibri"/>
          <w:color w:val="333A45"/>
          <w:sz w:val="21"/>
          <w:szCs w:val="21"/>
        </w:rPr>
        <w:t xml:space="preserve">; the breach-response duty cited as Art 25 now sits at Art 27; the penalty ceilings in the liability chapter rose sharply (general operator violations now reach RMB 2,000,000, and especially severe consequences RMB 10,000,000 at Art 61 para 3). Any compliance document citing pre-amendment article numbers now points at the wrong provisions. This set cites the amended consolidation only. This is the citation-trap variant of the commencement trap recorded for Colorado, India, and the EU. One register caveat: the amending decision is held only as consolidated into the text; the decision's own commencement date is not asserted from the held corpus, and nothing in this set depends on it.</w:t>
      </w:r>
    </w:p>
    <w:p>
      <w:pPr>
        <w:keepNext/>
        <w:spacing w:after="80" w:before="200"/>
      </w:pPr>
      <w:r>
        <w:rPr>
          <w:rFonts w:ascii="Calibri" w:cs="Calibri" w:eastAsia="Calibri" w:hAnsi="Calibri"/>
          <w:b/>
          <w:bCs/>
          <w:color w:val="1F3864"/>
          <w:sz w:val="22"/>
          <w:szCs w:val="22"/>
        </w:rPr>
        <w:t xml:space="preserve">4.2 The Cybersecurity Law now contains an AI article</w:t>
      </w:r>
    </w:p>
    <w:p>
      <w:pPr>
        <w:spacing w:after="110"/>
      </w:pPr>
      <w:r>
        <w:rPr>
          <w:rFonts w:ascii="Calibri" w:cs="Calibri" w:eastAsia="Calibri" w:hAnsi="Calibri"/>
          <w:color w:val="333A45"/>
          <w:sz w:val="21"/>
          <w:szCs w:val="21"/>
        </w:rPr>
        <w:t xml:space="preserve">New Art 20, inserted by the 2025 amendment: the state supports AI basic research and key technology development, advances training-data and computing-power infrastructure, </w:t>
      </w:r>
      <w:r>
        <w:rPr>
          <w:rFonts w:ascii="Calibri" w:cs="Calibri" w:eastAsia="Calibri" w:hAnsi="Calibri"/>
          <w:b/>
          <w:bCs/>
          <w:color w:val="333A45"/>
          <w:sz w:val="21"/>
          <w:szCs w:val="21"/>
        </w:rPr>
        <w:t xml:space="preserve">improves AI ethical norms, and strengthens risk monitoring, assessment, and safety regulation</w:t>
      </w:r>
      <w:r>
        <w:rPr>
          <w:rFonts w:ascii="Calibri" w:cs="Calibri" w:eastAsia="Calibri" w:hAnsi="Calibri"/>
          <w:color w:val="333A45"/>
          <w:sz w:val="21"/>
          <w:szCs w:val="21"/>
        </w:rPr>
        <w:t xml:space="preserve"> to promote AI application and healthy development. It is a state-policy provision, not an operator duty - but it puts AI governance into the text of a pillar law for the first time, and it is the statutory peg for the ethics-review and risk-assessment language that runs through the CAC instruments.</w:t>
      </w:r>
    </w:p>
    <w:p>
      <w:pPr>
        <w:keepNext/>
        <w:spacing w:after="80" w:before="200"/>
      </w:pPr>
      <w:r>
        <w:rPr>
          <w:rFonts w:ascii="Calibri" w:cs="Calibri" w:eastAsia="Calibri" w:hAnsi="Calibri"/>
          <w:b/>
          <w:bCs/>
          <w:color w:val="1F3864"/>
          <w:sz w:val="22"/>
          <w:szCs w:val="22"/>
        </w:rPr>
        <w:t xml:space="preserve">4.3 The public-facing line is the whole game for enterprises</w:t>
      </w:r>
    </w:p>
    <w:p>
      <w:pPr>
        <w:spacing w:after="110"/>
      </w:pPr>
      <w:r>
        <w:rPr>
          <w:rFonts w:ascii="Calibri" w:cs="Calibri" w:eastAsia="Calibri" w:hAnsi="Calibri"/>
          <w:color w:val="333A45"/>
          <w:sz w:val="21"/>
          <w:szCs w:val="21"/>
        </w:rPr>
        <w:t xml:space="preserve">GenAI Art 2 para 3 excludes from the generative AI measures organisations that develop and apply the technology </w:t>
      </w:r>
      <w:r>
        <w:rPr>
          <w:rFonts w:ascii="Calibri" w:cs="Calibri" w:eastAsia="Calibri" w:hAnsi="Calibri"/>
          <w:b/>
          <w:bCs/>
          <w:color w:val="333A45"/>
          <w:sz w:val="21"/>
          <w:szCs w:val="21"/>
        </w:rPr>
        <w:t xml:space="preserve">without providing services to the domestic public</w:t>
      </w:r>
      <w:r>
        <w:rPr>
          <w:rFonts w:ascii="Calibri" w:cs="Calibri" w:eastAsia="Calibri" w:hAnsi="Calibri"/>
          <w:color w:val="333A45"/>
          <w:sz w:val="21"/>
          <w:szCs w:val="21"/>
        </w:rPr>
        <w:t xml:space="preserve">. An enterprise using AI internally is governed by the pillar laws and the data regulations - demanding but familiar territory. The moment generative capability is exposed to the Chinese public, the provider regime engages: content producer responsibility (Art 9), security assessment and algorithm filing (Art 17), labelling (Art 12), minors protection (Art 10). The policy makes this a recorded determination per tool (Determination B), and the annex treats an internal tool exposed to the public without its filings as an incident. This is the single scoping rule most often missed in secondary coverage of the Chinese regime.</w:t>
      </w:r>
    </w:p>
    <w:p>
      <w:pPr>
        <w:keepNext/>
        <w:spacing w:after="80" w:before="200"/>
      </w:pPr>
      <w:r>
        <w:rPr>
          <w:rFonts w:ascii="Calibri" w:cs="Calibri" w:eastAsia="Calibri" w:hAnsi="Calibri"/>
          <w:b/>
          <w:bCs/>
          <w:color w:val="1F3864"/>
          <w:sz w:val="22"/>
          <w:szCs w:val="22"/>
        </w:rPr>
        <w:t xml:space="preserve">4.4 Labelling is one duty spread across four instruments</w:t>
      </w:r>
    </w:p>
    <w:p>
      <w:pPr>
        <w:spacing w:after="110"/>
      </w:pPr>
      <w:r>
        <w:rPr>
          <w:rFonts w:ascii="Calibri" w:cs="Calibri" w:eastAsia="Calibri" w:hAnsi="Calibri"/>
          <w:color w:val="333A45"/>
          <w:sz w:val="21"/>
          <w:szCs w:val="21"/>
        </w:rPr>
        <w:t xml:space="preserve">No single instrument states the complete labelling duty. Deep synthesis Arts 16-17 create implicit and explicit labelling; the Labelling Measures Arts 4-5 specify both by content type and fix the metadata elements; AlgoRec Art 9 makes platforms re-label unlabelled synthetic content before further transmission; GenAI Art 12 routes generative providers into the deep synthesis labelling duty; and Label Art 11 pulls in a mandatory national standard (named in the source register as not held). Citing any one instrument alone yields an incomplete obligation - the policy states the merged duty and this note holds the map.</w:t>
      </w:r>
    </w:p>
    <w:p>
      <w:pPr>
        <w:keepNext/>
        <w:spacing w:after="80" w:before="200"/>
      </w:pPr>
      <w:r>
        <w:rPr>
          <w:rFonts w:ascii="Calibri" w:cs="Calibri" w:eastAsia="Calibri" w:hAnsi="Calibri"/>
          <w:b/>
          <w:bCs/>
          <w:color w:val="1F3864"/>
          <w:sz w:val="22"/>
          <w:szCs w:val="22"/>
        </w:rPr>
        <w:t xml:space="preserve">4.5 The anthropomorphic measures are new law with hard edges</w:t>
      </w:r>
    </w:p>
    <w:p>
      <w:pPr>
        <w:spacing w:after="110"/>
      </w:pPr>
      <w:r>
        <w:rPr>
          <w:rFonts w:ascii="Calibri" w:cs="Calibri" w:eastAsia="Calibri" w:hAnsi="Calibri"/>
          <w:color w:val="333A45"/>
          <w:sz w:val="21"/>
          <w:szCs w:val="21"/>
        </w:rPr>
        <w:t xml:space="preserve">In force 15 July 2026, the measures contain the sharpest bright-line rules in the set: </w:t>
      </w:r>
      <w:r>
        <w:rPr>
          <w:rFonts w:ascii="Calibri" w:cs="Calibri" w:eastAsia="Calibri" w:hAnsi="Calibri"/>
          <w:b/>
          <w:bCs/>
          <w:color w:val="333A45"/>
          <w:sz w:val="21"/>
          <w:szCs w:val="21"/>
        </w:rPr>
        <w:t xml:space="preserve">no virtual relatives or virtual partners for minors at all</w:t>
      </w:r>
      <w:r>
        <w:rPr>
          <w:rFonts w:ascii="Calibri" w:cs="Calibri" w:eastAsia="Calibri" w:hAnsi="Calibri"/>
          <w:color w:val="333A45"/>
          <w:sz w:val="21"/>
          <w:szCs w:val="21"/>
        </w:rPr>
        <w:t xml:space="preserve"> (Art 14 para 1 - not an age-gate, a prohibition); guardian consent for under-fourteens for any anthropomorphic service; a usage reminder at every continuous two hours (Art 18); mandatory intervention, including contacting a guardian or emergency contact, where a user faces major property loss or expresses intent to self-harm (Art 13); a bar on using sensitive-PI interaction data for model training without separate consent (Art 16); and security-assessment triggers at 1,000,000 registered or 100,000 monthly active users (Art 22). The service-agreement requirement extends to collecting age, guardian, or emergency contact information (Art 12). Most enterprises will sit outside this regime - the exclusions for customer service, Q&amp;A, and work assistants are explicit - but the boundary is functional, not nominal, and the annex watches it (A2.4).</w:t>
      </w:r>
    </w:p>
    <w:p>
      <w:pPr>
        <w:keepNext/>
        <w:spacing w:after="80" w:before="200"/>
      </w:pPr>
      <w:r>
        <w:rPr>
          <w:rFonts w:ascii="Calibri" w:cs="Calibri" w:eastAsia="Calibri" w:hAnsi="Calibri"/>
          <w:b/>
          <w:bCs/>
          <w:color w:val="1F3864"/>
          <w:sz w:val="22"/>
          <w:szCs w:val="22"/>
        </w:rPr>
        <w:t xml:space="preserve">4.6 The cross-border thresholds count from 1 January</w:t>
      </w:r>
    </w:p>
    <w:p>
      <w:pPr>
        <w:spacing w:after="110"/>
      </w:pPr>
      <w:r>
        <w:rPr>
          <w:rFonts w:ascii="Calibri" w:cs="Calibri" w:eastAsia="Calibri" w:hAnsi="Calibri"/>
          <w:color w:val="333A45"/>
          <w:sz w:val="21"/>
          <w:szCs w:val="21"/>
        </w:rPr>
        <w:t xml:space="preserve">The 2024 Cross-border Provisions replaced the earlier threshold architecture: exemption under 100,000 individuals' non-sensitive personal information, standard contract or certification from 100,000 to 1,000,000 (or under 10,000 sensitive), security assessment at 1,000,000+ (or 10,000+ sensitive) - all counted </w:t>
      </w:r>
      <w:r>
        <w:rPr>
          <w:rFonts w:ascii="Calibri" w:cs="Calibri" w:eastAsia="Calibri" w:hAnsi="Calibri"/>
          <w:b/>
          <w:bCs/>
          <w:color w:val="333A45"/>
          <w:sz w:val="21"/>
          <w:szCs w:val="21"/>
        </w:rPr>
        <w:t xml:space="preserve">cumulatively from 1 January of the current year</w:t>
      </w:r>
      <w:r>
        <w:rPr>
          <w:rFonts w:ascii="Calibri" w:cs="Calibri" w:eastAsia="Calibri" w:hAnsi="Calibri"/>
          <w:color w:val="333A45"/>
          <w:sz w:val="21"/>
          <w:szCs w:val="21"/>
        </w:rPr>
        <w:t xml:space="preserve"> (Arts 5, 7, 8), with contract-necessity, HR, and emergency exemptions and free trade zone negative lists. Art 13 expressly prevails over the 2022 assessment measures and 2023 standard contract measures where they conflict. The relief in Art 2 matters operationally: data not notified or published as important data need not be declared for assessment as important data - an enterprise is not required to guess.</w:t>
      </w:r>
    </w:p>
    <w:p>
      <w:pPr>
        <w:keepNext/>
        <w:spacing w:after="80" w:before="200"/>
      </w:pPr>
      <w:r>
        <w:rPr>
          <w:rFonts w:ascii="Calibri" w:cs="Calibri" w:eastAsia="Calibri" w:hAnsi="Calibri"/>
          <w:b/>
          <w:bCs/>
          <w:color w:val="1F3864"/>
          <w:sz w:val="22"/>
          <w:szCs w:val="22"/>
        </w:rPr>
        <w:t xml:space="preserve">4.7 The foreign-authority block reaches AI vendors</w:t>
      </w:r>
    </w:p>
    <w:p>
      <w:pPr>
        <w:spacing w:after="110"/>
      </w:pPr>
      <w:r>
        <w:rPr>
          <w:rFonts w:ascii="Calibri" w:cs="Calibri" w:eastAsia="Calibri" w:hAnsi="Calibri"/>
          <w:color w:val="333A45"/>
          <w:sz w:val="21"/>
          <w:szCs w:val="21"/>
        </w:rPr>
        <w:t xml:space="preserve">PIPL Art 41 and DSL Art 36 prohibit providing data stored in China to foreign judicial or law enforcement authorities without PRC approval - with dedicated penalties (DSL Art 48 para 2). An overseas AI vendor's standard legal-process response is exactly this scenario. The policy therefore makes supplier legal-process terms a contracting point (Section 13) and prohibits such provision without approval (7.8). This is the same exposure the Saudi set recorded from Implementing Regulation Art 17(1)(e), arrived at from the opposite direction - there a contracting duty, here a statutory prohibition.</w:t>
      </w:r>
    </w:p>
    <w:p>
      <w:pPr>
        <w:keepNext/>
        <w:spacing w:after="80" w:before="200"/>
      </w:pPr>
      <w:r>
        <w:rPr>
          <w:rFonts w:ascii="Calibri" w:cs="Calibri" w:eastAsia="Calibri" w:hAnsi="Calibri"/>
          <w:b/>
          <w:bCs/>
          <w:color w:val="1F3864"/>
          <w:sz w:val="22"/>
          <w:szCs w:val="22"/>
        </w:rPr>
        <w:t xml:space="preserve">4.8 The PIPIA trigger includes automated decision-making</w:t>
      </w:r>
    </w:p>
    <w:p>
      <w:pPr>
        <w:spacing w:after="110"/>
      </w:pPr>
      <w:r>
        <w:rPr>
          <w:rFonts w:ascii="Calibri" w:cs="Calibri" w:eastAsia="Calibri" w:hAnsi="Calibri"/>
          <w:color w:val="333A45"/>
          <w:sz w:val="21"/>
          <w:szCs w:val="21"/>
        </w:rPr>
        <w:t xml:space="preserve">PIPL Art 55 requires a prior personal information protection impact assessment for automated decision-making as such - alongside sensitive personal information, provision and publication, and cross-border transfers - with reports and records kept three years (Art 56). Practically every consequential enterprise AI use in China therefore carries a prior, documented assessment duty. The parallel with Bahrain (where the DPIA trigger was found in the Arabic of Order 43) is recorded in the series comparison work.</w:t>
      </w:r>
    </w:p>
    <w:p>
      <w:pPr>
        <w:keepNext/>
        <w:pBdr>
          <w:bottom w:val="single" w:color="9DB9E8" w:sz="4" w:space="3"/>
        </w:pBdr>
        <w:spacing w:after="100" w:before="260"/>
      </w:pPr>
      <w:r>
        <w:rPr>
          <w:rFonts w:ascii="Calibri" w:cs="Calibri" w:eastAsia="Calibri" w:hAnsi="Calibri"/>
          <w:b/>
          <w:bCs/>
          <w:color w:val="2E5AAC"/>
          <w:sz w:val="26"/>
          <w:szCs w:val="26"/>
        </w:rPr>
        <w:t xml:space="preserve">5. Not held</w:t>
      </w:r>
    </w:p>
    <w:p>
      <w:pPr>
        <w:spacing w:after="110"/>
      </w:pPr>
      <w:r>
        <w:rPr>
          <w:rFonts w:ascii="Calibri" w:cs="Calibri" w:eastAsia="Calibri" w:hAnsi="Calibri"/>
          <w:color w:val="333A45"/>
          <w:sz w:val="21"/>
          <w:szCs w:val="21"/>
        </w:rPr>
        <w:t xml:space="preserve">Stated here so nothing is silently assumed:</w:t>
      </w:r>
    </w:p>
    <w:p>
      <w:pPr>
        <w:pStyle w:val="ListParagraph"/>
        <w:numPr>
          <w:ilvl w:val="0"/>
          <w:numId w:val="2"/>
        </w:numPr>
        <w:spacing w:after="70"/>
      </w:pPr>
      <w:r>
        <w:rPr>
          <w:rFonts w:ascii="Calibri" w:cs="Calibri" w:eastAsia="Calibri" w:hAnsi="Calibri"/>
          <w:b/>
          <w:bCs/>
          <w:color w:val="333A45"/>
          <w:sz w:val="21"/>
          <w:szCs w:val="21"/>
        </w:rPr>
        <w:t xml:space="preserve">The mandatory national labelling standard</w:t>
      </w:r>
      <w:r>
        <w:rPr>
          <w:rFonts w:ascii="Calibri" w:cs="Calibri" w:eastAsia="Calibri" w:hAnsi="Calibri"/>
          <w:color w:val="333A45"/>
          <w:sz w:val="21"/>
          <w:szCs w:val="21"/>
        </w:rPr>
        <w:t xml:space="preserve"> (named by Label Art 11) - its technical content is not asserted; the annex requires recording the version relied on.</w:t>
      </w:r>
    </w:p>
    <w:p>
      <w:pPr>
        <w:pStyle w:val="ListParagraph"/>
        <w:numPr>
          <w:ilvl w:val="0"/>
          <w:numId w:val="2"/>
        </w:numPr>
        <w:spacing w:after="70"/>
      </w:pPr>
      <w:r>
        <w:rPr>
          <w:rFonts w:ascii="Calibri" w:cs="Calibri" w:eastAsia="Calibri" w:hAnsi="Calibri"/>
          <w:b/>
          <w:bCs/>
          <w:color w:val="333A45"/>
          <w:sz w:val="21"/>
          <w:szCs w:val="21"/>
        </w:rPr>
        <w:t xml:space="preserve">The 2025 CSL amending decision as a standalone text</w:t>
      </w:r>
      <w:r>
        <w:rPr>
          <w:rFonts w:ascii="Calibri" w:cs="Calibri" w:eastAsia="Calibri" w:hAnsi="Calibri"/>
          <w:color w:val="333A45"/>
          <w:sz w:val="21"/>
          <w:szCs w:val="21"/>
        </w:rPr>
        <w:t xml:space="preserve"> - held only as consolidated; its commencement date is not asserted.</w:t>
      </w:r>
    </w:p>
    <w:p>
      <w:pPr>
        <w:pStyle w:val="ListParagraph"/>
        <w:numPr>
          <w:ilvl w:val="0"/>
          <w:numId w:val="2"/>
        </w:numPr>
        <w:spacing w:after="70"/>
      </w:pPr>
      <w:r>
        <w:rPr>
          <w:rFonts w:ascii="Calibri" w:cs="Calibri" w:eastAsia="Calibri" w:hAnsi="Calibri"/>
          <w:b/>
          <w:bCs/>
          <w:color w:val="333A45"/>
          <w:sz w:val="21"/>
          <w:szCs w:val="21"/>
        </w:rPr>
        <w:t xml:space="preserve">The 2022 Data Export Security Assessment Measures and 2023 Standard Contract Measures</w:t>
      </w:r>
      <w:r>
        <w:rPr>
          <w:rFonts w:ascii="Calibri" w:cs="Calibri" w:eastAsia="Calibri" w:hAnsi="Calibri"/>
          <w:color w:val="333A45"/>
          <w:sz w:val="21"/>
          <w:szCs w:val="21"/>
        </w:rPr>
        <w:t xml:space="preserve"> - modified by the held 2024 Provisions (Art 13); the assessment and contract procedures' detail is not asserted.</w:t>
      </w:r>
    </w:p>
    <w:p>
      <w:pPr>
        <w:pStyle w:val="ListParagraph"/>
        <w:numPr>
          <w:ilvl w:val="0"/>
          <w:numId w:val="2"/>
        </w:numPr>
        <w:spacing w:after="70"/>
      </w:pPr>
      <w:r>
        <w:rPr>
          <w:rFonts w:ascii="Calibri" w:cs="Calibri" w:eastAsia="Calibri" w:hAnsi="Calibri"/>
          <w:b/>
          <w:bCs/>
          <w:color w:val="333A45"/>
          <w:sz w:val="21"/>
          <w:szCs w:val="21"/>
        </w:rPr>
        <w:t xml:space="preserve">Sector rules</w:t>
      </w:r>
      <w:r>
        <w:rPr>
          <w:rFonts w:ascii="Calibri" w:cs="Calibri" w:eastAsia="Calibri" w:hAnsi="Calibri"/>
          <w:color w:val="333A45"/>
          <w:sz w:val="21"/>
          <w:szCs w:val="21"/>
        </w:rPr>
        <w:t xml:space="preserve"> - finance, health, news services, publishing, audiovisual; engaged by GenAI Art 2 para 2, DeepSynth Art 24, Anthro Art 31 and named as applying in addition.</w:t>
      </w:r>
    </w:p>
    <w:p>
      <w:pPr>
        <w:pStyle w:val="ListParagraph"/>
        <w:numPr>
          <w:ilvl w:val="0"/>
          <w:numId w:val="2"/>
        </w:numPr>
        <w:spacing w:after="70"/>
      </w:pPr>
      <w:r>
        <w:rPr>
          <w:rFonts w:ascii="Calibri" w:cs="Calibri" w:eastAsia="Calibri" w:hAnsi="Calibri"/>
          <w:b/>
          <w:bCs/>
          <w:color w:val="333A45"/>
          <w:sz w:val="21"/>
          <w:szCs w:val="21"/>
        </w:rPr>
        <w:t xml:space="preserve">Local and free-trade-zone rules</w:t>
      </w:r>
      <w:r>
        <w:rPr>
          <w:rFonts w:ascii="Calibri" w:cs="Calibri" w:eastAsia="Calibri" w:hAnsi="Calibri"/>
          <w:color w:val="333A45"/>
          <w:sz w:val="21"/>
          <w:szCs w:val="21"/>
        </w:rPr>
        <w:t xml:space="preserve">, including FTZ negative lists (Xborder Art 6).</w:t>
      </w:r>
    </w:p>
    <w:p>
      <w:pPr>
        <w:pStyle w:val="ListParagraph"/>
        <w:numPr>
          <w:ilvl w:val="0"/>
          <w:numId w:val="2"/>
        </w:numPr>
        <w:spacing w:after="70"/>
      </w:pPr>
      <w:r>
        <w:rPr>
          <w:rFonts w:ascii="Calibri" w:cs="Calibri" w:eastAsia="Calibri" w:hAnsi="Calibri"/>
          <w:b/>
          <w:bCs/>
          <w:color w:val="333A45"/>
          <w:sz w:val="21"/>
          <w:szCs w:val="21"/>
        </w:rPr>
        <w:t xml:space="preserve">The Science and Technology Progress Law</w:t>
      </w:r>
      <w:r>
        <w:rPr>
          <w:rFonts w:ascii="Calibri" w:cs="Calibri" w:eastAsia="Calibri" w:hAnsi="Calibri"/>
          <w:color w:val="333A45"/>
          <w:sz w:val="21"/>
          <w:szCs w:val="21"/>
        </w:rPr>
        <w:t xml:space="preserve"> (named in GenAI Art 1), the Minors Network Protection Regulations (named in Anthro Art 1), the Civil Code, and the criminal law dimension.</w:t>
      </w:r>
    </w:p>
    <w:p>
      <w:pPr>
        <w:pStyle w:val="ListParagraph"/>
        <w:numPr>
          <w:ilvl w:val="0"/>
          <w:numId w:val="2"/>
        </w:numPr>
        <w:spacing w:after="70"/>
      </w:pPr>
      <w:r>
        <w:rPr>
          <w:rFonts w:ascii="Calibri" w:cs="Calibri" w:eastAsia="Calibri" w:hAnsi="Calibri"/>
          <w:b/>
          <w:bCs/>
          <w:color w:val="333A45"/>
          <w:sz w:val="21"/>
          <w:szCs w:val="21"/>
        </w:rPr>
        <w:t xml:space="preserve">CII designation rules</w:t>
      </w:r>
      <w:r>
        <w:rPr>
          <w:rFonts w:ascii="Calibri" w:cs="Calibri" w:eastAsia="Calibri" w:hAnsi="Calibri"/>
          <w:color w:val="333A45"/>
          <w:sz w:val="21"/>
          <w:szCs w:val="21"/>
        </w:rPr>
        <w:t xml:space="preserve"> - whether an organisation is a critical information infrastructure operator is determined under the CII Regulations, not held; the set states the consequences, not the designation.</w:t>
      </w:r>
    </w:p>
    <w:p>
      <w:pPr>
        <w:pStyle w:val="ListParagraph"/>
        <w:numPr>
          <w:ilvl w:val="0"/>
          <w:numId w:val="2"/>
        </w:numPr>
        <w:spacing w:after="70"/>
      </w:pPr>
      <w:r>
        <w:rPr>
          <w:rFonts w:ascii="Calibri" w:cs="Calibri" w:eastAsia="Calibri" w:hAnsi="Calibri"/>
          <w:b/>
          <w:bCs/>
          <w:color w:val="333A45"/>
          <w:sz w:val="21"/>
          <w:szCs w:val="21"/>
        </w:rPr>
        <w:t xml:space="preserve">Enforcement decisions and case law</w:t>
      </w:r>
      <w:r>
        <w:rPr>
          <w:rFonts w:ascii="Calibri" w:cs="Calibri" w:eastAsia="Calibri" w:hAnsi="Calibri"/>
          <w:color w:val="333A45"/>
          <w:sz w:val="21"/>
          <w:szCs w:val="21"/>
        </w:rPr>
        <w:t xml:space="preserve"> - none relied on anywhere.</w:t>
      </w:r>
    </w:p>
    <w:p>
      <w:pPr>
        <w:keepNext/>
        <w:pBdr>
          <w:bottom w:val="single" w:color="9DB9E8" w:sz="4" w:space="3"/>
        </w:pBdr>
        <w:spacing w:after="100" w:before="260"/>
      </w:pPr>
      <w:r>
        <w:rPr>
          <w:rFonts w:ascii="Calibri" w:cs="Calibri" w:eastAsia="Calibri" w:hAnsi="Calibri"/>
          <w:b/>
          <w:bCs/>
          <w:color w:val="2E5AAC"/>
          <w:sz w:val="26"/>
          <w:szCs w:val="26"/>
        </w:rPr>
        <w:t xml:space="preserve">6. What this set therefore does not say</w:t>
      </w:r>
    </w:p>
    <w:p>
      <w:pPr>
        <w:spacing w:after="110"/>
      </w:pPr>
      <w:r>
        <w:rPr>
          <w:rFonts w:ascii="Calibri" w:cs="Calibri" w:eastAsia="Calibri" w:hAnsi="Calibri"/>
          <w:color w:val="333A45"/>
          <w:sz w:val="21"/>
          <w:szCs w:val="21"/>
        </w:rPr>
        <w:t xml:space="preserve">No breach deadline beyond those read in the held texts (the 24-hour defect-report rule and the statutory notice contents) is stated. No sector obligation is stated. No FTZ negative-list position is stated. Nothing is asserted about the labelling standard's technical requirements, about assessment procedure detail under the 2022-2023 measures, or about any instrument in Chinese legal history not listed in the source register.</w:t>
      </w:r>
    </w:p>
    <w:p>
      <w:pPr>
        <w:keepNext/>
        <w:pBdr>
          <w:bottom w:val="single" w:color="9DB9E8" w:sz="4" w:space="3"/>
        </w:pBdr>
        <w:spacing w:after="100" w:before="260"/>
      </w:pPr>
      <w:r>
        <w:rPr>
          <w:rFonts w:ascii="Calibri" w:cs="Calibri" w:eastAsia="Calibri" w:hAnsi="Calibri"/>
          <w:b/>
          <w:bCs/>
          <w:color w:val="2E5AAC"/>
          <w:sz w:val="26"/>
          <w:szCs w:val="26"/>
        </w:rPr>
        <w:t xml:space="preserve">7. Method</w:t>
      </w:r>
    </w:p>
    <w:p>
      <w:pPr>
        <w:spacing w:after="110"/>
      </w:pPr>
      <w:r>
        <w:rPr>
          <w:rFonts w:ascii="Calibri" w:cs="Calibri" w:eastAsia="Calibri" w:hAnsi="Calibri"/>
          <w:color w:val="333A45"/>
          <w:sz w:val="21"/>
          <w:szCs w:val="21"/>
        </w:rPr>
        <w:t xml:space="preserve">Every provision cited resolves to text in a held Chinese file. The verification reads were performed on the Chinese texts directly - there is no translation tier in this jurisdiction because no official translation exists; unofficial translations were not used at all. One extraction note: the CAC print-to-PDF fonts encode certain characters as Unicode Kangxi radical variants; verification applied NFKC normalisation before article mapping, and article-by-article continuity was verified for all ten instruments (74, 81, 55, 64, 24, 25, 35, 14, 14, and 32 articles respectively, no gaps). Hashes were taken of the files exactly as supplied. Web search was used to locate official download pages - existence and location only, never authority.</w:t>
      </w:r>
    </w:p>
    <w:p>
      <w:pPr>
        <w:keepNext/>
        <w:pBdr>
          <w:bottom w:val="single" w:color="9DB9E8" w:sz="4" w:space="3"/>
        </w:pBdr>
        <w:spacing w:after="100" w:before="260"/>
      </w:pPr>
      <w:r>
        <w:rPr>
          <w:rFonts w:ascii="Calibri" w:cs="Calibri" w:eastAsia="Calibri" w:hAnsi="Calibri"/>
          <w:b/>
          <w:bCs/>
          <w:color w:val="2E5AAC"/>
          <w:sz w:val="26"/>
          <w:szCs w:val="26"/>
        </w:rPr>
        <w:t xml:space="preserve">8. Standing caveat</w:t>
      </w:r>
    </w:p>
    <w:p>
      <w:pPr>
        <w:spacing w:after="110"/>
      </w:pPr>
      <w:r>
        <w:rPr>
          <w:rFonts w:ascii="Calibri" w:cs="Calibri" w:eastAsia="Calibri" w:hAnsi="Calibri"/>
          <w:color w:val="333A45"/>
          <w:sz w:val="21"/>
          <w:szCs w:val="21"/>
        </w:rPr>
        <w:t xml:space="preserve">No provision cited in this set has been reviewed by qualified PRC counsel. These documents are educational templates, apply only within the stated scope, and do not constitute legal advice.</w:t>
      </w:r>
    </w:p>
    <w:sectPr>
      <w:footerReference w:type="default" r:id="rId7"/>
      <w:pgSz w:w="11906" w:h="16838" w:orient="portrait"/>
      <w:pgMar w:top="1240" w:right="1300" w:bottom="12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DB9E8" w:sz="4" w:space="4"/>
      </w:pBdr>
      <w:jc w:val="center"/>
    </w:pPr>
    <w:r>
      <w:rPr>
        <w:rFonts w:ascii="Calibri" w:cs="Calibri" w:eastAsia="Calibri" w:hAnsi="Calibri"/>
        <w:color w:val="5A6472"/>
        <w:sz w:val="16"/>
        <w:szCs w:val="16"/>
      </w:rPr>
      <w:t xml:space="preserve">undefined   |   Page </w:t>
    </w:r>
    <w:r>
      <w:rPr>
        <w:rFonts w:ascii="Calibri" w:cs="Calibri" w:eastAsia="Calibri" w:hAnsi="Calibri"/>
        <w:color w:val="5A6472"/>
        <w:sz w:val="16"/>
        <w:szCs w:val="16"/>
      </w:rPr>
      <w:fldChar w:fldCharType="begin"/>
      <w:instrText xml:space="preserve">PAGE</w:instrText>
      <w:fldChar w:fldCharType="separate"/>
      <w:fldChar w:fldCharType="end"/>
    </w:r>
    <w:r>
      <w:rPr>
        <w:rFonts w:ascii="Calibri" w:cs="Calibri" w:eastAsia="Calibri" w:hAnsi="Calibri"/>
        <w:color w:val="5A6472"/>
        <w:sz w:val="16"/>
        <w:szCs w:val="16"/>
      </w:rPr>
      <w:t xml:space="preserve"> of </w:t>
    </w:r>
    <w:r>
      <w:rPr>
        <w:rFonts w:ascii="Calibri" w:cs="Calibri" w:eastAsia="Calibri" w:hAnsi="Calibri"/>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rPr>
        <w:color w:val="2E5AA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A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note - People's Republic of China AI policy set</dc:title>
  <dc:creator>Narendra Karki</dc:creator>
  <cp:lastModifiedBy>Narendra Karki</cp:lastModifiedBy>
  <cp:revision>1</cp:revision>
  <dcterms:created xsi:type="dcterms:W3CDTF">2026-09-02T10:53:29.876Z</dcterms:created>
  <dcterms:modified xsi:type="dcterms:W3CDTF">2026-09-02T10:53:29.876Z</dcterms:modified>
</cp:coreProperties>
</file>

<file path=docProps/custom.xml><?xml version="1.0" encoding="utf-8"?>
<Properties xmlns="http://schemas.openxmlformats.org/officeDocument/2006/custom-properties" xmlns:vt="http://schemas.openxmlformats.org/officeDocument/2006/docPropsVTypes"/>
</file>