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4"/>
          <w:szCs w:val="44"/>
        </w:rPr>
        <w:t xml:space="preserve">Research note - India AI policy set</w:t>
      </w:r>
    </w:p>
    <w:p>
      <w:pPr>
        <w:spacing w:after="120" w:line="276"/>
      </w:pPr>
      <w:r>
        <w:rPr>
          <w:rFonts w:ascii="Calibri" w:cs="Calibri" w:eastAsia="Calibri" w:hAnsi="Calibri"/>
        </w:rPr>
        <w:t xml:space="preserve">Working note supporting the [ORGANISATION] Artificial Intelligence Acceptable Use Policy (India) v1.1 and the AI Governance Enterprise Annex (India) v1.1.</w:t>
      </w:r>
    </w:p>
    <w:p>
      <w:pPr>
        <w:spacing w:after="120" w:line="276"/>
      </w:pPr>
      <w:r>
        <w:rPr>
          <w:rFonts w:ascii="Calibri" w:cs="Calibri" w:eastAsia="Calibri" w:hAnsi="Calibri"/>
          <w:b/>
          <w:bCs/>
        </w:rPr>
        <w:t xml:space="preserve">Rule numbers live here, not in the policy or the annex.</w:t>
      </w:r>
      <w:r>
        <w:rPr>
          <w:rFonts w:ascii="Calibri" w:cs="Calibri" w:eastAsia="Calibri" w:hAnsi="Calibri"/>
        </w:rPr>
        <w:t xml:space="preserve"> This is where a reader can check what each clause rests on, and where the limits of the set are stated.</w:t>
      </w:r>
    </w:p>
    <w:p>
      <w:pPr>
        <w:spacing w:after="120" w:line="276"/>
      </w:pPr>
      <w:r>
        <w:rPr>
          <w:rFonts w:ascii="Calibri" w:cs="Calibri" w:eastAsia="Calibri" w:hAnsi="Calibri"/>
        </w:rPr>
        <w:t xml:space="preserve">State as at 1 September 2026.</w:t>
      </w:r>
    </w:p>
    <w:p>
      <w:pPr>
        <w:pBdr>
          <w:bottom w:val="single" w:color="9DC3E6" w:sz="6" w:space="1"/>
        </w:pBdr>
        <w:spacing w:after="200"/>
      </w:pPr>
    </w:p>
    <w:p>
      <w:pPr>
        <w:pStyle w:val="Heading1"/>
        <w:spacing w:after="120" w:before="320"/>
      </w:pPr>
      <w:r>
        <w:rPr>
          <w:rFonts w:ascii="Calibri" w:cs="Calibri" w:eastAsia="Calibri" w:hAnsi="Calibri"/>
          <w:b/>
          <w:bCs/>
          <w:color w:val="1F4E79"/>
          <w:sz w:val="30"/>
          <w:szCs w:val="30"/>
        </w:rPr>
        <w:t xml:space="preserve">1. What this set rests on, and what it does not</w:t>
      </w:r>
    </w:p>
    <w:p>
      <w:pPr>
        <w:pStyle w:val="Heading2"/>
        <w:spacing w:after="120" w:before="220"/>
      </w:pPr>
      <w:r>
        <w:rPr>
          <w:rFonts w:ascii="Calibri" w:cs="Calibri" w:eastAsia="Calibri" w:hAnsi="Calibri"/>
          <w:b/>
          <w:bCs/>
          <w:color w:val="1F4E79"/>
          <w:sz w:val="24"/>
          <w:szCs w:val="24"/>
        </w:rPr>
        <w:t xml:space="preserve">1.1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1"/>
        <w:gridCol w:w="6309"/>
      </w:tblGrid>
      <w:tr>
        <w:trPr>
          <w:tblHeader/>
        </w:trPr>
        <w:tc>
          <w:tcPr>
            <w:tcW w:type="dxa" w:w="305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Instrument</w:t>
            </w:r>
          </w:p>
        </w:tc>
        <w:tc>
          <w:tcPr>
            <w:tcW w:type="dxa" w:w="630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Reference</w:t>
            </w:r>
          </w:p>
        </w:tc>
      </w:tr>
      <w:tr>
        <w:trPr>
          <w:tblHeader w:val="false"/>
        </w:trPr>
        <w:tc>
          <w:tcPr>
            <w:tcW w:type="dxa" w:w="30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Digital Personal Data Protection Rules, 2025</w:t>
            </w:r>
          </w:p>
        </w:tc>
        <w:tc>
          <w:tcPr>
            <w:tcW w:type="dxa" w:w="63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846(E), Ministry of Electronics and Information Technology, New Delhi, 13 November 2025. Gazette of India, Extraordinary, Part II, Section 3, Sub-section (i), No. 760. Hindi and English, full text with seven Schedules</w:t>
            </w:r>
          </w:p>
        </w:tc>
      </w:tr>
      <w:tr>
        <w:trPr>
          <w:tblHeader w:val="false"/>
        </w:trPr>
        <w:tc>
          <w:tcPr>
            <w:tcW w:type="dxa" w:w="30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Corrigenda to G.S.R. 846(E)</w:t>
            </w:r>
          </w:p>
        </w:tc>
        <w:tc>
          <w:tcPr>
            <w:tcW w:type="dxa" w:w="63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892(E), 10 December 2025. Gazette No. 806, published 11 December 2025</w:t>
            </w:r>
          </w:p>
        </w:tc>
      </w:tr>
      <w:tr>
        <w:trPr>
          <w:tblHeader w:val="false"/>
        </w:trPr>
        <w:tc>
          <w:tcPr>
            <w:tcW w:type="dxa" w:w="30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Board composition notification</w:t>
            </w:r>
          </w:p>
        </w:tc>
        <w:tc>
          <w:tcPr>
            <w:tcW w:type="dxa" w:w="63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845(E), 13 November 2025. Under section 19(1) of the Act, the Data Protection Board of India </w:t>
            </w:r>
            <w:r>
              <w:rPr>
                <w:rFonts w:ascii="Calibri" w:cs="Calibri" w:eastAsia="Calibri" w:hAnsi="Calibri"/>
                <w:sz w:val="18"/>
                <w:szCs w:val="18"/>
              </w:rPr>
              <w:t xml:space="preserve">shall consist of four members</w:t>
            </w:r>
          </w:p>
        </w:tc>
      </w:tr>
      <w:tr>
        <w:trPr>
          <w:tblHeader w:val="false"/>
        </w:trPr>
        <w:tc>
          <w:tcPr>
            <w:tcW w:type="dxa" w:w="30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Digital Personal Data Protection Act, 2023</w:t>
            </w:r>
          </w:p>
        </w:tc>
        <w:tc>
          <w:tcPr>
            <w:tcW w:type="dxa" w:w="63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 22 of 2023, assented 11 August 2023. Gazette of India, Extraordinary, Part II, Section 1, No. 25, CG-DL-E-12082023-248045. Ministry of Law and Justice. 21 pp including the Schedule. Held as the Ministry of Electronics and Information Technology's copy of the gazette print</w:t>
            </w:r>
          </w:p>
        </w:tc>
      </w:tr>
      <w:tr>
        <w:trPr>
          <w:tblHeader w:val="false"/>
        </w:trPr>
        <w:tc>
          <w:tcPr>
            <w:tcW w:type="dxa" w:w="30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commencement notification</w:t>
            </w:r>
          </w:p>
        </w:tc>
        <w:tc>
          <w:tcPr>
            <w:tcW w:type="dxa" w:w="63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843(E), 13 November 2025. Gazette No. 757, CG-DL-E-14112025-267647. Appoints the Act's commencement in three tranches under s.1(2)</w:t>
            </w:r>
          </w:p>
        </w:tc>
      </w:tr>
      <w:tr>
        <w:trPr>
          <w:tblHeader w:val="false"/>
        </w:trPr>
        <w:tc>
          <w:tcPr>
            <w:tcW w:type="dxa" w:w="30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Board establishment notification</w:t>
            </w:r>
          </w:p>
        </w:tc>
        <w:tc>
          <w:tcPr>
            <w:tcW w:type="dxa" w:w="63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844(E), 13 November 2025. Gazette No. 758, CG-DL-E-14112025-267648. Establishes the Board under s.18(1) and (3), head office in the National Capital Region</w:t>
            </w:r>
          </w:p>
        </w:tc>
      </w:tr>
    </w:tbl>
    <w:p>
      <w:pPr>
        <w:spacing w:after="120"/>
      </w:pPr>
    </w:p>
    <w:p>
      <w:pPr>
        <w:pStyle w:val="Heading2"/>
        <w:spacing w:after="120" w:before="220"/>
      </w:pPr>
      <w:r>
        <w:rPr>
          <w:rFonts w:ascii="Calibri" w:cs="Calibri" w:eastAsia="Calibri" w:hAnsi="Calibri"/>
          <w:b/>
          <w:bCs/>
          <w:color w:val="1F4E79"/>
          <w:sz w:val="24"/>
          <w:szCs w:val="24"/>
        </w:rPr>
        <w:t xml:space="preserve">1.2 Held since 1 September 2026 - and what changed</w:t>
      </w:r>
    </w:p>
    <w:p>
      <w:pPr>
        <w:spacing w:after="120" w:line="276"/>
      </w:pPr>
      <w:r>
        <w:rPr>
          <w:rFonts w:ascii="Calibri" w:cs="Calibri" w:eastAsia="Calibri" w:hAnsi="Calibri"/>
          <w:b/>
          <w:bCs/>
        </w:rPr>
        <w:t xml:space="preserve">At v1.0 (31 August 2026) the Act was not held</w:t>
      </w:r>
      <w:r>
        <w:rPr>
          <w:rFonts w:ascii="Calibri" w:cs="Calibri" w:eastAsia="Calibri" w:hAnsi="Calibri"/>
        </w:rPr>
        <w:t xml:space="preserve">, and the set asserted only what the Rules require. The Act, its commencement notification and the Board establishment notification were obtained on 1 September 2026 from the Ministry's own site and read in full. Policy sections 2.2, 7.2, 7.6, 7.9, 9.6, 10.6, 11.3, 16.6, 17.2 and 22 were rewritten or added as a result; annex A4.2 and A13 were updated. Section 6 of this note, formerly the map of the gap, now records what the Act supplied at each point.</w:t>
      </w:r>
    </w:p>
    <w:p>
      <w:pPr>
        <w:spacing w:after="120" w:line="276"/>
      </w:pPr>
      <w:r>
        <w:rPr>
          <w:rFonts w:ascii="Calibri" w:cs="Calibri" w:eastAsia="Calibri" w:hAnsi="Calibri"/>
          <w:b/>
          <w:bCs/>
        </w:rPr>
        <w:t xml:space="preserve">One correction to v1.0 is recorded here rather than hidden.</w:t>
      </w:r>
      <w:r>
        <w:rPr>
          <w:rFonts w:ascii="Calibri" w:cs="Calibri" w:eastAsia="Calibri" w:hAnsi="Calibri"/>
        </w:rPr>
        <w:t xml:space="preserve"> v1.0 policy Section 10 described all of its automated-decision controls as house standards. The Act contains a statutory hook this set had not been able to see: s.8(3) requires completeness, accuracy and consistency of personal data that is likely to be used to make a decision affecting the individual. Policy 7.9 and 10.6 now carry it as law, and 10.1-10.5 remain house standards.</w:t>
      </w:r>
    </w:p>
    <w:p>
      <w:pPr>
        <w:pStyle w:val="Heading1"/>
        <w:spacing w:after="120" w:before="320"/>
      </w:pPr>
      <w:r>
        <w:rPr>
          <w:rFonts w:ascii="Calibri" w:cs="Calibri" w:eastAsia="Calibri" w:hAnsi="Calibri"/>
          <w:b/>
          <w:bCs/>
          <w:color w:val="1F4E79"/>
          <w:sz w:val="30"/>
          <w:szCs w:val="30"/>
        </w:rPr>
        <w:t xml:space="preserve">2. Commencement - the fact that shapes everything else</w:t>
      </w:r>
    </w:p>
    <w:p>
      <w:pPr>
        <w:spacing w:after="120" w:line="276"/>
      </w:pPr>
      <w:r>
        <w:rPr>
          <w:rFonts w:ascii="Calibri" w:cs="Calibri" w:eastAsia="Calibri" w:hAnsi="Calibri"/>
          <w:b/>
          <w:bCs/>
        </w:rPr>
        <w:t xml:space="preserve">Rule 1(2), (3) and (4)</w:t>
      </w:r>
      <w:r>
        <w:rPr>
          <w:rFonts w:ascii="Calibri" w:cs="Calibri" w:eastAsia="Calibri" w:hAnsi="Calibri"/>
        </w:rPr>
        <w:t xml:space="preserve"> set three dates, measured from the date of publication in the Official Gazette, which is </w:t>
      </w:r>
      <w:r>
        <w:rPr>
          <w:rFonts w:ascii="Calibri" w:cs="Calibri" w:eastAsia="Calibri" w:hAnsi="Calibri"/>
          <w:b/>
          <w:bCs/>
        </w:rPr>
        <w:t xml:space="preserve">13 November 2025</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0"/>
        <w:gridCol w:w="2702"/>
        <w:gridCol w:w="2292"/>
        <w:gridCol w:w="2256"/>
      </w:tblGrid>
      <w:tr>
        <w:trPr>
          <w:tblHeader/>
        </w:trPr>
        <w:tc>
          <w:tcPr>
            <w:tcW w:type="dxa" w:w="211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Rules</w:t>
            </w:r>
          </w:p>
        </w:tc>
        <w:tc>
          <w:tcPr>
            <w:tcW w:type="dxa" w:w="270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Commences</w:t>
            </w:r>
          </w:p>
        </w:tc>
        <w:tc>
          <w:tcPr>
            <w:tcW w:type="dxa" w:w="229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Date</w:t>
            </w:r>
          </w:p>
        </w:tc>
        <w:tc>
          <w:tcPr>
            <w:tcW w:type="dxa" w:w="2256"/>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Status at 1 Sep 2026</w:t>
            </w:r>
          </w:p>
        </w:tc>
      </w:tr>
      <w:tr>
        <w:trPr>
          <w:tblHeader w:val="false"/>
        </w:trPr>
        <w:tc>
          <w:tcPr>
            <w:tcW w:type="dxa" w:w="211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 2, 17 to 21</w:t>
            </w:r>
          </w:p>
        </w:tc>
        <w:tc>
          <w:tcPr>
            <w:tcW w:type="dxa" w:w="27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On publication</w:t>
            </w:r>
          </w:p>
        </w:tc>
        <w:tc>
          <w:tcPr>
            <w:tcW w:type="dxa" w:w="229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 November 2025</w:t>
            </w:r>
          </w:p>
        </w:tc>
        <w:tc>
          <w:tcPr>
            <w:tcW w:type="dxa" w:w="225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 force</w:t>
            </w:r>
          </w:p>
        </w:tc>
      </w:tr>
      <w:tr>
        <w:trPr>
          <w:tblHeader w:val="false"/>
        </w:trPr>
        <w:tc>
          <w:tcPr>
            <w:tcW w:type="dxa" w:w="211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27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One year after publication</w:t>
            </w:r>
          </w:p>
        </w:tc>
        <w:tc>
          <w:tcPr>
            <w:tcW w:type="dxa" w:w="229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 November 2026</w:t>
            </w:r>
          </w:p>
        </w:tc>
        <w:tc>
          <w:tcPr>
            <w:tcW w:type="dxa" w:w="225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73 days away</w:t>
            </w:r>
          </w:p>
        </w:tc>
      </w:tr>
      <w:tr>
        <w:trPr>
          <w:tblHeader w:val="false"/>
        </w:trPr>
        <w:tc>
          <w:tcPr>
            <w:tcW w:type="dxa" w:w="211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 5 to 16, 22, 23</w:t>
            </w:r>
          </w:p>
        </w:tc>
        <w:tc>
          <w:tcPr>
            <w:tcW w:type="dxa" w:w="27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Eighteen months after publication</w:t>
            </w:r>
          </w:p>
        </w:tc>
        <w:tc>
          <w:tcPr>
            <w:tcW w:type="dxa" w:w="229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 May 2027</w:t>
            </w:r>
          </w:p>
        </w:tc>
        <w:tc>
          <w:tcPr>
            <w:tcW w:type="dxa" w:w="225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254 days away</w:t>
            </w:r>
          </w:p>
        </w:tc>
      </w:tr>
    </w:tbl>
    <w:p>
      <w:pPr>
        <w:spacing w:after="120"/>
      </w:pPr>
    </w:p>
    <w:p>
      <w:pPr>
        <w:spacing w:after="120" w:line="276"/>
      </w:pPr>
      <w:r>
        <w:rPr>
          <w:rFonts w:ascii="Calibri" w:cs="Calibri" w:eastAsia="Calibri" w:hAnsi="Calibri"/>
          <w:b/>
          <w:bCs/>
        </w:rPr>
        <w:t xml:space="preserve">The Act commences separately</w:t>
      </w:r>
      <w:r>
        <w:rPr>
          <w:rFonts w:ascii="Calibri" w:cs="Calibri" w:eastAsia="Calibri" w:hAnsi="Calibri"/>
        </w:rPr>
        <w:t xml:space="preserve">, under G.S.R. 843(E) of the same date, in three tranches that match 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1"/>
        <w:gridCol w:w="1501"/>
        <w:gridCol w:w="5208"/>
      </w:tblGrid>
      <w:tr>
        <w:trPr>
          <w:tblHeader/>
        </w:trPr>
        <w:tc>
          <w:tcPr>
            <w:tcW w:type="dxa" w:w="265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Act provisions</w:t>
            </w:r>
          </w:p>
        </w:tc>
        <w:tc>
          <w:tcPr>
            <w:tcW w:type="dxa" w:w="150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Date</w:t>
            </w:r>
          </w:p>
        </w:tc>
        <w:tc>
          <w:tcPr>
            <w:tcW w:type="dxa" w:w="5208"/>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In substance</w:t>
            </w:r>
          </w:p>
        </w:tc>
      </w:tr>
      <w:tr>
        <w:trPr>
          <w:tblHeader w:val="false"/>
        </w:trPr>
        <w:tc>
          <w:tcPr>
            <w:tcW w:type="dxa" w:w="2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s.1(2), s.2, ss.18 to 26, ss.35, 38 to 43, s.44(1) and (3)</w:t>
            </w:r>
          </w:p>
        </w:tc>
        <w:tc>
          <w:tcPr>
            <w:tcW w:type="dxa" w:w="15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 November 2025</w:t>
            </w:r>
          </w:p>
        </w:tc>
        <w:tc>
          <w:tcPr>
            <w:tcW w:type="dxa" w:w="52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Definitions; establishment and constitution of the Board; protection of good-faith action; consistency with other law; bar on civil courts; rule-making, Schedule-amendment and difficulty-removal powers; the TRAI Act and RTI Act amendments</w:t>
            </w:r>
          </w:p>
        </w:tc>
      </w:tr>
      <w:tr>
        <w:trPr>
          <w:tblHeader w:val="false"/>
        </w:trPr>
        <w:tc>
          <w:tcPr>
            <w:tcW w:type="dxa" w:w="2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s.6(9), s.27(1)(d)</w:t>
            </w:r>
          </w:p>
        </w:tc>
        <w:tc>
          <w:tcPr>
            <w:tcW w:type="dxa" w:w="15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 November 2026</w:t>
            </w:r>
          </w:p>
        </w:tc>
        <w:tc>
          <w:tcPr>
            <w:tcW w:type="dxa" w:w="52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Consent Manager registration; the Board's power over breaches of registration conditions</w:t>
            </w:r>
          </w:p>
        </w:tc>
      </w:tr>
      <w:tr>
        <w:trPr>
          <w:tblHeader w:val="false"/>
        </w:trPr>
        <w:tc>
          <w:tcPr>
            <w:tcW w:type="dxa" w:w="26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ss.3 to 5, s.6(1)-(8) and (10), ss.7 to 17, s.27 (except (1)(d)), ss.28 to 34, 36, 37, s.44(2)</w:t>
            </w:r>
          </w:p>
        </w:tc>
        <w:tc>
          <w:tcPr>
            <w:tcW w:type="dxa" w:w="15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 May 2027</w:t>
            </w:r>
          </w:p>
        </w:tc>
        <w:tc>
          <w:tcPr>
            <w:tcW w:type="dxa" w:w="52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Application; grounds; notice; consent; legitimate uses; Data Fiduciary obligations; children; Significant Data Fiduciaries; all rights and duties of the Data Principal; transfers; exemptions; the Board's inquiry powers and procedure; appeals; mediation; voluntary undertakings; </w:t>
            </w:r>
            <w:r>
              <w:rPr>
                <w:rFonts w:ascii="Calibri" w:cs="Calibri" w:eastAsia="Calibri" w:hAnsi="Calibri"/>
                <w:sz w:val="18"/>
                <w:szCs w:val="18"/>
              </w:rPr>
              <w:t xml:space="preserve">penalties</w:t>
            </w:r>
            <w:r>
              <w:rPr>
                <w:rFonts w:ascii="Calibri" w:cs="Calibri" w:eastAsia="Calibri" w:hAnsi="Calibri"/>
                <w:sz w:val="18"/>
                <w:szCs w:val="18"/>
              </w:rPr>
              <w:t xml:space="preserve">; blocking; </w:t>
            </w:r>
            <w:r>
              <w:rPr>
                <w:rFonts w:ascii="Calibri" w:cs="Calibri" w:eastAsia="Calibri" w:hAnsi="Calibri"/>
                <w:sz w:val="18"/>
                <w:szCs w:val="18"/>
              </w:rPr>
              <w:t xml:space="preserve">and the omission of s.43A of the Information Technology Act, 2000</w:t>
            </w:r>
          </w:p>
        </w:tc>
      </w:tr>
    </w:tbl>
    <w:p>
      <w:pPr>
        <w:spacing w:after="120"/>
      </w:pPr>
    </w:p>
    <w:p>
      <w:pPr>
        <w:spacing w:after="120" w:line="276"/>
      </w:pPr>
      <w:r>
        <w:rPr>
          <w:rFonts w:ascii="Calibri" w:cs="Calibri" w:eastAsia="Calibri" w:hAnsi="Calibri"/>
        </w:rPr>
        <w:t xml:space="preserve">Citing one notification without the other produces the wrong answer. G.S.R. 846(E) commences the rules; G.S.R. 843(E) commences the Act. Both are needed to say what binds on a given date.</w:t>
      </w:r>
    </w:p>
    <w:p>
      <w:pPr>
        <w:spacing w:after="120" w:line="276"/>
      </w:pPr>
      <w:r>
        <w:rPr>
          <w:rFonts w:ascii="Calibri" w:cs="Calibri" w:eastAsia="Calibri" w:hAnsi="Calibri"/>
        </w:rPr>
        <w:t xml:space="preserve">What that means in substance:</w:t>
      </w:r>
    </w:p>
    <w:p>
      <w:pPr>
        <w:spacing w:after="120" w:line="276"/>
      </w:pPr>
      <w:r>
        <w:rPr>
          <w:rFonts w:ascii="Calibri" w:cs="Calibri" w:eastAsia="Calibri" w:hAnsi="Calibri"/>
          <w:b/>
          <w:bCs/>
        </w:rPr>
        <w:t xml:space="preserve">In force now</w:t>
      </w:r>
      <w:r>
        <w:rPr>
          <w:rFonts w:ascii="Calibri" w:cs="Calibri" w:eastAsia="Calibri" w:hAnsi="Calibri"/>
        </w:rPr>
        <w:t xml:space="preserve"> - rule 1 (short title and commencement), rule 2 (definitions), rules 17 to 21 (appointment of the Chairperson and Members through Search-cum-Selection Committees; their salary and terms of service under the Fifth Schedule; the Board's meeting procedure, quorum of one-third, casting vote, circulation decisions, and the six-month inquiry period; the Board's functioning as a digital office; and the terms of service of its officers and employees under the Sixth Schedule).</w:t>
      </w:r>
    </w:p>
    <w:p>
      <w:pPr>
        <w:spacing w:after="120" w:line="276"/>
      </w:pPr>
      <w:r>
        <w:rPr>
          <w:rFonts w:ascii="Calibri" w:cs="Calibri" w:eastAsia="Calibri" w:hAnsi="Calibri"/>
          <w:b/>
          <w:bCs/>
        </w:rPr>
        <w:t xml:space="preserve">Nothing in that list imposes an operating obligation on a Data Fiduciary.</w:t>
      </w:r>
      <w:r>
        <w:rPr>
          <w:rFonts w:ascii="Calibri" w:cs="Calibri" w:eastAsia="Calibri" w:hAnsi="Calibri"/>
        </w:rPr>
        <w:t xml:space="preserve"> Read with G.S.R. 845(E) fixing the Board at four members, what is live is the construction of the regulator.</w:t>
      </w:r>
    </w:p>
    <w:p>
      <w:pPr>
        <w:spacing w:after="120" w:line="276"/>
      </w:pPr>
      <w:r>
        <w:rPr>
          <w:rFonts w:ascii="Calibri" w:cs="Calibri" w:eastAsia="Calibri" w:hAnsi="Calibri"/>
          <w:b/>
          <w:bCs/>
        </w:rPr>
        <w:t xml:space="preserve">From 13 November 2026</w:t>
      </w:r>
      <w:r>
        <w:rPr>
          <w:rFonts w:ascii="Calibri" w:cs="Calibri" w:eastAsia="Calibri" w:hAnsi="Calibri"/>
        </w:rPr>
        <w:t xml:space="preserve"> - rule 4 (registration and obligations of Consent Managers, with the conditions in First Schedule Part A and the obligations in Part B).</w:t>
      </w:r>
    </w:p>
    <w:p>
      <w:pPr>
        <w:spacing w:after="120" w:line="276"/>
      </w:pPr>
      <w:r>
        <w:rPr>
          <w:rFonts w:ascii="Calibri" w:cs="Calibri" w:eastAsia="Calibri" w:hAnsi="Calibri"/>
          <w:b/>
          <w:bCs/>
        </w:rPr>
        <w:t xml:space="preserve">From 13 May 2027</w:t>
      </w:r>
      <w:r>
        <w:rPr>
          <w:rFonts w:ascii="Calibri" w:cs="Calibri" w:eastAsia="Calibri" w:hAnsi="Calibri"/>
        </w:rPr>
        <w:t xml:space="preserve"> - rule 3 (notice), rule 5 (State processing for subsidies and similar), rule 6 (reasonable security safeguards), rule 7 (intimation of personal data breach), rule 8 (erasure periods and the minimum retention period), rule 9 (contact information), rules 10 and 11 (verifiable consent for children and for persons with disability who have a lawful guardian), rule 12 (exemptions), rule 13 (additional obligations of Significant Data Fiduciaries), rule 14 (rights machinery and grievance redressal), rule 15 (transfers outside India), rule 16 (research, archiving and statistical exemption), rule 22 (appeals to the Appellate Tribunal), rule 23 (calling for information).</w:t>
      </w:r>
    </w:p>
    <w:p>
      <w:pPr>
        <w:spacing w:after="120" w:line="276"/>
      </w:pPr>
      <w:r>
        <w:rPr>
          <w:rFonts w:ascii="Calibri" w:cs="Calibri" w:eastAsia="Calibri" w:hAnsi="Calibri"/>
        </w:rPr>
        <w:t xml:space="preserve">Policy Section 4 carries this in three subsections, and annex A3 turns it into a register. Policy 4.4 states the position [ORGANISATION] takes on the interval: deferred obligations are design requirements from today, because eighteen months is shorter than the life of an AI contract signed now.</w:t>
      </w:r>
    </w:p>
    <w:p>
      <w:pPr>
        <w:pStyle w:val="Heading1"/>
        <w:spacing w:after="120" w:before="320"/>
      </w:pPr>
      <w:r>
        <w:rPr>
          <w:rFonts w:ascii="Calibri" w:cs="Calibri" w:eastAsia="Calibri" w:hAnsi="Calibri"/>
          <w:b/>
          <w:bCs/>
          <w:color w:val="1F4E79"/>
          <w:sz w:val="30"/>
          <w:szCs w:val="30"/>
        </w:rPr>
        <w:t xml:space="preserve">3. The findings worth recording</w:t>
      </w:r>
    </w:p>
    <w:p>
      <w:pPr>
        <w:pStyle w:val="Heading2"/>
        <w:spacing w:after="120" w:before="220"/>
      </w:pPr>
      <w:r>
        <w:rPr>
          <w:rFonts w:ascii="Calibri" w:cs="Calibri" w:eastAsia="Calibri" w:hAnsi="Calibri"/>
          <w:b/>
          <w:bCs/>
          <w:color w:val="1F4E79"/>
          <w:sz w:val="24"/>
          <w:szCs w:val="24"/>
        </w:rPr>
        <w:t xml:space="preserve">3.1 Breach intimation has no threshold, and two clocks run from the same moment</w:t>
      </w:r>
    </w:p>
    <w:p>
      <w:pPr>
        <w:spacing w:after="120" w:line="276"/>
      </w:pPr>
      <w:r>
        <w:rPr>
          <w:rFonts w:ascii="Calibri" w:cs="Calibri" w:eastAsia="Calibri" w:hAnsi="Calibri"/>
          <w:b/>
          <w:bCs/>
        </w:rPr>
        <w:t xml:space="preserve">Rule 7(1)</w:t>
      </w:r>
      <w:r>
        <w:rPr>
          <w:rFonts w:ascii="Calibri" w:cs="Calibri" w:eastAsia="Calibri" w:hAnsi="Calibri"/>
        </w:rPr>
        <w:t xml:space="preserve"> - "On becoming aware of </w:t>
      </w:r>
      <w:r>
        <w:rPr>
          <w:rFonts w:ascii="Calibri" w:cs="Calibri" w:eastAsia="Calibri" w:hAnsi="Calibri"/>
          <w:b/>
          <w:bCs/>
        </w:rPr>
        <w:t xml:space="preserve">any</w:t>
      </w:r>
      <w:r>
        <w:rPr>
          <w:rFonts w:ascii="Calibri" w:cs="Calibri" w:eastAsia="Calibri" w:hAnsi="Calibri"/>
        </w:rPr>
        <w:t xml:space="preserve"> personal data breach", the Data Fiduciary shall, to the best of its knowledge, intimate </w:t>
      </w:r>
      <w:r>
        <w:rPr>
          <w:rFonts w:ascii="Calibri" w:cs="Calibri" w:eastAsia="Calibri" w:hAnsi="Calibri"/>
          <w:b/>
          <w:bCs/>
        </w:rPr>
        <w:t xml:space="preserve">each affected Data Principal</w:t>
      </w:r>
      <w:r>
        <w:rPr>
          <w:rFonts w:ascii="Calibri" w:cs="Calibri" w:eastAsia="Calibri" w:hAnsi="Calibri"/>
        </w:rPr>
        <w:t xml:space="preserve">, in a concise, clear and plain manner and </w:t>
      </w:r>
      <w:r>
        <w:rPr>
          <w:rFonts w:ascii="Calibri" w:cs="Calibri" w:eastAsia="Calibri" w:hAnsi="Calibri"/>
          <w:b/>
          <w:bCs/>
        </w:rPr>
        <w:t xml:space="preserve">without delay</w:t>
      </w:r>
      <w:r>
        <w:rPr>
          <w:rFonts w:ascii="Calibri" w:cs="Calibri" w:eastAsia="Calibri" w:hAnsi="Calibri"/>
        </w:rPr>
        <w:t xml:space="preserve">, through her user account or a registered mode of communication, giving:</w:t>
      </w:r>
    </w:p>
    <w:p>
      <w:pPr>
        <w:pStyle w:val="ListParagraph"/>
        <w:numPr>
          <w:ilvl w:val="0"/>
          <w:numId w:val="2"/>
        </w:numPr>
        <w:spacing w:after="80" w:line="264"/>
      </w:pPr>
      <w:r>
        <w:rPr>
          <w:rFonts w:ascii="Calibri" w:cs="Calibri" w:eastAsia="Calibri" w:hAnsi="Calibri"/>
        </w:rPr>
        <w:t xml:space="preserve">(a) a description of the breach, including its nature, extent and the timing of its occurrence;</w:t>
      </w:r>
    </w:p>
    <w:p>
      <w:pPr>
        <w:pStyle w:val="ListParagraph"/>
        <w:numPr>
          <w:ilvl w:val="0"/>
          <w:numId w:val="2"/>
        </w:numPr>
        <w:spacing w:after="80" w:line="264"/>
      </w:pPr>
      <w:r>
        <w:rPr>
          <w:rFonts w:ascii="Calibri" w:cs="Calibri" w:eastAsia="Calibri" w:hAnsi="Calibri"/>
        </w:rPr>
        <w:t xml:space="preserve">(b) the consequences relevant to her likely to arise from the breach;</w:t>
      </w:r>
    </w:p>
    <w:p>
      <w:pPr>
        <w:pStyle w:val="ListParagraph"/>
        <w:numPr>
          <w:ilvl w:val="0"/>
          <w:numId w:val="2"/>
        </w:numPr>
        <w:spacing w:after="80" w:line="264"/>
      </w:pPr>
      <w:r>
        <w:rPr>
          <w:rFonts w:ascii="Calibri" w:cs="Calibri" w:eastAsia="Calibri" w:hAnsi="Calibri"/>
        </w:rPr>
        <w:t xml:space="preserve">(c) the measures implemented and being implemented to mitigate risk;</w:t>
      </w:r>
    </w:p>
    <w:p>
      <w:pPr>
        <w:pStyle w:val="ListParagraph"/>
        <w:numPr>
          <w:ilvl w:val="0"/>
          <w:numId w:val="2"/>
        </w:numPr>
        <w:spacing w:after="80" w:line="264"/>
      </w:pPr>
      <w:r>
        <w:rPr>
          <w:rFonts w:ascii="Calibri" w:cs="Calibri" w:eastAsia="Calibri" w:hAnsi="Calibri"/>
        </w:rPr>
        <w:t xml:space="preserve">(d) the safety measures she may take to protect her interests;</w:t>
      </w:r>
    </w:p>
    <w:p>
      <w:pPr>
        <w:pStyle w:val="ListParagraph"/>
        <w:numPr>
          <w:ilvl w:val="0"/>
          <w:numId w:val="2"/>
        </w:numPr>
        <w:spacing w:after="80" w:line="264"/>
      </w:pPr>
      <w:r>
        <w:rPr>
          <w:rFonts w:ascii="Calibri" w:cs="Calibri" w:eastAsia="Calibri" w:hAnsi="Calibri"/>
        </w:rPr>
        <w:t xml:space="preserve">(e) business contact information of a person able to respond to her queries.</w:t>
      </w:r>
    </w:p>
    <w:p>
      <w:pPr>
        <w:spacing w:after="120" w:line="276"/>
      </w:pPr>
      <w:r>
        <w:rPr>
          <w:rFonts w:ascii="Calibri" w:cs="Calibri" w:eastAsia="Calibri" w:hAnsi="Calibri"/>
          <w:b/>
          <w:bCs/>
        </w:rPr>
        <w:t xml:space="preserve">Rule 7(2)(a)</w:t>
      </w:r>
      <w:r>
        <w:rPr>
          <w:rFonts w:ascii="Calibri" w:cs="Calibri" w:eastAsia="Calibri" w:hAnsi="Calibri"/>
        </w:rPr>
        <w:t xml:space="preserve"> - on becoming aware, intimate the Board </w:t>
      </w:r>
      <w:r>
        <w:rPr>
          <w:rFonts w:ascii="Calibri" w:cs="Calibri" w:eastAsia="Calibri" w:hAnsi="Calibri"/>
          <w:b/>
          <w:bCs/>
        </w:rPr>
        <w:t xml:space="preserve">without delay</w:t>
      </w:r>
      <w:r>
        <w:rPr>
          <w:rFonts w:ascii="Calibri" w:cs="Calibri" w:eastAsia="Calibri" w:hAnsi="Calibri"/>
        </w:rPr>
        <w:t xml:space="preserve"> with a description of the breach including its nature, extent, timing and </w:t>
      </w:r>
      <w:r>
        <w:rPr>
          <w:rFonts w:ascii="Calibri" w:cs="Calibri" w:eastAsia="Calibri" w:hAnsi="Calibri"/>
          <w:b/>
          <w:bCs/>
        </w:rPr>
        <w:t xml:space="preserve">location</w:t>
      </w:r>
      <w:r>
        <w:rPr>
          <w:rFonts w:ascii="Calibri" w:cs="Calibri" w:eastAsia="Calibri" w:hAnsi="Calibri"/>
        </w:rPr>
        <w:t xml:space="preserve"> of occurrence and the likely impact.</w:t>
      </w:r>
    </w:p>
    <w:p>
      <w:pPr>
        <w:spacing w:after="120" w:line="276"/>
      </w:pPr>
      <w:r>
        <w:rPr>
          <w:rFonts w:ascii="Calibri" w:cs="Calibri" w:eastAsia="Calibri" w:hAnsi="Calibri"/>
          <w:b/>
          <w:bCs/>
        </w:rPr>
        <w:t xml:space="preserve">Rule 7(2)(b)</w:t>
      </w:r>
      <w:r>
        <w:rPr>
          <w:rFonts w:ascii="Calibri" w:cs="Calibri" w:eastAsia="Calibri" w:hAnsi="Calibri"/>
        </w:rPr>
        <w:t xml:space="preserve"> - </w:t>
      </w:r>
      <w:r>
        <w:rPr>
          <w:rFonts w:ascii="Calibri" w:cs="Calibri" w:eastAsia="Calibri" w:hAnsi="Calibri"/>
          <w:b/>
          <w:bCs/>
        </w:rPr>
        <w:t xml:space="preserve">within seventy-two hours of becoming aware</w:t>
      </w:r>
      <w:r>
        <w:rPr>
          <w:rFonts w:ascii="Calibri" w:cs="Calibri" w:eastAsia="Calibri" w:hAnsi="Calibri"/>
        </w:rPr>
        <w:t xml:space="preserve">, or a longer period the Board allows on written request, give the Board six further items: updated and detailed information on that description; the broad facts of the events, circumstances and reasons; measures implemented or proposed to mitigate risk; findings on who caused the breach; remedial measures to prevent recurrence; and a report on the intimations given to affected individuals.</w:t>
      </w:r>
    </w:p>
    <w:p>
      <w:pPr>
        <w:spacing w:after="120" w:line="276"/>
      </w:pPr>
      <w:r>
        <w:rPr>
          <w:rFonts w:ascii="Calibri" w:cs="Calibri" w:eastAsia="Calibri" w:hAnsi="Calibri"/>
        </w:rPr>
        <w:t xml:space="preserve">Three things follow that the policy states explicitly:</w:t>
      </w:r>
    </w:p>
    <w:p>
      <w:pPr>
        <w:pStyle w:val="ListParagraph"/>
        <w:numPr>
          <w:ilvl w:val="0"/>
          <w:numId w:val="2"/>
        </w:numPr>
        <w:spacing w:after="80" w:line="264"/>
      </w:pPr>
      <w:r>
        <w:rPr>
          <w:rFonts w:ascii="Calibri" w:cs="Calibri" w:eastAsia="Calibri" w:hAnsi="Calibri"/>
          <w:b/>
          <w:bCs/>
        </w:rPr>
        <w:t xml:space="preserve">There is no significance test.</w:t>
      </w:r>
      <w:r>
        <w:rPr>
          <w:rFonts w:ascii="Calibri" w:cs="Calibri" w:eastAsia="Calibri" w:hAnsi="Calibri"/>
        </w:rPr>
        <w:t xml:space="preserve"> No harm threshold, no minimum number of affected individuals, no risk gate, and no assessment step interposed before the duty attaches. Every personal data breach is intimated to every affected individual and to the Board.</w:t>
      </w:r>
    </w:p>
    <w:p>
      <w:pPr>
        <w:pStyle w:val="ListParagraph"/>
        <w:numPr>
          <w:ilvl w:val="0"/>
          <w:numId w:val="2"/>
        </w:numPr>
        <w:spacing w:after="80" w:line="264"/>
      </w:pPr>
      <w:r>
        <w:rPr>
          <w:rFonts w:ascii="Calibri" w:cs="Calibri" w:eastAsia="Calibri" w:hAnsi="Calibri"/>
          <w:b/>
          <w:bCs/>
        </w:rPr>
        <w:t xml:space="preserve">Both clocks start at awareness.</w:t>
      </w:r>
      <w:r>
        <w:rPr>
          <w:rFonts w:ascii="Calibri" w:cs="Calibri" w:eastAsia="Calibri" w:hAnsi="Calibri"/>
        </w:rPr>
        <w:t xml:space="preserve"> The seventy-two hours run from becoming aware, not from any assessment. Policy 15.5 and annex A8.3 make the recorded awareness timestamp the controlling fact.</w:t>
      </w:r>
    </w:p>
    <w:p>
      <w:pPr>
        <w:pStyle w:val="ListParagraph"/>
        <w:numPr>
          <w:ilvl w:val="0"/>
          <w:numId w:val="2"/>
        </w:numPr>
        <w:spacing w:after="80" w:line="264"/>
      </w:pPr>
      <w:r>
        <w:rPr>
          <w:rFonts w:ascii="Calibri" w:cs="Calibri" w:eastAsia="Calibri" w:hAnsi="Calibri"/>
          <w:b/>
          <w:bCs/>
        </w:rPr>
        <w:t xml:space="preserve">Knowing who is affected becomes an operational requirement of the system, not of the incident.</w:t>
      </w:r>
      <w:r>
        <w:rPr>
          <w:rFonts w:ascii="Calibri" w:cs="Calibri" w:eastAsia="Calibri" w:hAnsi="Calibri"/>
        </w:rPr>
        <w:t xml:space="preserve"> Rule 7(1) is owed to </w:t>
      </w:r>
      <w:r>
        <w:rPr>
          <w:rFonts w:ascii="Calibri" w:cs="Calibri" w:eastAsia="Calibri" w:hAnsi="Calibri"/>
          <w:i/>
          <w:iCs/>
        </w:rPr>
        <w:t xml:space="preserve">each</w:t>
      </w:r>
      <w:r>
        <w:rPr>
          <w:rFonts w:ascii="Calibri" w:cs="Calibri" w:eastAsia="Calibri" w:hAnsi="Calibri"/>
        </w:rPr>
        <w:t xml:space="preserve"> affected individual. Policy 15.6 and annex A2.1 therefore make the ability to enumerate affected individuals a condition of approving a system for personal data, and A8.4 makes inability to do so an open finding.</w:t>
      </w:r>
    </w:p>
    <w:p>
      <w:pPr>
        <w:spacing w:after="120" w:line="276"/>
      </w:pPr>
      <w:r>
        <w:rPr>
          <w:rFonts w:ascii="Calibri" w:cs="Calibri" w:eastAsia="Calibri" w:hAnsi="Calibri"/>
        </w:rPr>
        <w:t xml:space="preserve">The extension at rule 7(2)(b) is available "on a request made in writing"; nothing suggests it is available retrospectively. Annex A8.5 requires the request before the period expires and treats a late request as a distinct failure.</w:t>
      </w:r>
    </w:p>
    <w:p>
      <w:pPr>
        <w:pStyle w:val="Heading2"/>
        <w:spacing w:after="120" w:before="220"/>
      </w:pPr>
      <w:r>
        <w:rPr>
          <w:rFonts w:ascii="Calibri" w:cs="Calibri" w:eastAsia="Calibri" w:hAnsi="Calibri"/>
          <w:b/>
          <w:bCs/>
          <w:color w:val="1F4E79"/>
          <w:sz w:val="24"/>
          <w:szCs w:val="24"/>
        </w:rPr>
        <w:t xml:space="preserve">3.2 There is a minimum retention period, and it applies to everyone</w:t>
      </w:r>
    </w:p>
    <w:p>
      <w:pPr>
        <w:spacing w:after="120" w:line="276"/>
      </w:pPr>
      <w:r>
        <w:rPr>
          <w:rFonts w:ascii="Calibri" w:cs="Calibri" w:eastAsia="Calibri" w:hAnsi="Calibri"/>
        </w:rPr>
        <w:t xml:space="preserve">This is the finding most likely to be got backwards, because it inverts the usual privacy instinct.</w:t>
      </w:r>
    </w:p>
    <w:p>
      <w:pPr>
        <w:spacing w:after="120" w:line="276"/>
      </w:pPr>
      <w:r>
        <w:rPr>
          <w:rFonts w:ascii="Calibri" w:cs="Calibri" w:eastAsia="Calibri" w:hAnsi="Calibri"/>
          <w:b/>
          <w:bCs/>
        </w:rPr>
        <w:t xml:space="preserve">Rule 8(3)</w:t>
      </w:r>
      <w:r>
        <w:rPr>
          <w:rFonts w:ascii="Calibri" w:cs="Calibri" w:eastAsia="Calibri" w:hAnsi="Calibri"/>
        </w:rPr>
        <w:t xml:space="preserve"> - "a Data Fiduciary shall retain, in respect of any processing of personal data undertaken by it or on its behalf by a Data Processor, such personal data, associated traffic data and other logs of the processing </w:t>
      </w:r>
      <w:r>
        <w:rPr>
          <w:rFonts w:ascii="Calibri" w:cs="Calibri" w:eastAsia="Calibri" w:hAnsi="Calibri"/>
          <w:b/>
          <w:bCs/>
        </w:rPr>
        <w:t xml:space="preserve">for a minimum period of one year</w:t>
      </w:r>
      <w:r>
        <w:rPr>
          <w:rFonts w:ascii="Calibri" w:cs="Calibri" w:eastAsia="Calibri" w:hAnsi="Calibri"/>
        </w:rPr>
        <w:t xml:space="preserve"> from the date of such processing, for the purposes as specified in the Seventh Schedule, after which the Data Fiduciary shall cause such personal data and logs to be erased, unless further retention is required for compliance with any other law for the time being in force or notified by the Government."</w:t>
      </w:r>
    </w:p>
    <w:p>
      <w:pPr>
        <w:spacing w:after="120" w:line="276"/>
      </w:pPr>
      <w:r>
        <w:rPr>
          <w:rFonts w:ascii="Calibri" w:cs="Calibri" w:eastAsia="Calibri" w:hAnsi="Calibri"/>
        </w:rPr>
        <w:t xml:space="preserve">The subject is "a Data Fiduciary", unqualified. </w:t>
      </w:r>
      <w:r>
        <w:rPr>
          <w:rFonts w:ascii="Calibri" w:cs="Calibri" w:eastAsia="Calibri" w:hAnsi="Calibri"/>
          <w:b/>
          <w:bCs/>
        </w:rPr>
        <w:t xml:space="preserve">It is not limited to the classes in the Third Schedule, nor to Significant Data Fiduciaries.</w:t>
      </w:r>
    </w:p>
    <w:p>
      <w:pPr>
        <w:spacing w:after="120" w:line="276"/>
      </w:pPr>
      <w:r>
        <w:rPr>
          <w:rFonts w:ascii="Calibri" w:cs="Calibri" w:eastAsia="Calibri" w:hAnsi="Calibri"/>
          <w:b/>
          <w:bCs/>
        </w:rPr>
        <w:t xml:space="preserve">Rule 6(1)(e)</w:t>
      </w:r>
      <w:r>
        <w:rPr>
          <w:rFonts w:ascii="Calibri" w:cs="Calibri" w:eastAsia="Calibri" w:hAnsi="Calibri"/>
        </w:rPr>
        <w:t xml:space="preserve"> imposes a second, independent one-year floor as part of the minimum security safeguards: "for enabling the detection of unauthorised access, its investigation, remediation to prevent recurrence and continued processing in the event of such a compromise, </w:t>
      </w:r>
      <w:r>
        <w:rPr>
          <w:rFonts w:ascii="Calibri" w:cs="Calibri" w:eastAsia="Calibri" w:hAnsi="Calibri"/>
          <w:b/>
          <w:bCs/>
        </w:rPr>
        <w:t xml:space="preserve">retain such logs and personal data for a period of one year</w:t>
      </w:r>
      <w:r>
        <w:rPr>
          <w:rFonts w:ascii="Calibri" w:cs="Calibri" w:eastAsia="Calibri" w:hAnsi="Calibri"/>
        </w:rPr>
        <w:t xml:space="preserve">, unless compliance with any law for the time being in force requires otherwise."</w:t>
      </w:r>
    </w:p>
    <w:p>
      <w:pPr>
        <w:spacing w:after="120" w:line="276"/>
      </w:pPr>
      <w:r>
        <w:rPr>
          <w:rFonts w:ascii="Calibri" w:cs="Calibri" w:eastAsia="Calibri" w:hAnsi="Calibri"/>
        </w:rPr>
        <w:t xml:space="preserve">The Rules' own </w:t>
      </w:r>
      <w:r>
        <w:rPr>
          <w:rFonts w:ascii="Calibri" w:cs="Calibri" w:eastAsia="Calibri" w:hAnsi="Calibri"/>
          <w:b/>
          <w:bCs/>
        </w:rPr>
        <w:t xml:space="preserve">illustration to rule 8</w:t>
      </w:r>
      <w:r>
        <w:rPr>
          <w:rFonts w:ascii="Calibri" w:cs="Calibri" w:eastAsia="Calibri" w:hAnsi="Calibri"/>
        </w:rPr>
        <w:t xml:space="preserve"> puts it beyond argument, and its second case is directly on point for AI supply chains: a company engaging a cloud service provider as its Data Processor "is required to ensure that the [processor] also retains the data and associated logs for at least one year before erasure".</w:t>
      </w:r>
    </w:p>
    <w:p>
      <w:pPr>
        <w:spacing w:after="120" w:line="276"/>
      </w:pPr>
      <w:r>
        <w:rPr>
          <w:rFonts w:ascii="Calibri" w:cs="Calibri" w:eastAsia="Calibri" w:hAnsi="Calibri"/>
        </w:rPr>
        <w:t xml:space="preserve">Consequences the policy carries at Section 12 and 3.6, and the annex at A6.4 and A7:</w:t>
      </w:r>
    </w:p>
    <w:p>
      <w:pPr>
        <w:pStyle w:val="ListParagraph"/>
        <w:numPr>
          <w:ilvl w:val="0"/>
          <w:numId w:val="2"/>
        </w:numPr>
        <w:spacing w:after="80" w:line="264"/>
      </w:pPr>
      <w:r>
        <w:rPr>
          <w:rFonts w:ascii="Calibri" w:cs="Calibri" w:eastAsia="Calibri" w:hAnsi="Calibri"/>
        </w:rPr>
        <w:t xml:space="preserve">An AI tool configured to purge prompts and logs on a short cycle </w:t>
      </w:r>
      <w:r>
        <w:rPr>
          <w:rFonts w:ascii="Calibri" w:cs="Calibri" w:eastAsia="Calibri" w:hAnsi="Calibri"/>
          <w:b/>
          <w:bCs/>
        </w:rPr>
        <w:t xml:space="preserve">cannot be used for personal data</w:t>
      </w:r>
      <w:r>
        <w:rPr>
          <w:rFonts w:ascii="Calibri" w:cs="Calibri" w:eastAsia="Calibri" w:hAnsi="Calibri"/>
        </w:rPr>
        <w:t xml:space="preserve">. A supplier's zero-retention mode, marketed as a privacy feature, is not usable here.</w:t>
      </w:r>
    </w:p>
    <w:p>
      <w:pPr>
        <w:pStyle w:val="ListParagraph"/>
        <w:numPr>
          <w:ilvl w:val="0"/>
          <w:numId w:val="2"/>
        </w:numPr>
        <w:spacing w:after="80" w:line="264"/>
      </w:pPr>
      <w:r>
        <w:rPr>
          <w:rFonts w:ascii="Calibri" w:cs="Calibri" w:eastAsia="Calibri" w:hAnsi="Calibri"/>
        </w:rPr>
        <w:t xml:space="preserve">The one-year floor reaches supplier-side processing, so it is a contract term (annex A6.2), not only a configuration.</w:t>
      </w:r>
    </w:p>
    <w:p>
      <w:pPr>
        <w:pStyle w:val="ListParagraph"/>
        <w:numPr>
          <w:ilvl w:val="0"/>
          <w:numId w:val="2"/>
        </w:numPr>
        <w:spacing w:after="80" w:line="264"/>
      </w:pPr>
      <w:r>
        <w:rPr>
          <w:rFonts w:ascii="Calibri" w:cs="Calibri" w:eastAsia="Calibri" w:hAnsi="Calibri"/>
        </w:rPr>
        <w:t xml:space="preserve">Decommissioning a system does not authorise deleting data the minimum still covers (annex A5.4).</w:t>
      </w:r>
    </w:p>
    <w:p>
      <w:pPr>
        <w:spacing w:after="120" w:line="276"/>
      </w:pPr>
      <w:r>
        <w:rPr>
          <w:rFonts w:ascii="Calibri" w:cs="Calibri" w:eastAsia="Calibri" w:hAnsi="Calibri"/>
        </w:rPr>
        <w:t xml:space="preserve">The </w:t>
      </w:r>
      <w:r>
        <w:rPr>
          <w:rFonts w:ascii="Calibri" w:cs="Calibri" w:eastAsia="Calibri" w:hAnsi="Calibri"/>
          <w:b/>
          <w:bCs/>
        </w:rPr>
        <w:t xml:space="preserve">Seventh Schedule</w:t>
      </w:r>
      <w:r>
        <w:rPr>
          <w:rFonts w:ascii="Calibri" w:cs="Calibri" w:eastAsia="Calibri" w:hAnsi="Calibri"/>
        </w:rPr>
        <w:t xml:space="preserve"> names the purposes the retention serves: use by the State or its instrumentalities in the interest of sovereignty and integrity of India or security of the State; use by the State for performing functions or disclosing information under law; and </w:t>
      </w:r>
      <w:r>
        <w:rPr>
          <w:rFonts w:ascii="Calibri" w:cs="Calibri" w:eastAsia="Calibri" w:hAnsi="Calibri"/>
          <w:b/>
          <w:bCs/>
        </w:rPr>
        <w:t xml:space="preserve">carrying out an assessment for notifying a Data Fiduciary as a Significant Data Fiduciary</w:t>
      </w:r>
      <w:r>
        <w:rPr>
          <w:rFonts w:ascii="Calibri" w:cs="Calibri" w:eastAsia="Calibri" w:hAnsi="Calibri"/>
        </w:rPr>
        <w:t xml:space="preserve">. Rule 23(1) allows the Central Government, acting through the authorised person named in the Schedule for each purpose, to require any Data Fiduciary or intermediary to furnish information for those purposes; rule 23(2) allows it to require non-disclosure of that furnishing where disclosure would prejudicially affect sovereignty and integrity or the security of the State.</w:t>
      </w:r>
    </w:p>
    <w:p>
      <w:pPr>
        <w:pStyle w:val="Heading2"/>
        <w:spacing w:after="120" w:before="220"/>
      </w:pPr>
      <w:r>
        <w:rPr>
          <w:rFonts w:ascii="Calibri" w:cs="Calibri" w:eastAsia="Calibri" w:hAnsi="Calibri"/>
          <w:b/>
          <w:bCs/>
          <w:color w:val="1F4E79"/>
          <w:sz w:val="24"/>
          <w:szCs w:val="24"/>
        </w:rPr>
        <w:t xml:space="preserve">3.3 The erasure duty, and its collision with the floor</w:t>
      </w:r>
    </w:p>
    <w:p>
      <w:pPr>
        <w:spacing w:after="120" w:line="276"/>
      </w:pPr>
      <w:r>
        <w:rPr>
          <w:rFonts w:ascii="Calibri" w:cs="Calibri" w:eastAsia="Calibri" w:hAnsi="Calibri"/>
          <w:b/>
          <w:bCs/>
        </w:rPr>
        <w:t xml:space="preserve">Rule 8(1)</w:t>
      </w:r>
      <w:r>
        <w:rPr>
          <w:rFonts w:ascii="Calibri" w:cs="Calibri" w:eastAsia="Calibri" w:hAnsi="Calibri"/>
        </w:rPr>
        <w:t xml:space="preserve"> - a Data Fiduciary of a class specified in the </w:t>
      </w:r>
      <w:r>
        <w:rPr>
          <w:rFonts w:ascii="Calibri" w:cs="Calibri" w:eastAsia="Calibri" w:hAnsi="Calibri"/>
          <w:b/>
          <w:bCs/>
        </w:rPr>
        <w:t xml:space="preserve">Third Schedule</w:t>
      </w:r>
      <w:r>
        <w:rPr>
          <w:rFonts w:ascii="Calibri" w:cs="Calibri" w:eastAsia="Calibri" w:hAnsi="Calibri"/>
        </w:rPr>
        <w:t xml:space="preserve">, processing for the corresponding purposes, shall erase personal data - unless retention is necessary for compliance with any law - after the corresponding time period, if the Data Principal neither approaches it for the specified purpose nor exercises her rights.</w:t>
      </w:r>
    </w:p>
    <w:p>
      <w:pPr>
        <w:spacing w:after="120" w:line="276"/>
      </w:pPr>
      <w:r>
        <w:rPr>
          <w:rFonts w:ascii="Calibri" w:cs="Calibri" w:eastAsia="Calibri" w:hAnsi="Calibri"/>
          <w:b/>
          <w:bCs/>
        </w:rPr>
        <w:t xml:space="preserve">Rule 8(2)</w:t>
      </w:r>
      <w:r>
        <w:rPr>
          <w:rFonts w:ascii="Calibri" w:cs="Calibri" w:eastAsia="Calibri" w:hAnsi="Calibri"/>
        </w:rPr>
        <w:t xml:space="preserve"> - at least </w:t>
      </w:r>
      <w:r>
        <w:rPr>
          <w:rFonts w:ascii="Calibri" w:cs="Calibri" w:eastAsia="Calibri" w:hAnsi="Calibri"/>
          <w:b/>
          <w:bCs/>
        </w:rPr>
        <w:t xml:space="preserve">forty-eight hours</w:t>
      </w:r>
      <w:r>
        <w:rPr>
          <w:rFonts w:ascii="Calibri" w:cs="Calibri" w:eastAsia="Calibri" w:hAnsi="Calibri"/>
        </w:rPr>
        <w:t xml:space="preserve"> before that period completes, the Data Fiduciary must tell the individual that erasure will follow unless she logs into her user account, initiates contact for the specified purpose, or exercises a right.</w:t>
      </w:r>
    </w:p>
    <w:p>
      <w:pPr>
        <w:spacing w:after="120" w:line="276"/>
      </w:pPr>
      <w:r>
        <w:rPr>
          <w:rFonts w:ascii="Calibri" w:cs="Calibri" w:eastAsia="Calibri" w:hAnsi="Calibri"/>
          <w:b/>
          <w:bCs/>
        </w:rPr>
        <w:t xml:space="preserve">Third Schedule</w:t>
      </w:r>
      <w:r>
        <w:rPr>
          <w:rFonts w:ascii="Calibri" w:cs="Calibri" w:eastAsia="Calibri" w:hAnsi="Calibri"/>
        </w:rPr>
        <w:t xml:space="preserve"> - three classes, all with the same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3"/>
        <w:gridCol w:w="2515"/>
        <w:gridCol w:w="2440"/>
        <w:gridCol w:w="2752"/>
      </w:tblGrid>
      <w:tr>
        <w:trPr>
          <w:tblHeader/>
        </w:trPr>
        <w:tc>
          <w:tcPr>
            <w:tcW w:type="dxa" w:w="165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Class</w:t>
            </w:r>
          </w:p>
        </w:tc>
        <w:tc>
          <w:tcPr>
            <w:tcW w:type="dxa" w:w="251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Threshold</w:t>
            </w:r>
          </w:p>
        </w:tc>
        <w:tc>
          <w:tcPr>
            <w:tcW w:type="dxa" w:w="244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Purposes covered</w:t>
            </w:r>
          </w:p>
        </w:tc>
        <w:tc>
          <w:tcPr>
            <w:tcW w:type="dxa" w:w="275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Period</w:t>
            </w:r>
          </w:p>
        </w:tc>
      </w:tr>
      <w:tr>
        <w:trPr>
          <w:tblHeader w:val="false"/>
        </w:trPr>
        <w:tc>
          <w:tcPr>
            <w:tcW w:type="dxa" w:w="165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E-commerce entity</w:t>
            </w:r>
          </w:p>
        </w:tc>
        <w:tc>
          <w:tcPr>
            <w:tcW w:type="dxa" w:w="251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Not less than </w:t>
            </w:r>
            <w:r>
              <w:rPr>
                <w:rFonts w:ascii="Calibri" w:cs="Calibri" w:eastAsia="Calibri" w:hAnsi="Calibri"/>
                <w:sz w:val="18"/>
                <w:szCs w:val="18"/>
              </w:rPr>
              <w:t xml:space="preserve">two crore</w:t>
            </w:r>
            <w:r>
              <w:rPr>
                <w:rFonts w:ascii="Calibri" w:cs="Calibri" w:eastAsia="Calibri" w:hAnsi="Calibri"/>
                <w:sz w:val="18"/>
                <w:szCs w:val="18"/>
              </w:rPr>
              <w:t xml:space="preserve"> registered users in India</w:t>
            </w:r>
          </w:p>
        </w:tc>
        <w:tc>
          <w:tcPr>
            <w:tcW w:type="dxa" w:w="244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All, except enabling access to her user account and to a stored virtual token usable for money, goods or services</w:t>
            </w:r>
          </w:p>
        </w:tc>
        <w:tc>
          <w:tcPr>
            <w:tcW w:type="dxa" w:w="27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Three years</w:t>
            </w:r>
            <w:r>
              <w:rPr>
                <w:rFonts w:ascii="Calibri" w:cs="Calibri" w:eastAsia="Calibri" w:hAnsi="Calibri"/>
                <w:sz w:val="18"/>
                <w:szCs w:val="18"/>
              </w:rPr>
              <w:t xml:space="preserve"> from the date the Data Principal last approached the Data Fiduciary for the specified purpose or exercised her rights, or the commencement of the Rules, whichever is latest</w:t>
            </w:r>
          </w:p>
        </w:tc>
      </w:tr>
      <w:tr>
        <w:trPr>
          <w:tblHeader w:val="false"/>
        </w:trPr>
        <w:tc>
          <w:tcPr>
            <w:tcW w:type="dxa" w:w="165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Online gaming intermediary</w:t>
            </w:r>
          </w:p>
        </w:tc>
        <w:tc>
          <w:tcPr>
            <w:tcW w:type="dxa" w:w="251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Not less than </w:t>
            </w:r>
            <w:r>
              <w:rPr>
                <w:rFonts w:ascii="Calibri" w:cs="Calibri" w:eastAsia="Calibri" w:hAnsi="Calibri"/>
                <w:sz w:val="18"/>
                <w:szCs w:val="18"/>
              </w:rPr>
              <w:t xml:space="preserve">fifty lakh</w:t>
            </w:r>
            <w:r>
              <w:rPr>
                <w:rFonts w:ascii="Calibri" w:cs="Calibri" w:eastAsia="Calibri" w:hAnsi="Calibri"/>
                <w:sz w:val="18"/>
                <w:szCs w:val="18"/>
              </w:rPr>
              <w:t xml:space="preserve"> registered users in India</w:t>
            </w:r>
          </w:p>
        </w:tc>
        <w:tc>
          <w:tcPr>
            <w:tcW w:type="dxa" w:w="244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 exceptions</w:t>
            </w:r>
          </w:p>
        </w:tc>
        <w:tc>
          <w:tcPr>
            <w:tcW w:type="dxa" w:w="27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w:t>
            </w:r>
          </w:p>
        </w:tc>
      </w:tr>
      <w:tr>
        <w:trPr>
          <w:tblHeader w:val="false"/>
        </w:trPr>
        <w:tc>
          <w:tcPr>
            <w:tcW w:type="dxa" w:w="165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Social media intermediary</w:t>
            </w:r>
          </w:p>
        </w:tc>
        <w:tc>
          <w:tcPr>
            <w:tcW w:type="dxa" w:w="251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Not less than </w:t>
            </w:r>
            <w:r>
              <w:rPr>
                <w:rFonts w:ascii="Calibri" w:cs="Calibri" w:eastAsia="Calibri" w:hAnsi="Calibri"/>
                <w:sz w:val="18"/>
                <w:szCs w:val="18"/>
              </w:rPr>
              <w:t xml:space="preserve">two crore</w:t>
            </w:r>
            <w:r>
              <w:rPr>
                <w:rFonts w:ascii="Calibri" w:cs="Calibri" w:eastAsia="Calibri" w:hAnsi="Calibri"/>
                <w:sz w:val="18"/>
                <w:szCs w:val="18"/>
              </w:rPr>
              <w:t xml:space="preserve"> registered users in India</w:t>
            </w:r>
          </w:p>
        </w:tc>
        <w:tc>
          <w:tcPr>
            <w:tcW w:type="dxa" w:w="244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 exceptions</w:t>
            </w:r>
          </w:p>
        </w:tc>
        <w:tc>
          <w:tcPr>
            <w:tcW w:type="dxa" w:w="27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w:t>
            </w:r>
          </w:p>
        </w:tc>
      </w:tr>
    </w:tbl>
    <w:p>
      <w:pPr>
        <w:spacing w:after="120"/>
      </w:pPr>
    </w:p>
    <w:p>
      <w:pPr>
        <w:spacing w:after="120" w:line="276"/>
      </w:pPr>
      <w:r>
        <w:rPr>
          <w:rFonts w:ascii="Calibri" w:cs="Calibri" w:eastAsia="Calibri" w:hAnsi="Calibri"/>
        </w:rPr>
        <w:t xml:space="preserve">"E-commerce entity" takes its meaning from the Consumer Protection Act 2019 and excludes a seller offering goods on a marketplace; "social media intermediary" takes its meaning from rule 2(1)(w) of the IT (Intermediary Guidelines and Digital Media Ethics Code) Rules 2021.</w:t>
      </w:r>
    </w:p>
    <w:p>
      <w:pPr>
        <w:spacing w:after="120" w:line="276"/>
      </w:pPr>
      <w:r>
        <w:rPr>
          <w:rFonts w:ascii="Calibri" w:cs="Calibri" w:eastAsia="Calibri" w:hAnsi="Calibri"/>
          <w:b/>
          <w:bCs/>
        </w:rPr>
        <w:t xml:space="preserve">Two points the policy carries.</w:t>
      </w:r>
    </w:p>
    <w:p>
      <w:pPr>
        <w:spacing w:after="120" w:line="276"/>
      </w:pPr>
      <w:r>
        <w:rPr>
          <w:rFonts w:ascii="Calibri" w:cs="Calibri" w:eastAsia="Calibri" w:hAnsi="Calibri"/>
        </w:rPr>
        <w:t xml:space="preserve">First, the trigger is a </w:t>
      </w:r>
      <w:r>
        <w:rPr>
          <w:rFonts w:ascii="Calibri" w:cs="Calibri" w:eastAsia="Calibri" w:hAnsi="Calibri"/>
          <w:b/>
          <w:bCs/>
        </w:rPr>
        <w:t xml:space="preserve">registered-user threshold that a business can cross without noticing</w:t>
      </w:r>
      <w:r>
        <w:rPr>
          <w:rFonts w:ascii="Calibri" w:cs="Calibri" w:eastAsia="Calibri" w:hAnsi="Calibri"/>
        </w:rPr>
        <w:t xml:space="preserve">. Annex A7.2 requires a written determination of whether [ORGANISATION] falls within a class, revisited when user numbers move materially.</w:t>
      </w:r>
    </w:p>
    <w:p>
      <w:pPr>
        <w:spacing w:after="120" w:line="276"/>
      </w:pPr>
      <w:r>
        <w:rPr>
          <w:rFonts w:ascii="Calibri" w:cs="Calibri" w:eastAsia="Calibri" w:hAnsi="Calibri"/>
        </w:rPr>
        <w:t xml:space="preserve">Second, </w:t>
      </w:r>
      <w:r>
        <w:rPr>
          <w:rFonts w:ascii="Calibri" w:cs="Calibri" w:eastAsia="Calibri" w:hAnsi="Calibri"/>
          <w:b/>
          <w:bCs/>
        </w:rPr>
        <w:t xml:space="preserve">the one-year floor and the three-year erasure duty pull in opposite directions</w:t>
      </w:r>
      <w:r>
        <w:rPr>
          <w:rFonts w:ascii="Calibri" w:cs="Calibri" w:eastAsia="Calibri" w:hAnsi="Calibri"/>
        </w:rPr>
        <w:t xml:space="preserve">, and a team resolving the tension informally will resolve it toward deletion. Policy 12.5 and annex A7.4 require the data protection lead to resolve it in writing before configuration, and block approval on an unresolved conflict.</w:t>
      </w:r>
    </w:p>
    <w:p>
      <w:pPr>
        <w:spacing w:after="120" w:line="276"/>
      </w:pPr>
      <w:r>
        <w:rPr>
          <w:rFonts w:ascii="Calibri" w:cs="Calibri" w:eastAsia="Calibri" w:hAnsi="Calibri"/>
          <w:b/>
          <w:bCs/>
        </w:rPr>
        <w:t xml:space="preserve">An interpretive question this set does not resolve.</w:t>
      </w:r>
      <w:r>
        <w:rPr>
          <w:rFonts w:ascii="Calibri" w:cs="Calibri" w:eastAsia="Calibri" w:hAnsi="Calibri"/>
        </w:rPr>
        <w:t xml:space="preserve"> The Third Schedule period runs from the later of the individual's last contact and "the commencement of the Digital Personal Data Protection Rules, 2025". The Rules commence in three stages; rule 8 itself commences on 13 May 2027, while rules 1, 2 and 17 to 21 commenced on 13 November</w:t>
      </w:r>
    </w:p>
    <w:p>
      <w:pPr>
        <w:pStyle w:val="ListParagraph"/>
        <w:numPr>
          <w:ilvl w:val="0"/>
          <w:numId w:val="3"/>
        </w:numPr>
        <w:spacing w:after="80" w:line="264"/>
      </w:pPr>
      <w:r>
        <w:rPr>
          <w:rFonts w:ascii="Calibri" w:cs="Calibri" w:eastAsia="Calibri" w:hAnsi="Calibri"/>
        </w:rPr>
        <w:t xml:space="preserve">Which date "the commencement of the Rules" denotes is not settled by the text</w:t>
      </w:r>
    </w:p>
    <w:p>
      <w:pPr>
        <w:spacing w:after="120" w:line="276"/>
      </w:pPr>
      <w:r>
        <w:rPr>
          <w:rFonts w:ascii="Calibri" w:cs="Calibri" w:eastAsia="Calibri" w:hAnsi="Calibri"/>
        </w:rPr>
        <w:t xml:space="preserve">held. The set flags it rather than choosing, and the difference is eighteen months of retention.</w:t>
      </w:r>
    </w:p>
    <w:p>
      <w:pPr>
        <w:pStyle w:val="Heading2"/>
        <w:spacing w:after="120" w:before="220"/>
      </w:pPr>
      <w:r>
        <w:rPr>
          <w:rFonts w:ascii="Calibri" w:cs="Calibri" w:eastAsia="Calibri" w:hAnsi="Calibri"/>
          <w:b/>
          <w:bCs/>
          <w:color w:val="1F4E79"/>
          <w:sz w:val="24"/>
          <w:szCs w:val="24"/>
        </w:rPr>
        <w:t xml:space="preserve">3.4 The one AI-specific duty, and it is narrow</w:t>
      </w:r>
    </w:p>
    <w:p>
      <w:pPr>
        <w:spacing w:after="120" w:line="276"/>
      </w:pPr>
      <w:r>
        <w:rPr>
          <w:rFonts w:ascii="Calibri" w:cs="Calibri" w:eastAsia="Calibri" w:hAnsi="Calibri"/>
          <w:b/>
          <w:bCs/>
        </w:rPr>
        <w:t xml:space="preserve">Rule 13(3)</w:t>
      </w:r>
      <w:r>
        <w:rPr>
          <w:rFonts w:ascii="Calibri" w:cs="Calibri" w:eastAsia="Calibri" w:hAnsi="Calibri"/>
        </w:rPr>
        <w:t xml:space="preserve"> - "A Significant Data Fiduciary shall observe due diligence to verify that technical measures </w:t>
      </w:r>
      <w:r>
        <w:rPr>
          <w:rFonts w:ascii="Calibri" w:cs="Calibri" w:eastAsia="Calibri" w:hAnsi="Calibri"/>
          <w:b/>
          <w:bCs/>
        </w:rPr>
        <w:t xml:space="preserve">including algorithmic software</w:t>
      </w:r>
      <w:r>
        <w:rPr>
          <w:rFonts w:ascii="Calibri" w:cs="Calibri" w:eastAsia="Calibri" w:hAnsi="Calibri"/>
        </w:rPr>
        <w:t xml:space="preserve"> adopted by it for hosting, display, uploading, modification, publishing, transmission, storage, updating or sharing of personal data processed by it </w:t>
      </w:r>
      <w:r>
        <w:rPr>
          <w:rFonts w:ascii="Calibri" w:cs="Calibri" w:eastAsia="Calibri" w:hAnsi="Calibri"/>
          <w:b/>
          <w:bCs/>
        </w:rPr>
        <w:t xml:space="preserve">are not likely to pose a risk to the rights of Data Principals</w:t>
      </w:r>
      <w:r>
        <w:rPr>
          <w:rFonts w:ascii="Calibri" w:cs="Calibri" w:eastAsia="Calibri" w:hAnsi="Calibri"/>
        </w:rPr>
        <w:t xml:space="preserve">."</w:t>
      </w:r>
    </w:p>
    <w:p>
      <w:pPr>
        <w:spacing w:after="120" w:line="276"/>
      </w:pPr>
      <w:r>
        <w:rPr>
          <w:rFonts w:ascii="Calibri" w:cs="Calibri" w:eastAsia="Calibri" w:hAnsi="Calibri"/>
        </w:rPr>
        <w:t xml:space="preserve">This is the only provision in the held instruments that addresses algorithmic systems as such. Three features are worth naming.</w:t>
      </w:r>
    </w:p>
    <w:p>
      <w:pPr>
        <w:pStyle w:val="ListParagraph"/>
        <w:numPr>
          <w:ilvl w:val="0"/>
          <w:numId w:val="2"/>
        </w:numPr>
        <w:spacing w:after="80" w:line="264"/>
      </w:pPr>
      <w:r>
        <w:rPr>
          <w:rFonts w:ascii="Calibri" w:cs="Calibri" w:eastAsia="Calibri" w:hAnsi="Calibri"/>
          <w:b/>
          <w:bCs/>
        </w:rPr>
        <w:t xml:space="preserve">It is a due diligence and verification duty</w:t>
      </w:r>
      <w:r>
        <w:rPr>
          <w:rFonts w:ascii="Calibri" w:cs="Calibri" w:eastAsia="Calibri" w:hAnsi="Calibri"/>
        </w:rPr>
        <w:t xml:space="preserve">, not a prohibition, a classification scheme, or a conformity assessment. It asks the organisation to satisfy itself and to be able to show that it did.</w:t>
      </w:r>
    </w:p>
    <w:p>
      <w:pPr>
        <w:pStyle w:val="ListParagraph"/>
        <w:numPr>
          <w:ilvl w:val="0"/>
          <w:numId w:val="2"/>
        </w:numPr>
        <w:spacing w:after="80" w:line="264"/>
      </w:pPr>
      <w:r>
        <w:rPr>
          <w:rFonts w:ascii="Calibri" w:cs="Calibri" w:eastAsia="Calibri" w:hAnsi="Calibri"/>
          <w:b/>
          <w:bCs/>
        </w:rPr>
        <w:t xml:space="preserve">It attaches to Significant Data Fiduciaries only.</w:t>
      </w:r>
      <w:r>
        <w:rPr>
          <w:rFonts w:ascii="Calibri" w:cs="Calibri" w:eastAsia="Calibri" w:hAnsi="Calibri"/>
        </w:rPr>
        <w:t xml:space="preserve"> The criteria for notification are at s.10(1) of the Act: volume and sensitivity of data, risk to rights, impact on sovereignty and integrity, risk to electoral democracy, security of the State, public order. Policy 11.3 states them.</w:t>
      </w:r>
    </w:p>
    <w:p>
      <w:pPr>
        <w:pStyle w:val="ListParagraph"/>
        <w:numPr>
          <w:ilvl w:val="0"/>
          <w:numId w:val="2"/>
        </w:numPr>
        <w:spacing w:after="80" w:line="264"/>
      </w:pPr>
      <w:r>
        <w:rPr>
          <w:rFonts w:ascii="Calibri" w:cs="Calibri" w:eastAsia="Calibri" w:hAnsi="Calibri"/>
          <w:b/>
          <w:bCs/>
        </w:rPr>
        <w:t xml:space="preserve">The trigger is the handling of personal data by the software</w:t>
      </w:r>
      <w:r>
        <w:rPr>
          <w:rFonts w:ascii="Calibri" w:cs="Calibri" w:eastAsia="Calibri" w:hAnsi="Calibri"/>
        </w:rPr>
        <w:t xml:space="preserve"> - hosting, display, upload, modification, publication, transmission, storage, updating, sharing - not the making of decisions. A model that stores or shares personal data is within it whether or not it decides anything.</w:t>
      </w:r>
    </w:p>
    <w:p>
      <w:pPr>
        <w:spacing w:after="120" w:line="276"/>
      </w:pPr>
      <w:r>
        <w:rPr>
          <w:rFonts w:ascii="Calibri" w:cs="Calibri" w:eastAsia="Calibri" w:hAnsi="Calibri"/>
        </w:rPr>
        <w:t xml:space="preserve">The rest of rule 13:</w:t>
      </w:r>
    </w:p>
    <w:p>
      <w:pPr>
        <w:pStyle w:val="ListParagraph"/>
        <w:numPr>
          <w:ilvl w:val="0"/>
          <w:numId w:val="2"/>
        </w:numPr>
        <w:spacing w:after="80" w:line="264"/>
      </w:pPr>
      <w:r>
        <w:rPr>
          <w:rFonts w:ascii="Calibri" w:cs="Calibri" w:eastAsia="Calibri" w:hAnsi="Calibri"/>
          <w:b/>
          <w:bCs/>
        </w:rPr>
        <w:t xml:space="preserve">13(1)</w:t>
      </w:r>
      <w:r>
        <w:rPr>
          <w:rFonts w:ascii="Calibri" w:cs="Calibri" w:eastAsia="Calibri" w:hAnsi="Calibri"/>
        </w:rPr>
        <w:t xml:space="preserve"> - once every twelve months from notification (or from inclusion in a notified class), undertake a </w:t>
      </w:r>
      <w:r>
        <w:rPr>
          <w:rFonts w:ascii="Calibri" w:cs="Calibri" w:eastAsia="Calibri" w:hAnsi="Calibri"/>
          <w:b/>
          <w:bCs/>
        </w:rPr>
        <w:t xml:space="preserve">Data Protection Impact Assessment and an audit</w:t>
      </w:r>
      <w:r>
        <w:rPr>
          <w:rFonts w:ascii="Calibri" w:cs="Calibri" w:eastAsia="Calibri" w:hAnsi="Calibri"/>
        </w:rPr>
        <w:t xml:space="preserve"> to ensure effective observance of the Act and the Rules.</w:t>
      </w:r>
    </w:p>
    <w:p>
      <w:pPr>
        <w:pStyle w:val="ListParagraph"/>
        <w:numPr>
          <w:ilvl w:val="0"/>
          <w:numId w:val="2"/>
        </w:numPr>
        <w:spacing w:after="80" w:line="264"/>
      </w:pPr>
      <w:r>
        <w:rPr>
          <w:rFonts w:ascii="Calibri" w:cs="Calibri" w:eastAsia="Calibri" w:hAnsi="Calibri"/>
          <w:b/>
          <w:bCs/>
        </w:rPr>
        <w:t xml:space="preserve">13(2)</w:t>
      </w:r>
      <w:r>
        <w:rPr>
          <w:rFonts w:ascii="Calibri" w:cs="Calibri" w:eastAsia="Calibri" w:hAnsi="Calibri"/>
        </w:rPr>
        <w:t xml:space="preserve"> - cause the person carrying them out to </w:t>
      </w:r>
      <w:r>
        <w:rPr>
          <w:rFonts w:ascii="Calibri" w:cs="Calibri" w:eastAsia="Calibri" w:hAnsi="Calibri"/>
          <w:b/>
          <w:bCs/>
        </w:rPr>
        <w:t xml:space="preserve">furnish to the Board a report containing significant observations</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13(4)</w:t>
      </w:r>
      <w:r>
        <w:rPr>
          <w:rFonts w:ascii="Calibri" w:cs="Calibri" w:eastAsia="Calibri" w:hAnsi="Calibri"/>
        </w:rPr>
        <w:t xml:space="preserve"> - ensure that personal data specified by the Central Government, on the recommendation of a committee it constitutes, and </w:t>
      </w:r>
      <w:r>
        <w:rPr>
          <w:rFonts w:ascii="Calibri" w:cs="Calibri" w:eastAsia="Calibri" w:hAnsi="Calibri"/>
          <w:b/>
          <w:bCs/>
        </w:rPr>
        <w:t xml:space="preserve">the traffic data pertaining to its flow</w:t>
      </w:r>
      <w:r>
        <w:rPr>
          <w:rFonts w:ascii="Calibri" w:cs="Calibri" w:eastAsia="Calibri" w:hAnsi="Calibri"/>
        </w:rPr>
        <w:t xml:space="preserve">, is </w:t>
      </w:r>
      <w:r>
        <w:rPr>
          <w:rFonts w:ascii="Calibri" w:cs="Calibri" w:eastAsia="Calibri" w:hAnsi="Calibri"/>
          <w:b/>
          <w:bCs/>
        </w:rPr>
        <w:t xml:space="preserve">not transferred outside the territory of India</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13(5)</w:t>
      </w:r>
      <w:r>
        <w:rPr>
          <w:rFonts w:ascii="Calibri" w:cs="Calibri" w:eastAsia="Calibri" w:hAnsi="Calibri"/>
        </w:rPr>
        <w:t xml:space="preserve"> - the committee includes officials of the Ministry of Electronics and Information Technology and may include officials of other Ministries or Departments.</w:t>
      </w:r>
    </w:p>
    <w:p>
      <w:pPr>
        <w:spacing w:after="120" w:line="276"/>
      </w:pPr>
      <w:r>
        <w:rPr>
          <w:rFonts w:ascii="Calibri" w:cs="Calibri" w:eastAsia="Calibri" w:hAnsi="Calibri"/>
        </w:rPr>
        <w:t xml:space="preserve">Policy 11.4 applies 13(3) to every Level 4 system as a house standard, and says so. Annex A4.4 treats 13(4) as an architectural constraint before it is a compliance one, because a system that cannot be relocated to India cannot comply with a specification issued later.</w:t>
      </w:r>
    </w:p>
    <w:p>
      <w:pPr>
        <w:pStyle w:val="Heading2"/>
        <w:spacing w:after="120" w:before="220"/>
      </w:pPr>
      <w:r>
        <w:rPr>
          <w:rFonts w:ascii="Calibri" w:cs="Calibri" w:eastAsia="Calibri" w:hAnsi="Calibri"/>
          <w:b/>
          <w:bCs/>
          <w:color w:val="1F4E79"/>
          <w:sz w:val="24"/>
          <w:szCs w:val="24"/>
        </w:rPr>
        <w:t xml:space="preserve">3.5 Notice: itemised, standalone, and symmetric on withdrawal</w:t>
      </w:r>
    </w:p>
    <w:p>
      <w:pPr>
        <w:spacing w:after="120" w:line="276"/>
      </w:pPr>
      <w:r>
        <w:rPr>
          <w:rFonts w:ascii="Calibri" w:cs="Calibri" w:eastAsia="Calibri" w:hAnsi="Calibri"/>
          <w:b/>
          <w:bCs/>
        </w:rPr>
        <w:t xml:space="preserve">Rule 3</w:t>
      </w:r>
      <w:r>
        <w:rPr>
          <w:rFonts w:ascii="Calibri" w:cs="Calibri" w:eastAsia="Calibri" w:hAnsi="Calibri"/>
        </w:rPr>
        <w:t xml:space="preserve"> - the notice given by the Data Fiduciary to the Data Principal shall:</w:t>
      </w:r>
    </w:p>
    <w:p>
      <w:pPr>
        <w:pStyle w:val="ListParagraph"/>
        <w:numPr>
          <w:ilvl w:val="0"/>
          <w:numId w:val="2"/>
        </w:numPr>
        <w:spacing w:after="80" w:line="264"/>
      </w:pPr>
      <w:r>
        <w:rPr>
          <w:rFonts w:ascii="Calibri" w:cs="Calibri" w:eastAsia="Calibri" w:hAnsi="Calibri"/>
          <w:b/>
          <w:bCs/>
        </w:rPr>
        <w:t xml:space="preserve">(a)</w:t>
      </w:r>
      <w:r>
        <w:rPr>
          <w:rFonts w:ascii="Calibri" w:cs="Calibri" w:eastAsia="Calibri" w:hAnsi="Calibri"/>
        </w:rPr>
        <w:t xml:space="preserve"> be presented and be understandable </w:t>
      </w:r>
      <w:r>
        <w:rPr>
          <w:rFonts w:ascii="Calibri" w:cs="Calibri" w:eastAsia="Calibri" w:hAnsi="Calibri"/>
          <w:b/>
          <w:bCs/>
        </w:rPr>
        <w:t xml:space="preserve">independently of any other information</w:t>
      </w:r>
      <w:r>
        <w:rPr>
          <w:rFonts w:ascii="Calibri" w:cs="Calibri" w:eastAsia="Calibri" w:hAnsi="Calibri"/>
        </w:rPr>
        <w:t xml:space="preserve"> that has been, is or may be made available by the Data Fiduciary;</w:t>
      </w:r>
    </w:p>
    <w:p>
      <w:pPr>
        <w:pStyle w:val="ListParagraph"/>
        <w:numPr>
          <w:ilvl w:val="0"/>
          <w:numId w:val="2"/>
        </w:numPr>
        <w:spacing w:after="80" w:line="264"/>
      </w:pPr>
      <w:r>
        <w:rPr>
          <w:rFonts w:ascii="Calibri" w:cs="Calibri" w:eastAsia="Calibri" w:hAnsi="Calibri"/>
          <w:b/>
          <w:bCs/>
        </w:rPr>
        <w:t xml:space="preserve">(b)</w:t>
      </w:r>
      <w:r>
        <w:rPr>
          <w:rFonts w:ascii="Calibri" w:cs="Calibri" w:eastAsia="Calibri" w:hAnsi="Calibri"/>
        </w:rPr>
        <w:t xml:space="preserve"> give, in clear and plain language, a fair account of the details necessary to enable </w:t>
      </w:r>
      <w:r>
        <w:rPr>
          <w:rFonts w:ascii="Calibri" w:cs="Calibri" w:eastAsia="Calibri" w:hAnsi="Calibri"/>
          <w:b/>
          <w:bCs/>
        </w:rPr>
        <w:t xml:space="preserve">specific and informed</w:t>
      </w:r>
      <w:r>
        <w:rPr>
          <w:rFonts w:ascii="Calibri" w:cs="Calibri" w:eastAsia="Calibri" w:hAnsi="Calibri"/>
        </w:rPr>
        <w:t xml:space="preserve"> consent, including at the minimum </w:t>
      </w:r>
      <w:r>
        <w:rPr>
          <w:rFonts w:ascii="Calibri" w:cs="Calibri" w:eastAsia="Calibri" w:hAnsi="Calibri"/>
          <w:b/>
          <w:bCs/>
        </w:rPr>
        <w:t xml:space="preserve">(i) an itemised description of such personal data</w:t>
      </w:r>
      <w:r>
        <w:rPr>
          <w:rFonts w:ascii="Calibri" w:cs="Calibri" w:eastAsia="Calibri" w:hAnsi="Calibri"/>
        </w:rPr>
        <w:t xml:space="preserve"> and </w:t>
      </w:r>
      <w:r>
        <w:rPr>
          <w:rFonts w:ascii="Calibri" w:cs="Calibri" w:eastAsia="Calibri" w:hAnsi="Calibri"/>
          <w:b/>
          <w:bCs/>
        </w:rPr>
        <w:t xml:space="preserve">(ii) the specified purpose or purposes of, and specific description of the goods or services to be provided or uses to be enabled by, such processing</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(c)</w:t>
      </w:r>
      <w:r>
        <w:rPr>
          <w:rFonts w:ascii="Calibri" w:cs="Calibri" w:eastAsia="Calibri" w:hAnsi="Calibri"/>
        </w:rPr>
        <w:t xml:space="preserve"> give the particular communication link for accessing the website or app, and a description of other means if any, by which she may </w:t>
      </w:r>
      <w:r>
        <w:rPr>
          <w:rFonts w:ascii="Calibri" w:cs="Calibri" w:eastAsia="Calibri" w:hAnsi="Calibri"/>
          <w:b/>
          <w:bCs/>
        </w:rPr>
        <w:t xml:space="preserve">(i) withdraw her consent, with the ease of doing so being comparable to that with which such consent was given</w:t>
      </w:r>
      <w:r>
        <w:rPr>
          <w:rFonts w:ascii="Calibri" w:cs="Calibri" w:eastAsia="Calibri" w:hAnsi="Calibri"/>
        </w:rPr>
        <w:t xml:space="preserve">, </w:t>
      </w:r>
      <w:r>
        <w:rPr>
          <w:rFonts w:ascii="Calibri" w:cs="Calibri" w:eastAsia="Calibri" w:hAnsi="Calibri"/>
          <w:b/>
          <w:bCs/>
        </w:rPr>
        <w:t xml:space="preserve">(ii)</w:t>
      </w:r>
      <w:r>
        <w:rPr>
          <w:rFonts w:ascii="Calibri" w:cs="Calibri" w:eastAsia="Calibri" w:hAnsi="Calibri"/>
        </w:rPr>
        <w:t xml:space="preserve"> exercise her rights under the Act, and </w:t>
      </w:r>
      <w:r>
        <w:rPr>
          <w:rFonts w:ascii="Calibri" w:cs="Calibri" w:eastAsia="Calibri" w:hAnsi="Calibri"/>
          <w:b/>
          <w:bCs/>
        </w:rPr>
        <w:t xml:space="preserve">(iii)</w:t>
      </w:r>
      <w:r>
        <w:rPr>
          <w:rFonts w:ascii="Calibri" w:cs="Calibri" w:eastAsia="Calibri" w:hAnsi="Calibri"/>
        </w:rPr>
        <w:t xml:space="preserve"> make a complaint to the Board.</w:t>
      </w:r>
    </w:p>
    <w:p>
      <w:pPr>
        <w:spacing w:after="120" w:line="276"/>
      </w:pPr>
      <w:r>
        <w:rPr>
          <w:rFonts w:ascii="Calibri" w:cs="Calibri" w:eastAsia="Calibri" w:hAnsi="Calibri"/>
        </w:rPr>
        <w:t xml:space="preserve">Two requirements here are unusually concrete and are the ones AI deployments fail.</w:t>
      </w:r>
    </w:p>
    <w:p>
      <w:pPr>
        <w:spacing w:after="120" w:line="276"/>
      </w:pPr>
      <w:r>
        <w:rPr>
          <w:rFonts w:ascii="Calibri" w:cs="Calibri" w:eastAsia="Calibri" w:hAnsi="Calibri"/>
          <w:b/>
          <w:bCs/>
        </w:rPr>
        <w:t xml:space="preserve">"Itemised description of such personal data"</w:t>
      </w:r>
      <w:r>
        <w:rPr>
          <w:rFonts w:ascii="Calibri" w:cs="Calibri" w:eastAsia="Calibri" w:hAnsi="Calibri"/>
        </w:rPr>
        <w:t xml:space="preserve"> is not a category label. Policy 7.4 states this and draws the consequence: a notice that does not say what goes into the AI system cannot support consent for putting it there. Annex A5.2 makes a change that adds a field or a purpose a change to the notice.</w:t>
      </w:r>
    </w:p>
    <w:p>
      <w:pPr>
        <w:spacing w:after="120" w:line="276"/>
      </w:pPr>
      <w:r>
        <w:rPr>
          <w:rFonts w:ascii="Calibri" w:cs="Calibri" w:eastAsia="Calibri" w:hAnsi="Calibri"/>
          <w:b/>
          <w:bCs/>
        </w:rPr>
        <w:t xml:space="preserve">Parity of ease between giving and withdrawing consent</w:t>
      </w:r>
      <w:r>
        <w:rPr>
          <w:rFonts w:ascii="Calibri" w:cs="Calibri" w:eastAsia="Calibri" w:hAnsi="Calibri"/>
        </w:rPr>
        <w:t xml:space="preserve"> is expressed in the rule itself. Policy 7.3 carries it verbatim in substance.</w:t>
      </w:r>
    </w:p>
    <w:p>
      <w:pPr>
        <w:spacing w:after="120" w:line="276"/>
      </w:pPr>
      <w:r>
        <w:rPr>
          <w:rFonts w:ascii="Calibri" w:cs="Calibri" w:eastAsia="Calibri" w:hAnsi="Calibri"/>
          <w:b/>
          <w:bCs/>
        </w:rPr>
        <w:t xml:space="preserve">Rule 9</w:t>
      </w:r>
      <w:r>
        <w:rPr>
          <w:rFonts w:ascii="Calibri" w:cs="Calibri" w:eastAsia="Calibri" w:hAnsi="Calibri"/>
        </w:rPr>
        <w:t xml:space="preserve"> - every Data Fiduciary shall </w:t>
      </w:r>
      <w:r>
        <w:rPr>
          <w:rFonts w:ascii="Calibri" w:cs="Calibri" w:eastAsia="Calibri" w:hAnsi="Calibri"/>
          <w:b/>
          <w:bCs/>
        </w:rPr>
        <w:t xml:space="preserve">prominently publish on its website or app, and mention in every response</w:t>
      </w:r>
      <w:r>
        <w:rPr>
          <w:rFonts w:ascii="Calibri" w:cs="Calibri" w:eastAsia="Calibri" w:hAnsi="Calibri"/>
        </w:rPr>
        <w:t xml:space="preserve"> to a communication for the exercise of rights, the business contact information of the Data Protection Officer if applicable, or of a person able to answer questions about the processing. The per-response limb is the one that decays; policy 8.2 and annex A1.3 hold it.</w:t>
      </w:r>
    </w:p>
    <w:p>
      <w:pPr>
        <w:pStyle w:val="Heading2"/>
        <w:spacing w:after="120" w:before="220"/>
      </w:pPr>
      <w:r>
        <w:rPr>
          <w:rFonts w:ascii="Calibri" w:cs="Calibri" w:eastAsia="Calibri" w:hAnsi="Calibri"/>
          <w:b/>
          <w:bCs/>
          <w:color w:val="1F4E79"/>
          <w:sz w:val="24"/>
          <w:szCs w:val="24"/>
        </w:rPr>
        <w:t xml:space="preserve">3.6 Children and persons with disability - verification, not inference</w:t>
      </w:r>
    </w:p>
    <w:p>
      <w:pPr>
        <w:spacing w:after="120" w:line="276"/>
      </w:pPr>
      <w:r>
        <w:rPr>
          <w:rFonts w:ascii="Calibri" w:cs="Calibri" w:eastAsia="Calibri" w:hAnsi="Calibri"/>
          <w:b/>
          <w:bCs/>
        </w:rPr>
        <w:t xml:space="preserve">Rule 10(1)</w:t>
      </w:r>
      <w:r>
        <w:rPr>
          <w:rFonts w:ascii="Calibri" w:cs="Calibri" w:eastAsia="Calibri" w:hAnsi="Calibri"/>
        </w:rPr>
        <w:t xml:space="preserve"> - the Data Fiduciary shall adopt appropriate technical and organisational measures to ensure </w:t>
      </w:r>
      <w:r>
        <w:rPr>
          <w:rFonts w:ascii="Calibri" w:cs="Calibri" w:eastAsia="Calibri" w:hAnsi="Calibri"/>
          <w:b/>
          <w:bCs/>
        </w:rPr>
        <w:t xml:space="preserve">verifiable consent of the parent</w:t>
      </w:r>
      <w:r>
        <w:rPr>
          <w:rFonts w:ascii="Calibri" w:cs="Calibri" w:eastAsia="Calibri" w:hAnsi="Calibri"/>
        </w:rPr>
        <w:t xml:space="preserve"> is obtained before processing any personal data of a child, and shall observe due diligence to check that the individual identifying herself as the parent is an adult who is identifiable if required in connection with compliance with any law, by reference to (a) reliable identity and age details available with the Data Fiduciary, or (b) details voluntarily provided by the individual or through a virtual token mapped to them issued by an authorised entity.</w:t>
      </w:r>
    </w:p>
    <w:p>
      <w:pPr>
        <w:spacing w:after="120" w:line="276"/>
      </w:pPr>
      <w:r>
        <w:rPr>
          <w:rFonts w:ascii="Calibri" w:cs="Calibri" w:eastAsia="Calibri" w:hAnsi="Calibri"/>
        </w:rPr>
        <w:t xml:space="preserve">"Adult" is an individual who has completed eighteen years (rule 10(2)(a)). "Authorised entity" covers an entity entrusted by law or government with issuing identity and age details or a mapped virtual token, and includes details made available and verified by a Digital Locker service provider (rule 10(2)(b)). The rule carries four illustrated cases distinguishing a parent already registered with the Data Fiduciary from one who is not.</w:t>
      </w:r>
    </w:p>
    <w:p>
      <w:pPr>
        <w:spacing w:after="120" w:line="276"/>
      </w:pPr>
      <w:r>
        <w:rPr>
          <w:rFonts w:ascii="Calibri" w:cs="Calibri" w:eastAsia="Calibri" w:hAnsi="Calibri"/>
          <w:b/>
          <w:bCs/>
        </w:rPr>
        <w:t xml:space="preserve">Rule 11(1)</w:t>
      </w:r>
      <w:r>
        <w:rPr>
          <w:rFonts w:ascii="Calibri" w:cs="Calibri" w:eastAsia="Calibri" w:hAnsi="Calibri"/>
        </w:rPr>
        <w:t xml:space="preserve"> - where an individual identifies herself as the </w:t>
      </w:r>
      <w:r>
        <w:rPr>
          <w:rFonts w:ascii="Calibri" w:cs="Calibri" w:eastAsia="Calibri" w:hAnsi="Calibri"/>
          <w:b/>
          <w:bCs/>
        </w:rPr>
        <w:t xml:space="preserve">lawful guardian of a person with disability</w:t>
      </w:r>
      <w:r>
        <w:rPr>
          <w:rFonts w:ascii="Calibri" w:cs="Calibri" w:eastAsia="Calibri" w:hAnsi="Calibri"/>
        </w:rPr>
        <w:t xml:space="preserve">, the Data Fiduciary shall observe due diligence to verify that the guardian was appointed by a court, a designated authority under section 15 of the Rights of Persons with Disabilities Act 2016, or a local level committee under section 13 of the National Trust Act 1999.</w:t>
      </w:r>
    </w:p>
    <w:p>
      <w:pPr>
        <w:spacing w:after="120" w:line="276"/>
      </w:pPr>
      <w:r>
        <w:rPr>
          <w:rFonts w:ascii="Calibri" w:cs="Calibri" w:eastAsia="Calibri" w:hAnsi="Calibri"/>
        </w:rPr>
        <w:t xml:space="preserve">Policy 9.3 draws the operational point: these are verification duties and an AI system cannot discharge them. Age estimation, document classification and identity scoring can support the check; the determination is a person's.</w:t>
      </w:r>
    </w:p>
    <w:p>
      <w:pPr>
        <w:spacing w:after="120" w:line="276"/>
      </w:pPr>
      <w:r>
        <w:rPr>
          <w:rFonts w:ascii="Calibri" w:cs="Calibri" w:eastAsia="Calibri" w:hAnsi="Calibri"/>
          <w:b/>
          <w:bCs/>
        </w:rPr>
        <w:t xml:space="preserve">Rule 12</w:t>
      </w:r>
      <w:r>
        <w:rPr>
          <w:rFonts w:ascii="Calibri" w:cs="Calibri" w:eastAsia="Calibri" w:hAnsi="Calibri"/>
        </w:rPr>
        <w:t xml:space="preserve"> with the </w:t>
      </w:r>
      <w:r>
        <w:rPr>
          <w:rFonts w:ascii="Calibri" w:cs="Calibri" w:eastAsia="Calibri" w:hAnsi="Calibri"/>
          <w:b/>
          <w:bCs/>
        </w:rPr>
        <w:t xml:space="preserve">Fourth Schedule</w:t>
      </w:r>
      <w:r>
        <w:rPr>
          <w:rFonts w:ascii="Calibri" w:cs="Calibri" w:eastAsia="Calibri" w:hAnsi="Calibri"/>
        </w:rPr>
        <w:t xml:space="preserve"> exempts sub-sections (1) and (3) of section 9 of the Act - </w:t>
      </w:r>
      <w:r>
        <w:rPr>
          <w:rFonts w:ascii="Calibri" w:cs="Calibri" w:eastAsia="Calibri" w:hAnsi="Calibri"/>
          <w:b/>
          <w:bCs/>
        </w:rPr>
        <w:t xml:space="preserve">verifiable parental consent, and the prohibition on tracking, behavioural monitoring and targeted advertising directed at children</w:t>
      </w:r>
      <w:r>
        <w:rPr>
          <w:rFonts w:ascii="Calibri" w:cs="Calibri" w:eastAsia="Calibri" w:hAnsi="Calibri"/>
        </w:rPr>
        <w:t xml:space="preserve"> - for:</w:t>
      </w:r>
    </w:p>
    <w:p>
      <w:pPr>
        <w:pStyle w:val="ListParagraph"/>
        <w:numPr>
          <w:ilvl w:val="0"/>
          <w:numId w:val="2"/>
        </w:numPr>
        <w:spacing w:after="80" w:line="264"/>
      </w:pPr>
      <w:r>
        <w:rPr>
          <w:rFonts w:ascii="Calibri" w:cs="Calibri" w:eastAsia="Calibri" w:hAnsi="Calibri"/>
          <w:b/>
          <w:bCs/>
        </w:rPr>
        <w:t xml:space="preserve">Part A, classes</w:t>
      </w:r>
      <w:r>
        <w:rPr>
          <w:rFonts w:ascii="Calibri" w:cs="Calibri" w:eastAsia="Calibri" w:hAnsi="Calibri"/>
        </w:rPr>
        <w:t xml:space="preserve">: clinical establishments, mental health establishments and healthcare professionals (processing restricted to provision of health services to the child, to the extent necessary for protection of her health); allied healthcare professionals (supporting implementation of a treatment and referral plan); educational institutions (tracking and behavioural monitoring for educational activities or in the interests of children's safety); individuals caring for infants and children in a creche or day care centre (tracking and behavioural monitoring in the interests of safety); and entities engaged by such institutions for transport (tracking location during travel to and from).</w:t>
      </w:r>
    </w:p>
    <w:p>
      <w:pPr>
        <w:pStyle w:val="ListParagraph"/>
        <w:numPr>
          <w:ilvl w:val="0"/>
          <w:numId w:val="2"/>
        </w:numPr>
        <w:spacing w:after="80" w:line="264"/>
      </w:pPr>
      <w:r>
        <w:rPr>
          <w:rFonts w:ascii="Calibri" w:cs="Calibri" w:eastAsia="Calibri" w:hAnsi="Calibri"/>
          <w:b/>
          <w:bCs/>
        </w:rPr>
        <w:t xml:space="preserve">Part B, purposes</w:t>
      </w:r>
      <w:r>
        <w:rPr>
          <w:rFonts w:ascii="Calibri" w:cs="Calibri" w:eastAsia="Calibri" w:hAnsi="Calibri"/>
        </w:rPr>
        <w:t xml:space="preserve">: exercise of powers or functions in the interests of a child under law; provision of a subsidy, benefit, service, certificate, licence or permit in a child's interests under section 7(b); creation of a user account limited to email communication; determination of a child's real-time location in the interest of her safety; ensuring that information, a service or an advertisement likely to be detrimental to a child's well-being is not accessible to her; and confirming that a Data Principal is not a child, and observing rule 10 due diligence.</w:t>
      </w:r>
    </w:p>
    <w:p>
      <w:pPr>
        <w:spacing w:after="120" w:line="276"/>
      </w:pPr>
      <w:r>
        <w:rPr>
          <w:rFonts w:ascii="Calibri" w:cs="Calibri" w:eastAsia="Calibri" w:hAnsi="Calibri"/>
        </w:rPr>
        <w:t xml:space="preserve">Each is subject to the condition that processing is restricted to what is necessary. </w:t>
      </w:r>
      <w:r>
        <w:rPr>
          <w:rFonts w:ascii="Calibri" w:cs="Calibri" w:eastAsia="Calibri" w:hAnsi="Calibri"/>
          <w:b/>
          <w:bCs/>
        </w:rPr>
        <w:t xml:space="preserve">Because the exempted sub-sections are in the Act, this set cannot state what the exemption relieves the organisation of.</w:t>
      </w:r>
      <w:r>
        <w:rPr>
          <w:rFonts w:ascii="Calibri" w:cs="Calibri" w:eastAsia="Calibri" w:hAnsi="Calibri"/>
        </w:rPr>
        <w:t xml:space="preserve"> Policy 9.4 therefore requires a written determination by the data protection lead against the conditions and forbids assuming an exemption applies; 9.5 keeps children's data out of AI tools until that exists.</w:t>
      </w:r>
    </w:p>
    <w:p>
      <w:pPr>
        <w:pStyle w:val="Heading2"/>
        <w:spacing w:after="120" w:before="220"/>
      </w:pPr>
      <w:r>
        <w:rPr>
          <w:rFonts w:ascii="Calibri" w:cs="Calibri" w:eastAsia="Calibri" w:hAnsi="Calibri"/>
          <w:b/>
          <w:bCs/>
          <w:color w:val="1F4E79"/>
          <w:sz w:val="24"/>
          <w:szCs w:val="24"/>
        </w:rPr>
        <w:t xml:space="preserve">3.7 Security safeguards - a prescribed minimum list</w:t>
      </w:r>
    </w:p>
    <w:p>
      <w:pPr>
        <w:spacing w:after="120" w:line="276"/>
      </w:pPr>
      <w:r>
        <w:rPr>
          <w:rFonts w:ascii="Calibri" w:cs="Calibri" w:eastAsia="Calibri" w:hAnsi="Calibri"/>
          <w:b/>
          <w:bCs/>
        </w:rPr>
        <w:t xml:space="preserve">Rule 6(1)</w:t>
      </w:r>
      <w:r>
        <w:rPr>
          <w:rFonts w:ascii="Calibri" w:cs="Calibri" w:eastAsia="Calibri" w:hAnsi="Calibri"/>
        </w:rPr>
        <w:t xml:space="preserve"> - a Data Fiduciary shall protect personal data in its possession or under its control, </w:t>
      </w:r>
      <w:r>
        <w:rPr>
          <w:rFonts w:ascii="Calibri" w:cs="Calibri" w:eastAsia="Calibri" w:hAnsi="Calibri"/>
          <w:b/>
          <w:bCs/>
        </w:rPr>
        <w:t xml:space="preserve">including in respect of any processing undertaken by it or on its behalf by a Data Processor</w:t>
      </w:r>
      <w:r>
        <w:rPr>
          <w:rFonts w:ascii="Calibri" w:cs="Calibri" w:eastAsia="Calibri" w:hAnsi="Calibri"/>
        </w:rPr>
        <w:t xml:space="preserve">, by taking reasonable security safeguards to prevent personal data breach, which shall include </w:t>
      </w:r>
      <w:r>
        <w:rPr>
          <w:rFonts w:ascii="Calibri" w:cs="Calibri" w:eastAsia="Calibri" w:hAnsi="Calibri"/>
          <w:b/>
          <w:bCs/>
        </w:rPr>
        <w:t xml:space="preserve">at the minimum</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1"/>
        <w:gridCol w:w="7509"/>
      </w:tblGrid>
      <w:tr>
        <w:trPr>
          <w:tblHeader/>
        </w:trPr>
        <w:tc>
          <w:tcPr>
            <w:tcW w:type="dxa" w:w="185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p>
        </w:tc>
        <w:tc>
          <w:tcPr>
            <w:tcW w:type="dxa" w:w="750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Requirement</w:t>
            </w:r>
          </w:p>
        </w:tc>
      </w:tr>
      <w:tr>
        <w:trPr>
          <w:tblHeader w:val="false"/>
        </w:trPr>
        <w:tc>
          <w:tcPr>
            <w:tcW w:type="dxa" w:w="18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w:t>
            </w:r>
          </w:p>
        </w:tc>
        <w:tc>
          <w:tcPr>
            <w:tcW w:type="dxa" w:w="75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Appropriate data security measures, such as securing personal data through </w:t>
            </w:r>
            <w:r>
              <w:rPr>
                <w:rFonts w:ascii="Calibri" w:cs="Calibri" w:eastAsia="Calibri" w:hAnsi="Calibri"/>
                <w:sz w:val="18"/>
                <w:szCs w:val="18"/>
              </w:rPr>
              <w:t xml:space="preserve">encryption, obfuscation, masking or the use of virtual tokens</w:t>
            </w:r>
            <w:r>
              <w:rPr>
                <w:rFonts w:ascii="Calibri" w:cs="Calibri" w:eastAsia="Calibri" w:hAnsi="Calibri"/>
                <w:sz w:val="18"/>
                <w:szCs w:val="18"/>
              </w:rPr>
              <w:t xml:space="preserve"> mapped to that personal data</w:t>
            </w:r>
          </w:p>
        </w:tc>
      </w:tr>
      <w:tr>
        <w:trPr>
          <w:tblHeader w:val="false"/>
        </w:trPr>
        <w:tc>
          <w:tcPr>
            <w:tcW w:type="dxa" w:w="18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w:t>
            </w:r>
          </w:p>
        </w:tc>
        <w:tc>
          <w:tcPr>
            <w:tcW w:type="dxa" w:w="75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Appropriate measures to </w:t>
            </w:r>
            <w:r>
              <w:rPr>
                <w:rFonts w:ascii="Calibri" w:cs="Calibri" w:eastAsia="Calibri" w:hAnsi="Calibri"/>
                <w:sz w:val="18"/>
                <w:szCs w:val="18"/>
              </w:rPr>
              <w:t xml:space="preserve">control access</w:t>
            </w:r>
            <w:r>
              <w:rPr>
                <w:rFonts w:ascii="Calibri" w:cs="Calibri" w:eastAsia="Calibri" w:hAnsi="Calibri"/>
                <w:sz w:val="18"/>
                <w:szCs w:val="18"/>
              </w:rPr>
              <w:t xml:space="preserve"> to the computer resources used by the Data Fiduciary or the Data Processor</w:t>
            </w:r>
          </w:p>
        </w:tc>
      </w:tr>
      <w:tr>
        <w:trPr>
          <w:tblHeader w:val="false"/>
        </w:trPr>
        <w:tc>
          <w:tcPr>
            <w:tcW w:type="dxa" w:w="18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w:t>
            </w:r>
          </w:p>
        </w:tc>
        <w:tc>
          <w:tcPr>
            <w:tcW w:type="dxa" w:w="75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Visibility on the accessing</w:t>
            </w:r>
            <w:r>
              <w:rPr>
                <w:rFonts w:ascii="Calibri" w:cs="Calibri" w:eastAsia="Calibri" w:hAnsi="Calibri"/>
                <w:sz w:val="18"/>
                <w:szCs w:val="18"/>
              </w:rPr>
              <w:t xml:space="preserve"> of personal data, through appropriate logs, monitoring and review, for enabling detection of unauthorised access, its investigation and remediation to prevent recurrence</w:t>
            </w:r>
          </w:p>
        </w:tc>
      </w:tr>
      <w:tr>
        <w:trPr>
          <w:tblHeader w:val="false"/>
        </w:trPr>
        <w:tc>
          <w:tcPr>
            <w:tcW w:type="dxa" w:w="18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w:t>
            </w:r>
          </w:p>
        </w:tc>
        <w:tc>
          <w:tcPr>
            <w:tcW w:type="dxa" w:w="75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Reasonable measures for </w:t>
            </w:r>
            <w:r>
              <w:rPr>
                <w:rFonts w:ascii="Calibri" w:cs="Calibri" w:eastAsia="Calibri" w:hAnsi="Calibri"/>
                <w:sz w:val="18"/>
                <w:szCs w:val="18"/>
              </w:rPr>
              <w:t xml:space="preserve">continued processing</w:t>
            </w:r>
            <w:r>
              <w:rPr>
                <w:rFonts w:ascii="Calibri" w:cs="Calibri" w:eastAsia="Calibri" w:hAnsi="Calibri"/>
                <w:sz w:val="18"/>
                <w:szCs w:val="18"/>
              </w:rPr>
              <w:t xml:space="preserve"> where confidentiality, integrity or availability is compromised, such as data backups</w:t>
            </w:r>
          </w:p>
        </w:tc>
      </w:tr>
      <w:tr>
        <w:trPr>
          <w:tblHeader w:val="false"/>
        </w:trPr>
        <w:tc>
          <w:tcPr>
            <w:tcW w:type="dxa" w:w="18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w:t>
            </w:r>
          </w:p>
        </w:tc>
        <w:tc>
          <w:tcPr>
            <w:tcW w:type="dxa" w:w="75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Retention of such logs and personal data for one year</w:t>
            </w:r>
            <w:r>
              <w:rPr>
                <w:rFonts w:ascii="Calibri" w:cs="Calibri" w:eastAsia="Calibri" w:hAnsi="Calibri"/>
                <w:sz w:val="18"/>
                <w:szCs w:val="18"/>
              </w:rPr>
              <w:t xml:space="preserve"> (see 3.2)</w:t>
            </w:r>
          </w:p>
        </w:tc>
      </w:tr>
      <w:tr>
        <w:trPr>
          <w:tblHeader w:val="false"/>
        </w:trPr>
        <w:tc>
          <w:tcPr>
            <w:tcW w:type="dxa" w:w="18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(f)</w:t>
            </w:r>
          </w:p>
        </w:tc>
        <w:tc>
          <w:tcPr>
            <w:tcW w:type="dxa" w:w="75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Appropriate provision in the contract</w:t>
            </w:r>
            <w:r>
              <w:rPr>
                <w:rFonts w:ascii="Calibri" w:cs="Calibri" w:eastAsia="Calibri" w:hAnsi="Calibri"/>
                <w:sz w:val="18"/>
                <w:szCs w:val="18"/>
              </w:rPr>
              <w:t xml:space="preserve"> between the Data Fiduciary and the Data Processor for taking reasonable security safeguards</w:t>
            </w:r>
          </w:p>
        </w:tc>
      </w:tr>
      <w:tr>
        <w:trPr>
          <w:tblHeader w:val="false"/>
        </w:trPr>
        <w:tc>
          <w:tcPr>
            <w:tcW w:type="dxa" w:w="185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w:t>
            </w:r>
          </w:p>
        </w:tc>
        <w:tc>
          <w:tcPr>
            <w:tcW w:type="dxa" w:w="75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Appropriate technical and organisational measures to ensure effective observance of security safeguards</w:t>
            </w:r>
          </w:p>
        </w:tc>
      </w:tr>
    </w:tbl>
    <w:p>
      <w:pPr>
        <w:spacing w:after="120"/>
      </w:pPr>
    </w:p>
    <w:p>
      <w:pPr>
        <w:spacing w:after="120" w:line="276"/>
      </w:pPr>
      <w:r>
        <w:rPr>
          <w:rFonts w:ascii="Calibri" w:cs="Calibri" w:eastAsia="Calibri" w:hAnsi="Calibri"/>
        </w:rPr>
        <w:t xml:space="preserve">"Computer resource" carries its meaning from the Information Technology Act 2000 (rule 6(2)).</w:t>
      </w:r>
    </w:p>
    <w:p>
      <w:pPr>
        <w:spacing w:after="120" w:line="276"/>
      </w:pPr>
      <w:r>
        <w:rPr>
          <w:rFonts w:ascii="Calibri" w:cs="Calibri" w:eastAsia="Calibri" w:hAnsi="Calibri"/>
        </w:rPr>
        <w:t xml:space="preserve">Policy Section 13 reproduces the list as the floor it is, and 13.2 states the point that follows: meeting every item does not by itself make the safeguards reasonable; failing any makes them unreasonable. Item (f) is why annex A6.2 puts the security safeguards clause first among the contract terms, and 13.5 is why an AI tool that cannot evidence access is not approved for personal data.</w:t>
      </w:r>
    </w:p>
    <w:p>
      <w:pPr>
        <w:pStyle w:val="Heading2"/>
        <w:spacing w:after="120" w:before="220"/>
      </w:pPr>
      <w:r>
        <w:rPr>
          <w:rFonts w:ascii="Calibri" w:cs="Calibri" w:eastAsia="Calibri" w:hAnsi="Calibri"/>
          <w:b/>
          <w:bCs/>
          <w:color w:val="1F4E79"/>
          <w:sz w:val="24"/>
          <w:szCs w:val="24"/>
        </w:rPr>
        <w:t xml:space="preserve">3.8 Transfers: a specific-order regime, not an adequacy regime</w:t>
      </w:r>
    </w:p>
    <w:p>
      <w:pPr>
        <w:spacing w:after="120" w:line="276"/>
      </w:pPr>
      <w:r>
        <w:rPr>
          <w:rFonts w:ascii="Calibri" w:cs="Calibri" w:eastAsia="Calibri" w:hAnsi="Calibri"/>
          <w:b/>
          <w:bCs/>
        </w:rPr>
        <w:t xml:space="preserve">Rule 15</w:t>
      </w:r>
      <w:r>
        <w:rPr>
          <w:rFonts w:ascii="Calibri" w:cs="Calibri" w:eastAsia="Calibri" w:hAnsi="Calibri"/>
        </w:rPr>
        <w:t xml:space="preserve"> - personal data processed by a Data Fiduciary under the Act "may be transferred outside the territory of India subject to the restriction that the Data Fiduciary shall meet such requirements as the Central Government may, by general or special order, specify in respect of making such personal data available to any foreign State, or to any person or entity under the control of or any agency of such a State."</w:t>
      </w:r>
    </w:p>
    <w:p>
      <w:pPr>
        <w:spacing w:after="120" w:line="276"/>
      </w:pPr>
      <w:r>
        <w:rPr>
          <w:rFonts w:ascii="Calibri" w:cs="Calibri" w:eastAsia="Calibri" w:hAnsi="Calibri"/>
        </w:rPr>
        <w:t xml:space="preserve">Two features:</w:t>
      </w:r>
    </w:p>
    <w:p>
      <w:pPr>
        <w:pStyle w:val="ListParagraph"/>
        <w:numPr>
          <w:ilvl w:val="0"/>
          <w:numId w:val="2"/>
        </w:numPr>
        <w:spacing w:after="80" w:line="264"/>
      </w:pPr>
      <w:r>
        <w:rPr>
          <w:rFonts w:ascii="Calibri" w:cs="Calibri" w:eastAsia="Calibri" w:hAnsi="Calibri"/>
          <w:b/>
          <w:bCs/>
        </w:rPr>
        <w:t xml:space="preserve">Transfer is permitted by default</w:t>
      </w:r>
      <w:r>
        <w:rPr>
          <w:rFonts w:ascii="Calibri" w:cs="Calibri" w:eastAsia="Calibri" w:hAnsi="Calibri"/>
        </w:rPr>
        <w:t xml:space="preserve">, subject to requirements the Central Government may specify. There is no adequacy list, no standard clauses, and no prior authorisation in the held text.</w:t>
      </w:r>
    </w:p>
    <w:p>
      <w:pPr>
        <w:pStyle w:val="ListParagraph"/>
        <w:numPr>
          <w:ilvl w:val="0"/>
          <w:numId w:val="2"/>
        </w:numPr>
        <w:spacing w:after="80" w:line="264"/>
      </w:pPr>
      <w:r>
        <w:rPr>
          <w:rFonts w:ascii="Calibri" w:cs="Calibri" w:eastAsia="Calibri" w:hAnsi="Calibri"/>
          <w:b/>
          <w:bCs/>
        </w:rPr>
        <w:t xml:space="preserve">The restriction is directed at making data available to a foreign State</w:t>
      </w:r>
      <w:r>
        <w:rPr>
          <w:rFonts w:ascii="Calibri" w:cs="Calibri" w:eastAsia="Calibri" w:hAnsi="Calibri"/>
        </w:rPr>
        <w:t xml:space="preserve">, or to a person or entity under its control or agency - not at commercial transfers as such.</w:t>
      </w:r>
    </w:p>
    <w:p>
      <w:pPr>
        <w:spacing w:after="120" w:line="276"/>
      </w:pPr>
      <w:r>
        <w:rPr>
          <w:rFonts w:ascii="Calibri" w:cs="Calibri" w:eastAsia="Calibri" w:hAnsi="Calibri"/>
          <w:b/>
          <w:bCs/>
        </w:rPr>
        <w:t xml:space="preserve">No general or special order is held.</w:t>
      </w:r>
      <w:r>
        <w:rPr>
          <w:rFonts w:ascii="Calibri" w:cs="Calibri" w:eastAsia="Calibri" w:hAnsi="Calibri"/>
        </w:rPr>
        <w:t xml:space="preserve"> Policy 17.2 says so and routes the position to the data protection lead.</w:t>
      </w:r>
    </w:p>
    <w:p>
      <w:pPr>
        <w:spacing w:after="120" w:line="276"/>
      </w:pPr>
      <w:r>
        <w:rPr>
          <w:rFonts w:ascii="Calibri" w:cs="Calibri" w:eastAsia="Calibri" w:hAnsi="Calibri"/>
        </w:rPr>
        <w:t xml:space="preserve">Separately, </w:t>
      </w:r>
      <w:r>
        <w:rPr>
          <w:rFonts w:ascii="Calibri" w:cs="Calibri" w:eastAsia="Calibri" w:hAnsi="Calibri"/>
          <w:b/>
          <w:bCs/>
        </w:rPr>
        <w:t xml:space="preserve">rule 13(4)</w:t>
      </w:r>
      <w:r>
        <w:rPr>
          <w:rFonts w:ascii="Calibri" w:cs="Calibri" w:eastAsia="Calibri" w:hAnsi="Calibri"/>
        </w:rPr>
        <w:t xml:space="preserve"> imposes an outright localisation duty on Significant Data Fiduciaries for personal data the Central Government specifies, and for the traffic data of its flow. No specification is held.</w:t>
      </w:r>
    </w:p>
    <w:p>
      <w:pPr>
        <w:pStyle w:val="Heading2"/>
        <w:spacing w:after="120" w:before="220"/>
      </w:pPr>
      <w:r>
        <w:rPr>
          <w:rFonts w:ascii="Calibri" w:cs="Calibri" w:eastAsia="Calibri" w:hAnsi="Calibri"/>
          <w:b/>
          <w:bCs/>
          <w:color w:val="1F4E79"/>
          <w:sz w:val="24"/>
          <w:szCs w:val="24"/>
        </w:rPr>
        <w:t xml:space="preserve">3.9 Rights machinery and the ninety-day grievance period</w:t>
      </w:r>
    </w:p>
    <w:p>
      <w:pPr>
        <w:spacing w:after="120" w:line="276"/>
      </w:pPr>
      <w:r>
        <w:rPr>
          <w:rFonts w:ascii="Calibri" w:cs="Calibri" w:eastAsia="Calibri" w:hAnsi="Calibri"/>
          <w:b/>
          <w:bCs/>
        </w:rPr>
        <w:t xml:space="preserve">Rule 14(1)</w:t>
      </w:r>
      <w:r>
        <w:rPr>
          <w:rFonts w:ascii="Calibri" w:cs="Calibri" w:eastAsia="Calibri" w:hAnsi="Calibri"/>
        </w:rPr>
        <w:t xml:space="preserve"> - the Data Fiduciary and, where applicable, the Consent Manager, shall prominently publish on its website or app (a) the details of the means by which a Data Principal may make a request to exercise her rights, and (b) the particulars, such as a username or other identifier, which may be required to identify her under its terms of service.</w:t>
      </w:r>
    </w:p>
    <w:p>
      <w:pPr>
        <w:spacing w:after="120" w:line="276"/>
      </w:pPr>
      <w:r>
        <w:rPr>
          <w:rFonts w:ascii="Calibri" w:cs="Calibri" w:eastAsia="Calibri" w:hAnsi="Calibri"/>
          <w:b/>
          <w:bCs/>
        </w:rPr>
        <w:t xml:space="preserve">Rule 14(2)</w:t>
      </w:r>
      <w:r>
        <w:rPr>
          <w:rFonts w:ascii="Calibri" w:cs="Calibri" w:eastAsia="Calibri" w:hAnsi="Calibri"/>
        </w:rPr>
        <w:t xml:space="preserve"> - she may make the request to the Data Fiduciary to whom she has previously given consent, using the means and particulars required.</w:t>
      </w:r>
    </w:p>
    <w:p>
      <w:pPr>
        <w:spacing w:after="120" w:line="276"/>
      </w:pPr>
      <w:r>
        <w:rPr>
          <w:rFonts w:ascii="Calibri" w:cs="Calibri" w:eastAsia="Calibri" w:hAnsi="Calibri"/>
          <w:b/>
          <w:bCs/>
        </w:rPr>
        <w:t xml:space="preserve">Rule 14(3)</w:t>
      </w:r>
      <w:r>
        <w:rPr>
          <w:rFonts w:ascii="Calibri" w:cs="Calibri" w:eastAsia="Calibri" w:hAnsi="Calibri"/>
        </w:rPr>
        <w:t xml:space="preserve"> - every Data Fiduciary and Consent Manager shall prominently publish its grievance redressal system for responding to grievances </w:t>
      </w:r>
      <w:r>
        <w:rPr>
          <w:rFonts w:ascii="Calibri" w:cs="Calibri" w:eastAsia="Calibri" w:hAnsi="Calibri"/>
          <w:b/>
          <w:bCs/>
        </w:rPr>
        <w:t xml:space="preserve">within a reasonable period not exceeding ninety days</w:t>
      </w:r>
      <w:r>
        <w:rPr>
          <w:rFonts w:ascii="Calibri" w:cs="Calibri" w:eastAsia="Calibri" w:hAnsi="Calibri"/>
        </w:rPr>
        <w:t xml:space="preserve">, and shall implement appropriate technical and organisational measures to ensure the system responds within that period.</w:t>
      </w:r>
    </w:p>
    <w:p>
      <w:pPr>
        <w:spacing w:after="120" w:line="276"/>
      </w:pPr>
      <w:r>
        <w:rPr>
          <w:rFonts w:ascii="Calibri" w:cs="Calibri" w:eastAsia="Calibri" w:hAnsi="Calibri"/>
          <w:b/>
          <w:bCs/>
        </w:rPr>
        <w:t xml:space="preserve">Rule 14(4)</w:t>
      </w:r>
      <w:r>
        <w:rPr>
          <w:rFonts w:ascii="Calibri" w:cs="Calibri" w:eastAsia="Calibri" w:hAnsi="Calibri"/>
        </w:rPr>
        <w:t xml:space="preserve"> - she may </w:t>
      </w:r>
      <w:r>
        <w:rPr>
          <w:rFonts w:ascii="Calibri" w:cs="Calibri" w:eastAsia="Calibri" w:hAnsi="Calibri"/>
          <w:b/>
          <w:bCs/>
        </w:rPr>
        <w:t xml:space="preserve">nominate</w:t>
      </w:r>
      <w:r>
        <w:rPr>
          <w:rFonts w:ascii="Calibri" w:cs="Calibri" w:eastAsia="Calibri" w:hAnsi="Calibri"/>
        </w:rPr>
        <w:t xml:space="preserve"> one or more individuals to exercise her rights, in accordance with the terms of service and applicable law.</w:t>
      </w:r>
    </w:p>
    <w:p>
      <w:pPr>
        <w:spacing w:after="120" w:line="276"/>
      </w:pPr>
      <w:r>
        <w:rPr>
          <w:rFonts w:ascii="Calibri" w:cs="Calibri" w:eastAsia="Calibri" w:hAnsi="Calibri"/>
          <w:b/>
          <w:bCs/>
        </w:rPr>
        <w:t xml:space="preserve">Rule 14(5)</w:t>
      </w:r>
      <w:r>
        <w:rPr>
          <w:rFonts w:ascii="Calibri" w:cs="Calibri" w:eastAsia="Calibri" w:hAnsi="Calibri"/>
        </w:rPr>
        <w:t xml:space="preserve"> - "identifier" means any sequence of characters issued by the Data Fiduciary to identify her, including a customer identification file number, customer acquisition form number, application reference number, enrolment ID, email address, mobile number or licence number.</w:t>
      </w:r>
    </w:p>
    <w:p>
      <w:pPr>
        <w:spacing w:after="120" w:line="276"/>
      </w:pPr>
      <w:r>
        <w:rPr>
          <w:rFonts w:ascii="Calibri" w:cs="Calibri" w:eastAsia="Calibri" w:hAnsi="Calibri"/>
          <w:b/>
          <w:bCs/>
        </w:rPr>
        <w:t xml:space="preserve">The rights themselves are conferred by the Act and are not stated in this set.</w:t>
      </w:r>
      <w:r>
        <w:rPr>
          <w:rFonts w:ascii="Calibri" w:cs="Calibri" w:eastAsia="Calibri" w:hAnsi="Calibri"/>
        </w:rPr>
        <w:t xml:space="preserve"> Rule 14 is machinery for exercising them. Policy 16.6 says so.</w:t>
      </w:r>
    </w:p>
    <w:p>
      <w:pPr>
        <w:spacing w:after="120" w:line="276"/>
      </w:pPr>
      <w:r>
        <w:rPr>
          <w:rFonts w:ascii="Calibri" w:cs="Calibri" w:eastAsia="Calibri" w:hAnsi="Calibri"/>
        </w:rPr>
        <w:t xml:space="preserve">The drafting of rule 14(3) runs the publication obligation and the ninety-day response period together. This set reads the ninety days as the outer limit for responding, and policy 16.2 treats it as an outer limit rather than a target while requiring an internal service level.</w:t>
      </w:r>
    </w:p>
    <w:p>
      <w:pPr>
        <w:pStyle w:val="Heading2"/>
        <w:spacing w:after="120" w:before="220"/>
      </w:pPr>
      <w:r>
        <w:rPr>
          <w:rFonts w:ascii="Calibri" w:cs="Calibri" w:eastAsia="Calibri" w:hAnsi="Calibri"/>
          <w:b/>
          <w:bCs/>
          <w:color w:val="1F4E79"/>
          <w:sz w:val="24"/>
          <w:szCs w:val="24"/>
        </w:rPr>
        <w:t xml:space="preserve">3.10 The Consent Manager - an institution with no direct analogue</w:t>
      </w:r>
    </w:p>
    <w:p>
      <w:pPr>
        <w:spacing w:after="120" w:line="276"/>
      </w:pPr>
      <w:r>
        <w:rPr>
          <w:rFonts w:ascii="Calibri" w:cs="Calibri" w:eastAsia="Calibri" w:hAnsi="Calibri"/>
          <w:b/>
          <w:bCs/>
        </w:rPr>
        <w:t xml:space="preserve">Rule 4</w:t>
      </w:r>
      <w:r>
        <w:rPr>
          <w:rFonts w:ascii="Calibri" w:cs="Calibri" w:eastAsia="Calibri" w:hAnsi="Calibri"/>
        </w:rPr>
        <w:t xml:space="preserve"> - a person fulfilling the conditions in </w:t>
      </w:r>
      <w:r>
        <w:rPr>
          <w:rFonts w:ascii="Calibri" w:cs="Calibri" w:eastAsia="Calibri" w:hAnsi="Calibri"/>
          <w:b/>
          <w:bCs/>
        </w:rPr>
        <w:t xml:space="preserve">First Schedule Part A</w:t>
      </w:r>
      <w:r>
        <w:rPr>
          <w:rFonts w:ascii="Calibri" w:cs="Calibri" w:eastAsia="Calibri" w:hAnsi="Calibri"/>
        </w:rPr>
        <w:t xml:space="preserve"> may apply to the Board for registration as a Consent Manager. The Board may inquire, register and publish particulars, or reject with reasons; may direct remedial measures for non-adherence after a hearing; may suspend or cancel registration and give directions in the interests of Data Principals, after a hearing and for recorded reasons; and may require information.</w:t>
      </w:r>
    </w:p>
    <w:p>
      <w:pPr>
        <w:spacing w:after="120" w:line="276"/>
      </w:pPr>
      <w:r>
        <w:rPr>
          <w:rFonts w:ascii="Calibri" w:cs="Calibri" w:eastAsia="Calibri" w:hAnsi="Calibri"/>
          <w:b/>
          <w:bCs/>
        </w:rPr>
        <w:t xml:space="preserve">Part A conditions</w:t>
      </w:r>
      <w:r>
        <w:rPr>
          <w:rFonts w:ascii="Calibri" w:cs="Calibri" w:eastAsia="Calibri" w:hAnsi="Calibri"/>
        </w:rPr>
        <w:t xml:space="preserve"> include: incorporation as a company in India; sufficient technical, operational and financial capacity; sound financial condition and general character of management; </w:t>
      </w:r>
      <w:r>
        <w:rPr>
          <w:rFonts w:ascii="Calibri" w:cs="Calibri" w:eastAsia="Calibri" w:hAnsi="Calibri"/>
          <w:b/>
          <w:bCs/>
        </w:rPr>
        <w:t xml:space="preserve">net worth not less than two crore rupees</w:t>
      </w:r>
      <w:r>
        <w:rPr>
          <w:rFonts w:ascii="Calibri" w:cs="Calibri" w:eastAsia="Calibri" w:hAnsi="Calibri"/>
        </w:rPr>
        <w:t xml:space="preserve">; adequate volume of business, capital structure and earning prospects; fit and proper directors, key managerial personnel and senior management; constitutional documents containing required provisions; operations in the interests of Data Principals; and independent certification.</w:t>
      </w:r>
    </w:p>
    <w:p>
      <w:pPr>
        <w:spacing w:after="120" w:line="276"/>
      </w:pPr>
      <w:r>
        <w:rPr>
          <w:rFonts w:ascii="Calibri" w:cs="Calibri" w:eastAsia="Calibri" w:hAnsi="Calibri"/>
          <w:b/>
          <w:bCs/>
        </w:rPr>
        <w:t xml:space="preserve">Part B obligations</w:t>
      </w:r>
      <w:r>
        <w:rPr>
          <w:rFonts w:ascii="Calibri" w:cs="Calibri" w:eastAsia="Calibri" w:hAnsi="Calibri"/>
        </w:rPr>
        <w:t xml:space="preserve"> include, among others: enabling consent to be given directly to an onboarded Data Fiduciary or routed through another; </w:t>
      </w:r>
      <w:r>
        <w:rPr>
          <w:rFonts w:ascii="Calibri" w:cs="Calibri" w:eastAsia="Calibri" w:hAnsi="Calibri"/>
          <w:b/>
          <w:bCs/>
        </w:rPr>
        <w:t xml:space="preserve">ensuring that the manner of making available or sharing the personal data is such that the contents are not readable by the Consent Manager</w:t>
      </w:r>
      <w:r>
        <w:rPr>
          <w:rFonts w:ascii="Calibri" w:cs="Calibri" w:eastAsia="Calibri" w:hAnsi="Calibri"/>
        </w:rPr>
        <w:t xml:space="preserve">; maintaining a record of consents given, denied and withdrawn, the notices preceding them, and the sharing of personal data, giving the individual access to that record, making it available in machine-readable form on request, and </w:t>
      </w:r>
      <w:r>
        <w:rPr>
          <w:rFonts w:ascii="Calibri" w:cs="Calibri" w:eastAsia="Calibri" w:hAnsi="Calibri"/>
          <w:b/>
          <w:bCs/>
        </w:rPr>
        <w:t xml:space="preserve">retaining it for at least seven years</w:t>
      </w:r>
      <w:r>
        <w:rPr>
          <w:rFonts w:ascii="Calibri" w:cs="Calibri" w:eastAsia="Calibri" w:hAnsi="Calibri"/>
        </w:rPr>
        <w:t xml:space="preserve">; maintaining a website or app as the primary means of access; </w:t>
      </w:r>
      <w:r>
        <w:rPr>
          <w:rFonts w:ascii="Calibri" w:cs="Calibri" w:eastAsia="Calibri" w:hAnsi="Calibri"/>
          <w:b/>
          <w:bCs/>
        </w:rPr>
        <w:t xml:space="preserve">not sub-contracting or assigning its obligations</w:t>
      </w:r>
      <w:r>
        <w:rPr>
          <w:rFonts w:ascii="Calibri" w:cs="Calibri" w:eastAsia="Calibri" w:hAnsi="Calibri"/>
        </w:rPr>
        <w:t xml:space="preserve">; taking reasonable security safeguards; </w:t>
      </w:r>
      <w:r>
        <w:rPr>
          <w:rFonts w:ascii="Calibri" w:cs="Calibri" w:eastAsia="Calibri" w:hAnsi="Calibri"/>
          <w:b/>
          <w:bCs/>
        </w:rPr>
        <w:t xml:space="preserve">acting in a fiduciary capacity</w:t>
      </w:r>
      <w:r>
        <w:rPr>
          <w:rFonts w:ascii="Calibri" w:cs="Calibri" w:eastAsia="Calibri" w:hAnsi="Calibri"/>
        </w:rPr>
        <w:t xml:space="preserve"> in relation to the Data Principal; avoiding conflicts of interest with Data Fiduciaries including their promoters and key managerial personnel; publishing ownership and management information including holders of more than two per cent of shares; maintaining audit mechanisms; and not transferring control of the registered company without approval.</w:t>
      </w:r>
    </w:p>
    <w:p>
      <w:pPr>
        <w:spacing w:after="120" w:line="276"/>
      </w:pPr>
      <w:r>
        <w:rPr>
          <w:rFonts w:ascii="Calibri" w:cs="Calibri" w:eastAsia="Calibri" w:hAnsi="Calibri"/>
        </w:rPr>
        <w:t xml:space="preserve">Policy 2.1 introduces the role and 7.5 states the consequence: routing consent through a Consent Manager does not move responsibility for the notice or for the lawfulness of what [ORGANISATION] then does. Rule 4 commences on </w:t>
      </w:r>
      <w:r>
        <w:rPr>
          <w:rFonts w:ascii="Calibri" w:cs="Calibri" w:eastAsia="Calibri" w:hAnsi="Calibri"/>
          <w:b/>
          <w:bCs/>
        </w:rPr>
        <w:t xml:space="preserve">13 November 2026</w:t>
      </w:r>
      <w:r>
        <w:rPr>
          <w:rFonts w:ascii="Calibri" w:cs="Calibri" w:eastAsia="Calibri" w:hAnsi="Calibri"/>
        </w:rPr>
        <w:t xml:space="preserve">, ahead of the rest.</w:t>
      </w:r>
    </w:p>
    <w:p>
      <w:pPr>
        <w:pStyle w:val="Heading2"/>
        <w:spacing w:after="120" w:before="220"/>
      </w:pPr>
      <w:r>
        <w:rPr>
          <w:rFonts w:ascii="Calibri" w:cs="Calibri" w:eastAsia="Calibri" w:hAnsi="Calibri"/>
          <w:b/>
          <w:bCs/>
          <w:color w:val="1F4E79"/>
          <w:sz w:val="24"/>
          <w:szCs w:val="24"/>
        </w:rPr>
        <w:t xml:space="preserve">3.11 The corrigenda changed nothing</w:t>
      </w:r>
    </w:p>
    <w:p>
      <w:pPr>
        <w:spacing w:after="120" w:line="276"/>
      </w:pPr>
      <w:r>
        <w:rPr>
          <w:rFonts w:ascii="Calibri" w:cs="Calibri" w:eastAsia="Calibri" w:hAnsi="Calibri"/>
          <w:b/>
          <w:bCs/>
        </w:rPr>
        <w:t xml:space="preserve">G.S.R. 892(E) of 10 December 2025</w:t>
      </w:r>
      <w:r>
        <w:rPr>
          <w:rFonts w:ascii="Calibri" w:cs="Calibri" w:eastAsia="Calibri" w:hAnsi="Calibri"/>
        </w:rPr>
        <w:t xml:space="preserve"> makes five numbered corrections to G.S.R. 846(E), comprising eight changes, all typographical: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6"/>
        <w:gridCol w:w="3006"/>
        <w:gridCol w:w="3348"/>
      </w:tblGrid>
      <w:tr>
        <w:trPr>
          <w:tblHeader/>
        </w:trPr>
        <w:tc>
          <w:tcPr>
            <w:tcW w:type="dxa" w:w="3006"/>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Location</w:t>
            </w:r>
          </w:p>
        </w:tc>
        <w:tc>
          <w:tcPr>
            <w:tcW w:type="dxa" w:w="3006"/>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For</w:t>
            </w:r>
          </w:p>
        </w:tc>
        <w:tc>
          <w:tcPr>
            <w:tcW w:type="dxa" w:w="3348"/>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Read</w:t>
            </w:r>
          </w:p>
        </w:tc>
      </w:tr>
      <w:tr>
        <w:trPr>
          <w:tblHeader w:val="false"/>
        </w:trPr>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p.24 line 22</w:t>
            </w:r>
          </w:p>
        </w:tc>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"of this Gazette"</w:t>
            </w:r>
          </w:p>
        </w:tc>
        <w:tc>
          <w:tcPr>
            <w:tcW w:type="dxa" w:w="334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 the Official Gazette"</w:t>
            </w:r>
          </w:p>
        </w:tc>
      </w:tr>
      <w:tr>
        <w:trPr>
          <w:tblHeader w:val="false"/>
        </w:trPr>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p.24 line 24</w:t>
            </w:r>
          </w:p>
        </w:tc>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"of this Gazette"</w:t>
            </w:r>
          </w:p>
        </w:tc>
        <w:tc>
          <w:tcPr>
            <w:tcW w:type="dxa" w:w="334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 the Official Gazette"</w:t>
            </w:r>
          </w:p>
        </w:tc>
      </w:tr>
      <w:tr>
        <w:trPr>
          <w:tblHeader w:val="false"/>
        </w:trPr>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p.29 line 44</w:t>
            </w:r>
          </w:p>
        </w:tc>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"Department"</w:t>
            </w:r>
          </w:p>
        </w:tc>
        <w:tc>
          <w:tcPr>
            <w:tcW w:type="dxa" w:w="334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"Departments"</w:t>
            </w:r>
          </w:p>
        </w:tc>
      </w:tr>
      <w:tr>
        <w:trPr>
          <w:tblHeader w:val="false"/>
        </w:trPr>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p.32 line 4</w:t>
            </w:r>
          </w:p>
        </w:tc>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"given in such"</w:t>
            </w:r>
          </w:p>
        </w:tc>
        <w:tc>
          <w:tcPr>
            <w:tcW w:type="dxa" w:w="334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"given in such order"</w:t>
            </w:r>
          </w:p>
        </w:tc>
      </w:tr>
      <w:tr>
        <w:trPr>
          <w:tblHeader w:val="false"/>
        </w:trPr>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p.34 line 1</w:t>
            </w:r>
          </w:p>
        </w:tc>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"everybody"</w:t>
            </w:r>
          </w:p>
        </w:tc>
        <w:tc>
          <w:tcPr>
            <w:tcW w:type="dxa" w:w="334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"every body"</w:t>
            </w:r>
          </w:p>
        </w:tc>
      </w:tr>
      <w:tr>
        <w:trPr>
          <w:tblHeader w:val="false"/>
        </w:trPr>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p.34 line 26</w:t>
            </w:r>
          </w:p>
        </w:tc>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"(18 or 2013)"</w:t>
            </w:r>
          </w:p>
        </w:tc>
        <w:tc>
          <w:tcPr>
            <w:tcW w:type="dxa" w:w="334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"(18 of 2013)"</w:t>
            </w:r>
          </w:p>
        </w:tc>
      </w:tr>
      <w:tr>
        <w:trPr>
          <w:tblHeader w:val="false"/>
        </w:trPr>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p.38 line 2</w:t>
            </w:r>
          </w:p>
        </w:tc>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c>
          <w:tcPr>
            <w:tcW w:type="dxa" w:w="334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t>
            </w:r>
          </w:p>
        </w:tc>
      </w:tr>
      <w:tr>
        <w:trPr>
          <w:tblHeader w:val="false"/>
        </w:trPr>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p.38 lines 1-15</w:t>
            </w:r>
          </w:p>
        </w:tc>
        <w:tc>
          <w:tcPr>
            <w:tcW w:type="dxa" w:w="300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 to (f)"</w:t>
            </w:r>
          </w:p>
        </w:tc>
        <w:tc>
          <w:tcPr>
            <w:tcW w:type="dxa" w:w="334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 to (g)"</w:t>
            </w:r>
          </w:p>
        </w:tc>
      </w:tr>
    </w:tbl>
    <w:p>
      <w:pPr>
        <w:spacing w:after="120"/>
      </w:pPr>
    </w:p>
    <w:p>
      <w:pPr>
        <w:spacing w:after="120" w:line="276"/>
      </w:pPr>
      <w:r>
        <w:rPr>
          <w:rFonts w:ascii="Calibri" w:cs="Calibri" w:eastAsia="Calibri" w:hAnsi="Calibri"/>
          <w:b/>
          <w:bCs/>
        </w:rPr>
        <w:t xml:space="preserve">No obligation, date, threshold or period is altered.</w:t>
      </w:r>
    </w:p>
    <w:p>
      <w:pPr>
        <w:spacing w:after="120" w:line="276"/>
      </w:pPr>
      <w:r>
        <w:rPr>
          <w:rFonts w:ascii="Calibri" w:cs="Calibri" w:eastAsia="Calibri" w:hAnsi="Calibri"/>
        </w:rPr>
        <w:t xml:space="preserve">The two page-24 corrections are identifiable with certainty. The held text of rule 1 reads: "(2) Rules 1, 2 and 17 to 21 shall come into force on the date of their publication </w:t>
      </w:r>
      <w:r>
        <w:rPr>
          <w:rFonts w:ascii="Calibri" w:cs="Calibri" w:eastAsia="Calibri" w:hAnsi="Calibri"/>
          <w:b/>
          <w:bCs/>
        </w:rPr>
        <w:t xml:space="preserve">in the Official Gazette</w:t>
      </w:r>
      <w:r>
        <w:rPr>
          <w:rFonts w:ascii="Calibri" w:cs="Calibri" w:eastAsia="Calibri" w:hAnsi="Calibri"/>
        </w:rPr>
        <w:t xml:space="preserve">. (3) Rule 4 shall come into force one year after the date of publication </w:t>
      </w:r>
      <w:r>
        <w:rPr>
          <w:rFonts w:ascii="Calibri" w:cs="Calibri" w:eastAsia="Calibri" w:hAnsi="Calibri"/>
          <w:b/>
          <w:bCs/>
        </w:rPr>
        <w:t xml:space="preserve">of this Gazette</w:t>
      </w:r>
      <w:r>
        <w:rPr>
          <w:rFonts w:ascii="Calibri" w:cs="Calibri" w:eastAsia="Calibri" w:hAnsi="Calibri"/>
        </w:rPr>
        <w:t xml:space="preserve">. (4) Rules 3, 5 to 16, 22 and 23 shall come into force eighteen months after the date of publication </w:t>
      </w:r>
      <w:r>
        <w:rPr>
          <w:rFonts w:ascii="Calibri" w:cs="Calibri" w:eastAsia="Calibri" w:hAnsi="Calibri"/>
          <w:b/>
          <w:bCs/>
        </w:rPr>
        <w:t xml:space="preserve">of this Gazette</w:t>
      </w:r>
      <w:r>
        <w:rPr>
          <w:rFonts w:ascii="Calibri" w:cs="Calibri" w:eastAsia="Calibri" w:hAnsi="Calibri"/>
        </w:rPr>
        <w:t xml:space="preserve">." Sub-rule (2) was already in the corrected form; sub-rules (3) and (4) were not. The corrigendum changes exactly that phrase at the two lines where it occurs. </w:t>
      </w:r>
      <w:r>
        <w:rPr>
          <w:rFonts w:ascii="Calibri" w:cs="Calibri" w:eastAsia="Calibri" w:hAnsi="Calibri"/>
          <w:b/>
          <w:bCs/>
        </w:rPr>
        <w:t xml:space="preserve">It is a correction of expression, and the commencement dates are unchanged.</w:t>
      </w:r>
    </w:p>
    <w:p>
      <w:pPr>
        <w:spacing w:after="120" w:line="276"/>
      </w:pPr>
      <w:r>
        <w:rPr>
          <w:rFonts w:ascii="Calibri" w:cs="Calibri" w:eastAsia="Calibri" w:hAnsi="Calibri"/>
        </w:rPr>
        <w:t xml:space="preserve">The version held by [ORGANISATION] is the original, uncorrected text; the corrigendum is held separately and read against it.</w:t>
      </w:r>
    </w:p>
    <w:p>
      <w:pPr>
        <w:spacing w:after="120" w:line="276"/>
      </w:pPr>
      <w:r>
        <w:rPr>
          <w:rFonts w:ascii="Calibri" w:cs="Calibri" w:eastAsia="Calibri" w:hAnsi="Calibri"/>
        </w:rPr>
        <w:t xml:space="preserve">Recording this matters for a reason beyond the content: the project had been carrying this corrigendum as an unclosed gap. It is now held, and the answer is that it changes nothing. Annex A3.6 nonetheless keeps version tracking as a standing item, because a text that has moved once can move again.</w:t>
      </w:r>
    </w:p>
    <w:p>
      <w:pPr>
        <w:pStyle w:val="Heading2"/>
        <w:spacing w:after="120" w:before="220"/>
      </w:pPr>
      <w:r>
        <w:rPr>
          <w:rFonts w:ascii="Calibri" w:cs="Calibri" w:eastAsia="Calibri" w:hAnsi="Calibri"/>
          <w:b/>
          <w:bCs/>
          <w:color w:val="1F4E79"/>
          <w:sz w:val="24"/>
          <w:szCs w:val="24"/>
        </w:rPr>
        <w:t xml:space="preserve">3.12 The Board and the Appellate Tribunal</w:t>
      </w:r>
    </w:p>
    <w:p>
      <w:pPr>
        <w:spacing w:after="120" w:line="276"/>
      </w:pPr>
      <w:r>
        <w:rPr>
          <w:rFonts w:ascii="Calibri" w:cs="Calibri" w:eastAsia="Calibri" w:hAnsi="Calibri"/>
          <w:b/>
          <w:bCs/>
        </w:rPr>
        <w:t xml:space="preserve">G.S.R. 845(E)</w:t>
      </w:r>
      <w:r>
        <w:rPr>
          <w:rFonts w:ascii="Calibri" w:cs="Calibri" w:eastAsia="Calibri" w:hAnsi="Calibri"/>
        </w:rPr>
        <w:t xml:space="preserve"> - under section 19(1) of the Act, the Board </w:t>
      </w:r>
      <w:r>
        <w:rPr>
          <w:rFonts w:ascii="Calibri" w:cs="Calibri" w:eastAsia="Calibri" w:hAnsi="Calibri"/>
          <w:b/>
          <w:bCs/>
        </w:rPr>
        <w:t xml:space="preserve">shall consist of four members</w:t>
      </w:r>
      <w:r>
        <w:rPr>
          <w:rFonts w:ascii="Calibri" w:cs="Calibri" w:eastAsia="Calibri" w:hAnsi="Calibri"/>
        </w:rPr>
        <w:t xml:space="preserve">.</w:t>
      </w:r>
    </w:p>
    <w:p>
      <w:pPr>
        <w:spacing w:after="120" w:line="276"/>
      </w:pPr>
      <w:r>
        <w:rPr>
          <w:rFonts w:ascii="Calibri" w:cs="Calibri" w:eastAsia="Calibri" w:hAnsi="Calibri"/>
          <w:b/>
          <w:bCs/>
        </w:rPr>
        <w:t xml:space="preserve">Rule 17</w:t>
      </w:r>
      <w:r>
        <w:rPr>
          <w:rFonts w:ascii="Calibri" w:cs="Calibri" w:eastAsia="Calibri" w:hAnsi="Calibri"/>
        </w:rPr>
        <w:t xml:space="preserve"> - Search-cum-Selection Committees. For the Chairperson: the Cabinet Secretary as chairperson, the Secretaries in charge of the Department of Legal Affairs and of MeitY, and two experts of repute. For other Members: the Secretary of MeitY as chairperson, the Secretary of the Department of Legal Affairs, and two experts. The Central Government appoints after considering suitability. A vacancy, absence or defect in constitution does not invalidate proceedings.</w:t>
      </w:r>
    </w:p>
    <w:p>
      <w:pPr>
        <w:spacing w:after="120" w:line="276"/>
      </w:pPr>
      <w:r>
        <w:rPr>
          <w:rFonts w:ascii="Calibri" w:cs="Calibri" w:eastAsia="Calibri" w:hAnsi="Calibri"/>
          <w:b/>
          <w:bCs/>
        </w:rPr>
        <w:t xml:space="preserve">Rule 19</w:t>
      </w:r>
      <w:r>
        <w:rPr>
          <w:rFonts w:ascii="Calibri" w:cs="Calibri" w:eastAsia="Calibri" w:hAnsi="Calibri"/>
        </w:rPr>
        <w:t xml:space="preserve"> - meeting procedure: the Chairperson fixes date, time, place and agenda; meetings chaired by the Chairperson or, in her absence, a Member chosen by those present; </w:t>
      </w:r>
      <w:r>
        <w:rPr>
          <w:rFonts w:ascii="Calibri" w:cs="Calibri" w:eastAsia="Calibri" w:hAnsi="Calibri"/>
          <w:b/>
          <w:bCs/>
        </w:rPr>
        <w:t xml:space="preserve">quorum of one-third</w:t>
      </w:r>
      <w:r>
        <w:rPr>
          <w:rFonts w:ascii="Calibri" w:cs="Calibri" w:eastAsia="Calibri" w:hAnsi="Calibri"/>
        </w:rPr>
        <w:t xml:space="preserve">; decisions by majority with a casting vote; a Member with an interest does not participate or vote; emergency action by the Chairperson with recorded reasons, communicated within seven days and laid for ratification; decisions by circulation on the Chairperson's direction; authentication of orders. </w:t>
      </w:r>
      <w:r>
        <w:rPr>
          <w:rFonts w:ascii="Calibri" w:cs="Calibri" w:eastAsia="Calibri" w:hAnsi="Calibri"/>
          <w:b/>
          <w:bCs/>
        </w:rPr>
        <w:t xml:space="preserve">Rule 19(9) - an inquiry shall be completed within six months of receipt of the intimation, complaint, reference or direction under section 27 of the Act, extendable for recorded reasons by not more than three months at a time.</w:t>
      </w:r>
    </w:p>
    <w:p>
      <w:pPr>
        <w:spacing w:after="120" w:line="276"/>
      </w:pPr>
      <w:r>
        <w:rPr>
          <w:rFonts w:ascii="Calibri" w:cs="Calibri" w:eastAsia="Calibri" w:hAnsi="Calibri"/>
          <w:b/>
          <w:bCs/>
        </w:rPr>
        <w:t xml:space="preserve">Rule 20</w:t>
      </w:r>
      <w:r>
        <w:rPr>
          <w:rFonts w:ascii="Calibri" w:cs="Calibri" w:eastAsia="Calibri" w:hAnsi="Calibri"/>
        </w:rPr>
        <w:t xml:space="preserve"> - the Board functions as a </w:t>
      </w:r>
      <w:r>
        <w:rPr>
          <w:rFonts w:ascii="Calibri" w:cs="Calibri" w:eastAsia="Calibri" w:hAnsi="Calibri"/>
          <w:b/>
          <w:bCs/>
        </w:rPr>
        <w:t xml:space="preserve">digital office</w:t>
      </w:r>
      <w:r>
        <w:rPr>
          <w:rFonts w:ascii="Calibri" w:cs="Calibri" w:eastAsia="Calibri" w:hAnsi="Calibri"/>
        </w:rPr>
        <w:t xml:space="preserve"> and may adopt techno-legal measures so that proceedings do not require physical presence, without prejudice to its power to summon and examine on oath.</w:t>
      </w:r>
    </w:p>
    <w:p>
      <w:pPr>
        <w:spacing w:after="120" w:line="276"/>
      </w:pPr>
      <w:r>
        <w:rPr>
          <w:rFonts w:ascii="Calibri" w:cs="Calibri" w:eastAsia="Calibri" w:hAnsi="Calibri"/>
          <w:b/>
          <w:bCs/>
        </w:rPr>
        <w:t xml:space="preserve">Rule 22</w:t>
      </w:r>
      <w:r>
        <w:rPr>
          <w:rFonts w:ascii="Calibri" w:cs="Calibri" w:eastAsia="Calibri" w:hAnsi="Calibri"/>
        </w:rPr>
        <w:t xml:space="preserve"> - appeal to the Appellate Tribunal, </w:t>
      </w:r>
      <w:r>
        <w:rPr>
          <w:rFonts w:ascii="Calibri" w:cs="Calibri" w:eastAsia="Calibri" w:hAnsi="Calibri"/>
          <w:b/>
          <w:bCs/>
        </w:rPr>
        <w:t xml:space="preserve">filed in digital form</w:t>
      </w:r>
      <w:r>
        <w:rPr>
          <w:rFonts w:ascii="Calibri" w:cs="Calibri" w:eastAsia="Calibri" w:hAnsi="Calibri"/>
        </w:rPr>
        <w:t xml:space="preserve">; fee equal to that for an appeal under the TRAI Act 1997 unless reduced or waived by the Tribunal's Chairperson, payable digitally via UPI or another RBI-authorised system; the Tribunal is not bound by the Code of Civil Procedure but is guided by natural justice, may regulate its own procedure, and </w:t>
      </w:r>
      <w:r>
        <w:rPr>
          <w:rFonts w:ascii="Calibri" w:cs="Calibri" w:eastAsia="Calibri" w:hAnsi="Calibri"/>
          <w:b/>
          <w:bCs/>
        </w:rPr>
        <w:t xml:space="preserve">also functions as a digital office</w:t>
      </w:r>
      <w:r>
        <w:rPr>
          <w:rFonts w:ascii="Calibri" w:cs="Calibri" w:eastAsia="Calibri" w:hAnsi="Calibri"/>
        </w:rPr>
        <w:t xml:space="preserve">.</w:t>
      </w:r>
    </w:p>
    <w:p>
      <w:pPr>
        <w:spacing w:after="120" w:line="276"/>
      </w:pPr>
      <w:r>
        <w:rPr>
          <w:rFonts w:ascii="Calibri" w:cs="Calibri" w:eastAsia="Calibri" w:hAnsi="Calibri"/>
        </w:rPr>
        <w:t xml:space="preserve">Annex A11.3 and A11.4 rest on these. The practical point is that proceedings are digital and time-boxed, so the ability to produce records quickly is itself a control.</w:t>
      </w:r>
    </w:p>
    <w:p>
      <w:pPr>
        <w:pStyle w:val="Heading2"/>
        <w:spacing w:after="120" w:before="220"/>
      </w:pPr>
      <w:r>
        <w:rPr>
          <w:rFonts w:ascii="Calibri" w:cs="Calibri" w:eastAsia="Calibri" w:hAnsi="Calibri"/>
          <w:b/>
          <w:bCs/>
          <w:color w:val="1F4E79"/>
          <w:sz w:val="24"/>
          <w:szCs w:val="24"/>
        </w:rPr>
        <w:t xml:space="preserve">3.13 The Act has an accuracy duty aimed at decisions, and it is not a house standard</w:t>
      </w:r>
    </w:p>
    <w:p>
      <w:pPr>
        <w:spacing w:after="120" w:line="276"/>
      </w:pPr>
      <w:r>
        <w:rPr>
          <w:rFonts w:ascii="Calibri" w:cs="Calibri" w:eastAsia="Calibri" w:hAnsi="Calibri"/>
        </w:rPr>
        <w:t xml:space="preserve">s.8(3) requires a Data Fiduciary to ensure the completeness, accuracy and consistency of personal data that is likely to be used to make a decision that affects the Data Principal, or to be disclosed to another Data Fiduciary. Read with s.12(2), which obliges correction, completion and updating on request, this is the closest thing the Indian framework has to a rule about automated decision-making: not a right to explanation or a right to human review, but a duty about the data the decision rests on. v1.0 of this set could not see it and called the whole of policy Section 10 a house standard. Policy 7.9 and 10.6 now carry it as law. The correction is recorded at 1.2.</w:t>
      </w:r>
    </w:p>
    <w:p>
      <w:pPr>
        <w:pStyle w:val="Heading2"/>
        <w:spacing w:after="120" w:before="220"/>
      </w:pPr>
      <w:r>
        <w:rPr>
          <w:rFonts w:ascii="Calibri" w:cs="Calibri" w:eastAsia="Calibri" w:hAnsi="Calibri"/>
          <w:b/>
          <w:bCs/>
          <w:color w:val="1F4E79"/>
          <w:sz w:val="24"/>
          <w:szCs w:val="24"/>
        </w:rPr>
        <w:t xml:space="preserve">3.14 Children: two prohibitions that consent cannot cure</w:t>
      </w:r>
    </w:p>
    <w:p>
      <w:pPr>
        <w:spacing w:after="120" w:line="276"/>
      </w:pPr>
      <w:r>
        <w:rPr>
          <w:rFonts w:ascii="Calibri" w:cs="Calibri" w:eastAsia="Calibri" w:hAnsi="Calibri"/>
        </w:rPr>
        <w:t xml:space="preserve">s.9(2) prohibits processing likely to cause a detrimental effect on a child's well-being; s.9(3) prohibits tracking, behavioural monitoring and targeted advertising directed at children. Neither is conditioned on consent, and the Fourth Schedule exemption reaches s.9(1) and s.9(3) but not s.9(2). For AI this is the provision that bites on recommendation and engagement systems: they are behavioural monitoring by design. Policy 9.6.</w:t>
      </w:r>
    </w:p>
    <w:p>
      <w:pPr>
        <w:pStyle w:val="Heading2"/>
        <w:spacing w:after="120" w:before="220"/>
      </w:pPr>
      <w:r>
        <w:rPr>
          <w:rFonts w:ascii="Calibri" w:cs="Calibri" w:eastAsia="Calibri" w:hAnsi="Calibri"/>
          <w:b/>
          <w:bCs/>
          <w:color w:val="1F4E79"/>
          <w:sz w:val="24"/>
          <w:szCs w:val="24"/>
        </w:rPr>
        <w:t xml:space="preserve">3.15 The employment ground, and where it stops</w:t>
      </w:r>
    </w:p>
    <w:p>
      <w:pPr>
        <w:spacing w:after="120" w:line="276"/>
      </w:pPr>
      <w:r>
        <w:rPr>
          <w:rFonts w:ascii="Calibri" w:cs="Calibri" w:eastAsia="Calibri" w:hAnsi="Calibri"/>
        </w:rPr>
        <w:t xml:space="preserve">s.7(i) permits processing for the purposes of employment or for safeguarding the employer from loss or liability, with a list of examples. Two boundaries are in the words. First, "employee": the ground is framed around a Data Principal who is an employee, and this set does not extend it to candidates. Second, "safeguarding": the ground does not license monitoring beyond what protecting the employer requires. Policy 7.6 states both limits; where they are exceeded, consent is the only route.</w:t>
      </w:r>
    </w:p>
    <w:p>
      <w:pPr>
        <w:pStyle w:val="Heading2"/>
        <w:spacing w:after="120" w:before="220"/>
      </w:pPr>
      <w:r>
        <w:rPr>
          <w:rFonts w:ascii="Calibri" w:cs="Calibri" w:eastAsia="Calibri" w:hAnsi="Calibri"/>
          <w:b/>
          <w:bCs/>
          <w:color w:val="1F4E79"/>
          <w:sz w:val="24"/>
          <w:szCs w:val="24"/>
        </w:rPr>
        <w:t xml:space="preserve">3.16 Foreign clients' data</w:t>
      </w:r>
    </w:p>
    <w:p>
      <w:pPr>
        <w:spacing w:after="120" w:line="276"/>
      </w:pPr>
      <w:r>
        <w:rPr>
          <w:rFonts w:ascii="Calibri" w:cs="Calibri" w:eastAsia="Calibri" w:hAnsi="Calibri"/>
        </w:rPr>
        <w:t xml:space="preserve">s.17(1)(d) removes most of Chapter II, all of Chapter III and s.16 from processing, by a person based in India under a contract with a person outside India, of the personal data of Data Principals not within India. What survives is s.8(1) (responsibility for processing) and s.8(5) (security safeguards). For an Indian processor serving foreign clients this is the most consequential single provision in the Act, and it is in the exemptions chapter. Policy 2.2 states it and requires a per-client record.</w:t>
      </w:r>
    </w:p>
    <w:p>
      <w:pPr>
        <w:pStyle w:val="Heading2"/>
        <w:spacing w:after="120" w:before="220"/>
      </w:pPr>
      <w:r>
        <w:rPr>
          <w:rFonts w:ascii="Calibri" w:cs="Calibri" w:eastAsia="Calibri" w:hAnsi="Calibri"/>
          <w:b/>
          <w:bCs/>
          <w:color w:val="1F4E79"/>
          <w:sz w:val="24"/>
          <w:szCs w:val="24"/>
        </w:rPr>
        <w:t xml:space="preserve">3.17 Penalties are a Schedule, and s.43A goes</w:t>
      </w:r>
    </w:p>
    <w:p>
      <w:pPr>
        <w:spacing w:after="120" w:line="276"/>
      </w:pPr>
      <w:r>
        <w:rPr>
          <w:rFonts w:ascii="Calibri" w:cs="Calibri" w:eastAsia="Calibri" w:hAnsi="Calibri"/>
        </w:rPr>
        <w:t xml:space="preserve">The Schedule to s.33 sets seven ceilings, the largest (250 crore rupees) for failing to take reasonable security safeguards, not for a breach as such. s.33(2)(e) makes mitigation and its timeliness a factor, which is why policy 22.2 ties the breach procedure to it. s.44(2)(a) omits s.43A of the Information Technology Act, 2000 (the compensation provision for negligent handling of sensitive personal data) with effect from 13 May 2027: the old regime is replaced, not layered.</w:t>
      </w:r>
    </w:p>
    <w:p>
      <w:pPr>
        <w:pStyle w:val="Heading1"/>
        <w:spacing w:after="120" w:before="320"/>
      </w:pPr>
      <w:r>
        <w:rPr>
          <w:rFonts w:ascii="Calibri" w:cs="Calibri" w:eastAsia="Calibri" w:hAnsi="Calibri"/>
          <w:b/>
          <w:bCs/>
          <w:color w:val="1F4E79"/>
          <w:sz w:val="30"/>
          <w:szCs w:val="30"/>
        </w:rPr>
        <w:t xml:space="preserve">4. Clause-by-clause basis</w:t>
      </w:r>
    </w:p>
    <w:p>
      <w:pPr>
        <w:pStyle w:val="Heading2"/>
        <w:spacing w:after="120" w:before="220"/>
      </w:pPr>
      <w:r>
        <w:rPr>
          <w:rFonts w:ascii="Calibri" w:cs="Calibri" w:eastAsia="Calibri" w:hAnsi="Calibri"/>
          <w:b/>
          <w:bCs/>
          <w:color w:val="1F4E79"/>
          <w:sz w:val="24"/>
          <w:szCs w:val="24"/>
        </w:rPr>
        <w:t xml:space="preserve">4.1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17"/>
        <w:gridCol w:w="5043"/>
      </w:tblGrid>
      <w:tr>
        <w:trPr>
          <w:tblHeader/>
        </w:trPr>
        <w:tc>
          <w:tcPr>
            <w:tcW w:type="dxa" w:w="431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Policy</w:t>
            </w:r>
          </w:p>
        </w:tc>
        <w:tc>
          <w:tcPr>
            <w:tcW w:type="dxa" w:w="504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Rests on</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1 - the four framing features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1(2)-(4); rule 7; rule 8(3) and 6(1)(e); rule 13(3)</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2.1 - roles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s.2(i), (j), (k), (g); s.8(1) (responsibility irrespective of agreement); s.8(2) (processor only under valid contract); rules 6(1) and 8(3); rule 4 and First Schedule (Consent Manager)</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2.2 - reach and the client-data carve-out</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s.3(a)-(c); s.17(1)(d); s.17(1) chapeau (s.8(1) and (5) not excluded)</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3.2 - contract term</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6(1)(f)</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3.6 - retention as an approval gate</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8(3); rule 6(1)(e)</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4.1-4.3 - commencement</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1(2), 1(3), 1(4); G.S.R. 843(E)(a)-(c); G.S.R. 844(E); G.S.R. 845(E)</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4.4.4 - version tracking</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892(E)</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6.5 - no early deletion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8(3); rule 6(1)(e)</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7.2 - consent quality, invalidity, burden of proof</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s.6(1), 6(2), 6(10)</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7.2 - notice contents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s.5(1); rule 3(a), (b)(i)-(ii), (c)(i)-(iii)</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7.3 - parity of withdrawal</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s.6(4); rule 3(c)(i)</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7.4 - itemised description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3(b)(i)</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7.5 - Consent Manager</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4(3); First Schedule Part B paras 1-4</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7.6 - legitimate uses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s.4(1)(b); s.7(a) with illustrations; s.7(i); s.7(b)-(h) summarised</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7.9 - accuracy for decisions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s.8(3)(a)-(b)</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7.7 - high sensitivity</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8.1-8.2 - contact information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9</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9.1 - children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s.9(1); s.2(f) (child: under eighteen); rule 10(1), 10(2)(a)-(c)</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9.2 - guardians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11(1), 11(2)</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9.3 - verification is a person's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 drawn from the due diligence framing of rules 10 and 11</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9.4 - exemptions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s.9(4) (exempting from s.9(1) and (3)); rule 12(1)-(2); Fourth Schedule Parts A and B</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9.6 - detriment, tracking, targeting; age exemption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s.9(2), 9(3), 9(5)</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10.1-10.5 - automated decisions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stated as such</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10.6 - accuracy carried into decision systems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s.8(3); s.12(2)</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11.1-11.2 - SDF duties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s.10(2)(b)-(c); rule 13(3); rule 13(1)-(2), 13(4)-(5)</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11.3 - SDF notification factors; DPO and auditor</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s.10(1)(a)-(f); s.10(2)(a)(i)-(iv); s.10(2)(b)</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11.4-11.6 - applying it early</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 stated as such</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12.1-12.3 - minimum retention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8(3); rule 6(1)(e); illustration to rule 8</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12.4 - erasure and 48-hour notice</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8(1)-(2); Third Schedule</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12.5 - resolving the conflict</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13.1 - security minimums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6(1)(a)-(g); rule 6(2)</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14 - verification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14.5 supported by the prescribed contents at rule 7(1)</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15.2 - individual intimation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7(1)(a)-(e)</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15.3 - first Board intimation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7(2)(a)</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15.4 - 72-hour report</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7(2)(b)(i)-(vi)</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15.5-15.6 - no threshold, enumerating those affected</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7(1) ("any personal data breach", "each affected Data Principal")</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15.7 - extension in advance</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7(2)(b)</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16.1 - published means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14(1)(a)-(b)</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16.2 - ninety days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s.13(1)-(3); rule 14(3)</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16.4 - nomination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14(4)</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16.6 - the rights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s.11(1)(a)-(c) and (2); s.12(1)-(3); s.13; s.14</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17.1 - transfers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15</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17.2 - country restriction power; higher sectoral protection preserved</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s.16(1)-(2)</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17.3 - localisation</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13(4)</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18, 19, 20</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except 19.5 which rests on rule 3</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22.1 - penalties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s.33(1); the Schedule, items 1-7; s.42(1)</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22.2 - penalty factors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s.33(2)(a)-(g)</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22.3 - blocking, undertakings, appeals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s.37(1)-(2); s.32(1)-(5); s.29(1)-(2)</w:t>
            </w:r>
          </w:p>
        </w:tc>
      </w:tr>
      <w:tr>
        <w:trPr>
          <w:tblHeader w:val="false"/>
        </w:trPr>
        <w:tc>
          <w:tcPr>
            <w:tcW w:type="dxa" w:w="431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22.5 - open items</w:t>
            </w:r>
          </w:p>
        </w:tc>
        <w:tc>
          <w:tcPr>
            <w:tcW w:type="dxa" w:w="504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Section 7 of this note</w:t>
            </w:r>
          </w:p>
        </w:tc>
      </w:tr>
    </w:tbl>
    <w:p>
      <w:pPr>
        <w:spacing w:after="120"/>
      </w:pPr>
    </w:p>
    <w:p>
      <w:pPr>
        <w:pStyle w:val="Heading2"/>
        <w:spacing w:after="120" w:before="220"/>
      </w:pPr>
      <w:r>
        <w:rPr>
          <w:rFonts w:ascii="Calibri" w:cs="Calibri" w:eastAsia="Calibri" w:hAnsi="Calibri"/>
          <w:b/>
          <w:bCs/>
          <w:color w:val="1F4E79"/>
          <w:sz w:val="24"/>
          <w:szCs w:val="24"/>
        </w:rPr>
        <w:t xml:space="preserve">4.2 Annex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24"/>
        <w:gridCol w:w="4236"/>
      </w:tblGrid>
      <w:tr>
        <w:trPr>
          <w:tblHeader/>
        </w:trPr>
        <w:tc>
          <w:tcPr>
            <w:tcW w:type="dxa" w:w="5124"/>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Annex</w:t>
            </w:r>
          </w:p>
        </w:tc>
        <w:tc>
          <w:tcPr>
            <w:tcW w:type="dxa" w:w="4236"/>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Rests on</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A1.3 - published and per-response contact</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9</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A2.1 - inventory fields</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Rules 6(1), 7(1), 8, 13(4), 15</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A3 - readiness register</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1(2)-(4)</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A3.4 - Consent Manager dependency</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1(3); rule 4</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A4.2 - readiness set</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13(1)-(4)</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A4.4 - localisation as architecture</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13(4)</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A4.5 - information may be called for</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23(1); Seventh Schedule item 3</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A5.2 - notice accuracy on change</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3(b)</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A5.4 - disposal respects the minimum</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8(3)</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A6.2 - contract terms</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6(1)(f); rule 8(3); rule 7; rule 15</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A6.3 - responsibility stays</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Rules 6(1) and 8(3) ("or on its behalf by a Data Processor")</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A7.1-A7.3 - retention register</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8(1)-(3); Third Schedule</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A7.4 - conflicts resolved in writing</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A8.1 - no assessment gate</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7(1)</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A8.3 - awareness timestamp</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7(1), 7(2)(a)-(b)</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A8.5 - extension before expiry</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7(2)(b)</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A9.2-A9.3 - limits on exceptions</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8(3); rules 10 and 11</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A10.2 - agents may not delete</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8(3)</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A11.2 - complaint to the Board</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3(c)(iii)</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A11.3 - digital office, six months</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Rules 19(9) and 20</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A11.4 - appeal</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22(1)-(3)</w:t>
            </w:r>
          </w:p>
        </w:tc>
      </w:tr>
      <w:tr>
        <w:trPr>
          <w:tblHeader w:val="false"/>
        </w:trPr>
        <w:tc>
          <w:tcPr>
            <w:tcW w:type="dxa" w:w="512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A13 - what is not asserted</w:t>
            </w:r>
          </w:p>
        </w:tc>
        <w:tc>
          <w:tcPr>
            <w:tcW w:type="dxa" w:w="4236"/>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Section 6 of this note</w:t>
            </w:r>
          </w:p>
        </w:tc>
      </w:tr>
    </w:tbl>
    <w:p>
      <w:pPr>
        <w:spacing w:after="120"/>
      </w:pPr>
    </w:p>
    <w:p>
      <w:pPr>
        <w:pStyle w:val="Heading1"/>
        <w:spacing w:after="120" w:before="320"/>
      </w:pPr>
      <w:r>
        <w:rPr>
          <w:rFonts w:ascii="Calibri" w:cs="Calibri" w:eastAsia="Calibri" w:hAnsi="Calibri"/>
          <w:b/>
          <w:bCs/>
          <w:color w:val="1F4E79"/>
          <w:sz w:val="30"/>
          <w:szCs w:val="30"/>
        </w:rPr>
        <w:t xml:space="preserve">5. Provisions held but not used</w:t>
      </w:r>
    </w:p>
    <w:p>
      <w:pPr>
        <w:spacing w:after="120" w:line="276"/>
      </w:pPr>
      <w:r>
        <w:rPr>
          <w:rFonts w:ascii="Calibri" w:cs="Calibri" w:eastAsia="Calibri" w:hAnsi="Calibri"/>
          <w:b/>
          <w:bCs/>
        </w:rPr>
        <w:t xml:space="preserve">Rule 5 and the Second Schedule</w:t>
      </w:r>
      <w:r>
        <w:rPr>
          <w:rFonts w:ascii="Calibri" w:cs="Calibri" w:eastAsia="Calibri" w:hAnsi="Calibri"/>
        </w:rPr>
        <w:t xml:space="preserve"> - standards for processing by the State and its instrumentalities for the provision or issue of a subsidy, benefit, service, certificate, licence or permit under section 7(b) of the Act, and for the purposes in section 17(2)(b). Rule 5(2) construes "under law", "under policy" and "using public funds". Not used because [ORGANISATION] is assumed not to be the State or an instrumentality of it. </w:t>
      </w:r>
      <w:r>
        <w:rPr>
          <w:rFonts w:ascii="Calibri" w:cs="Calibri" w:eastAsia="Calibri" w:hAnsi="Calibri"/>
          <w:b/>
          <w:bCs/>
        </w:rPr>
        <w:t xml:space="preserve">If it is, or acts for one, this set does not cover that processing</w:t>
      </w:r>
      <w:r>
        <w:rPr>
          <w:rFonts w:ascii="Calibri" w:cs="Calibri" w:eastAsia="Calibri" w:hAnsi="Calibri"/>
        </w:rPr>
        <w:t xml:space="preserve"> and the Second Schedule standards apply.</w:t>
      </w:r>
    </w:p>
    <w:p>
      <w:pPr>
        <w:spacing w:after="120" w:line="276"/>
      </w:pPr>
      <w:r>
        <w:rPr>
          <w:rFonts w:ascii="Calibri" w:cs="Calibri" w:eastAsia="Calibri" w:hAnsi="Calibri"/>
          <w:b/>
          <w:bCs/>
        </w:rPr>
        <w:t xml:space="preserve">Rule 16</w:t>
      </w:r>
      <w:r>
        <w:rPr>
          <w:rFonts w:ascii="Calibri" w:cs="Calibri" w:eastAsia="Calibri" w:hAnsi="Calibri"/>
        </w:rPr>
        <w:t xml:space="preserve"> - the provisions of the Act do not apply to processing necessary for research, archiving or statistical purposes if carried on in accordance with the Second Schedule standards. Read against s.17(2)(b) of the Act, the exemption is conditioned on the personal data </w:t>
      </w:r>
      <w:r>
        <w:rPr>
          <w:rFonts w:ascii="Calibri" w:cs="Calibri" w:eastAsia="Calibri" w:hAnsi="Calibri"/>
          <w:b/>
          <w:bCs/>
        </w:rPr>
        <w:t xml:space="preserve">not being used to take any decision specific to a Data Principal</w:t>
      </w:r>
      <w:r>
        <w:rPr>
          <w:rFonts w:ascii="Calibri" w:cs="Calibri" w:eastAsia="Calibri" w:hAnsi="Calibri"/>
        </w:rPr>
        <w:t xml:space="preserve">. Not used in the policy: model development on personal data under this exemption is possible in principle, but a model that will later inform decisions about the same individuals sits uneasily with the condition, and this set does not take a position on where that line falls. </w:t>
      </w:r>
      <w:r>
        <w:rPr>
          <w:rFonts w:ascii="Calibri" w:cs="Calibri" w:eastAsia="Calibri" w:hAnsi="Calibri"/>
          <w:b/>
          <w:bCs/>
        </w:rPr>
        <w:t xml:space="preserve">Any organisation that wants to develop models under the research exemption should have counsel read s.17(2)(b) against the Second Schedule before relying on it.</w:t>
      </w:r>
    </w:p>
    <w:p>
      <w:pPr>
        <w:spacing w:after="120" w:line="276"/>
      </w:pPr>
      <w:r>
        <w:rPr>
          <w:rFonts w:ascii="Calibri" w:cs="Calibri" w:eastAsia="Calibri" w:hAnsi="Calibri"/>
          <w:b/>
          <w:bCs/>
        </w:rPr>
        <w:t xml:space="preserve">Rules 17 to 21, Fifth and Sixth Schedules</w:t>
      </w:r>
      <w:r>
        <w:rPr>
          <w:rFonts w:ascii="Calibri" w:cs="Calibri" w:eastAsia="Calibri" w:hAnsi="Calibri"/>
        </w:rPr>
        <w:t xml:space="preserve"> - Board constitution, salaries and terms of service. Used only for the commencement position and annex A11.3.</w:t>
      </w:r>
    </w:p>
    <w:p>
      <w:pPr>
        <w:pStyle w:val="Heading1"/>
        <w:spacing w:after="120" w:before="320"/>
      </w:pPr>
      <w:r>
        <w:rPr>
          <w:rFonts w:ascii="Calibri" w:cs="Calibri" w:eastAsia="Calibri" w:hAnsi="Calibri"/>
          <w:b/>
          <w:bCs/>
          <w:color w:val="1F4E79"/>
          <w:sz w:val="30"/>
          <w:szCs w:val="30"/>
        </w:rPr>
        <w:t xml:space="preserve">6. Every point at which the Rules refer to the Act - CLOSED 1 September 2026</w:t>
      </w:r>
    </w:p>
    <w:p>
      <w:pPr>
        <w:spacing w:after="120" w:line="276"/>
      </w:pPr>
      <w:r>
        <w:rPr>
          <w:rFonts w:ascii="Calibri" w:cs="Calibri" w:eastAsia="Calibri" w:hAnsi="Calibri"/>
        </w:rPr>
        <w:t xml:space="preserve">At v1.0 this was the map of the gap. Each row now records what the Act supplied.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2"/>
        <w:gridCol w:w="2137"/>
        <w:gridCol w:w="5221"/>
      </w:tblGrid>
      <w:tr>
        <w:trPr>
          <w:tblHeader/>
        </w:trPr>
        <w:tc>
          <w:tcPr>
            <w:tcW w:type="dxa" w:w="200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Where</w:t>
            </w:r>
          </w:p>
        </w:tc>
        <w:tc>
          <w:tcPr>
            <w:tcW w:type="dxa" w:w="213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Refers to</w:t>
            </w:r>
          </w:p>
        </w:tc>
        <w:tc>
          <w:tcPr>
            <w:tcW w:type="dxa" w:w="522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What the Act supplies</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Preamble</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s.40(1) and (2)</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rule-making power, with the list of matters at s.40(2)(a)-(z)</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2(1)(a)</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Act as a whole</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Definitions at s.2, including Data Fiduciary (i), Data Principal (j), Data Processor (k), child (f), personal data (t), personal data breach (u), processing (x), Significant Data Fiduciary (z)</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3(c)(ii)</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"her rights under the Act"</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ss.11 (access), 12 (correction and erasure), 13 (grievance), 14 (nomination); duties at s.15</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5(1)-(2), Second Schedule</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s.7(b)</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State processing for subsidies, benefits, services, certificates, licences and permits. Not applicable to [ORGANISATION]; recorded for completeness</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12(1)-(2), Fourth Schedule</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s.9(1) and s.9(3)</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Verifiable parental consent; and the prohibition on tracking, behavioural monitoring and targeted advertising directed at children. The exemption relieves the listed classes of both; s.9(2) (no detriment) is not exempted</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13(1)</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Act and rules generally</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obligations at ss.4 to 10 and the rights at ss.11 to 14 are what the annual DPIA and audit assess</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13 heading and body</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"Significant Data Fiduciary"</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s.2(z); notification factors at s.10(1)(a)-(f); duties at s.10(2)</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14(1)-(2), (4)</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"rights under the Act"</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ss.11 to 14; nomination at s.14 including the definition of incapacity</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15</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"processed by a Data Fiduciary under the Act"</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Grounds at s.4(1): consent, or the legitimate uses at s.7</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16</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s.17(2)(b)</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Research, archiving and statistical purposes, where no decision specific to an individual is taken</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 19(9)</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s.27</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Powers and functions of the Board at s.27(1)(a)-(e); directions at s.27(2)-(3)</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Seventh Schedule item 1</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s.17(2)(a)</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Processing by notified State instrumentalities in the interests of sovereignty, security, public order and related grounds</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845(E)</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s.19(1)</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Constitution power; G.S.R. 844(E) supplies the establishment under s.18</w:t>
            </w:r>
          </w:p>
        </w:tc>
      </w:tr>
      <w:tr>
        <w:trPr>
          <w:tblHeader w:val="false"/>
        </w:trPr>
        <w:tc>
          <w:tcPr>
            <w:tcW w:type="dxa" w:w="20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Throughout</w:t>
            </w:r>
          </w:p>
        </w:tc>
        <w:tc>
          <w:tcPr>
            <w:tcW w:type="dxa" w:w="21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Penalties</w:t>
            </w:r>
          </w:p>
        </w:tc>
        <w:tc>
          <w:tcPr>
            <w:tcW w:type="dxa" w:w="52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s.33 and the Schedule; s.34 (Consolidated Fund); s.37 (blocking); s.32 (voluntary undertakings); s.29 (appeal)</w:t>
            </w:r>
          </w:p>
        </w:tc>
      </w:tr>
    </w:tbl>
    <w:p>
      <w:pPr>
        <w:spacing w:after="120"/>
      </w:pPr>
    </w:p>
    <w:p>
      <w:pPr>
        <w:pStyle w:val="Heading1"/>
        <w:spacing w:after="120" w:before="320"/>
      </w:pPr>
      <w:r>
        <w:rPr>
          <w:rFonts w:ascii="Calibri" w:cs="Calibri" w:eastAsia="Calibri" w:hAnsi="Calibri"/>
          <w:b/>
          <w:bCs/>
          <w:color w:val="1F4E79"/>
          <w:sz w:val="30"/>
          <w:szCs w:val="30"/>
        </w:rPr>
        <w:t xml:space="preserve">7. Not held, beyond the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9"/>
        <w:gridCol w:w="4891"/>
      </w:tblGrid>
      <w:tr>
        <w:trPr>
          <w:tblHeader/>
        </w:trPr>
        <w:tc>
          <w:tcPr>
            <w:tcW w:type="dxa" w:w="446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What is missing</w:t>
            </w:r>
          </w:p>
        </w:tc>
        <w:tc>
          <w:tcPr>
            <w:tcW w:type="dxa" w:w="489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Consequence</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general or special order under rule 15</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transfer requirements are unknown. Policy 17.2</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specification under rule 13(4)</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categories subject to localisation are unknown. Policy 17.3, annex A4.4</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notification of Significant Data Fiduciaries</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Whether [ORGANISATION] is one. The criteria are now stated at policy 11.3 from s.10(1)</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notification under s.16(1)</w:t>
            </w:r>
            <w:r>
              <w:rPr>
                <w:rFonts w:ascii="Calibri" w:cs="Calibri" w:eastAsia="Calibri" w:hAnsi="Calibri"/>
                <w:sz w:val="18"/>
                <w:szCs w:val="18"/>
              </w:rPr>
              <w:t xml:space="preserve"> restricting transfers to named countries</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held. Policy 17.2</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notification under s.9(5)</w:t>
            </w:r>
            <w:r>
              <w:rPr>
                <w:rFonts w:ascii="Calibri" w:cs="Calibri" w:eastAsia="Calibri" w:hAnsi="Calibri"/>
                <w:sz w:val="18"/>
                <w:szCs w:val="18"/>
              </w:rPr>
              <w:t xml:space="preserve"> (age-based exemption from children's-data duties) or </w:t>
            </w:r>
            <w:r>
              <w:rPr>
                <w:rFonts w:ascii="Calibri" w:cs="Calibri" w:eastAsia="Calibri" w:hAnsi="Calibri"/>
                <w:sz w:val="18"/>
                <w:szCs w:val="18"/>
              </w:rPr>
              <w:t xml:space="preserve">s.17(3)</w:t>
            </w:r>
            <w:r>
              <w:rPr>
                <w:rFonts w:ascii="Calibri" w:cs="Calibri" w:eastAsia="Calibri" w:hAnsi="Calibri"/>
                <w:sz w:val="18"/>
                <w:szCs w:val="18"/>
              </w:rPr>
              <w:t xml:space="preserve"> (class exemptions including startups) or </w:t>
            </w:r>
            <w:r>
              <w:rPr>
                <w:rFonts w:ascii="Calibri" w:cs="Calibri" w:eastAsia="Calibri" w:hAnsi="Calibri"/>
                <w:sz w:val="18"/>
                <w:szCs w:val="18"/>
              </w:rPr>
              <w:t xml:space="preserve">s.17(5)</w:t>
            </w:r>
            <w:r>
              <w:rPr>
                <w:rFonts w:ascii="Calibri" w:cs="Calibri" w:eastAsia="Calibri" w:hAnsi="Calibri"/>
                <w:sz w:val="18"/>
                <w:szCs w:val="18"/>
              </w:rPr>
              <w:t xml:space="preserve"> (transitional exemptions)</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held. None assumed</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Information Technology Act, 2000</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Imported for "computer resource", "information" and "intermediary" at s.37(3) and rules 6(2), 23(3). Not held; terms used as the Act uses them. Note that s.44(2) omits s.43A of that Act from 13 May 2027</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Board publications under rule 4(1)</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particulars and documents required for Consent Manager registration are to be published on the Board's website; none held</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Sector regulator instruments</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 sector overlay exists. Annex A12.2 says so explicitly</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Employment law, anti-discrimination law, IP law</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Policy 18 and 20 are house standards</w:t>
            </w:r>
          </w:p>
        </w:tc>
      </w:tr>
      <w:tr>
        <w:trPr>
          <w:tblHeader w:val="false"/>
        </w:trPr>
        <w:tc>
          <w:tcPr>
            <w:tcW w:type="dxa" w:w="4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Board decisions and case law</w:t>
            </w:r>
          </w:p>
        </w:tc>
        <w:tc>
          <w:tcPr>
            <w:tcW w:type="dxa" w:w="489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relied on anywhere</w:t>
            </w:r>
          </w:p>
        </w:tc>
      </w:tr>
    </w:tbl>
    <w:p>
      <w:pPr>
        <w:spacing w:after="120"/>
      </w:pPr>
    </w:p>
    <w:p>
      <w:pPr>
        <w:pStyle w:val="Heading1"/>
        <w:spacing w:after="120" w:before="320"/>
      </w:pPr>
      <w:r>
        <w:rPr>
          <w:rFonts w:ascii="Calibri" w:cs="Calibri" w:eastAsia="Calibri" w:hAnsi="Calibri"/>
          <w:b/>
          <w:bCs/>
          <w:color w:val="1F4E79"/>
          <w:sz w:val="30"/>
          <w:szCs w:val="30"/>
        </w:rPr>
        <w:t xml:space="preserve">8. What this set therefore does not say</w:t>
      </w:r>
    </w:p>
    <w:p>
      <w:pPr>
        <w:pStyle w:val="ListParagraph"/>
        <w:numPr>
          <w:ilvl w:val="0"/>
          <w:numId w:val="2"/>
        </w:numPr>
        <w:spacing w:after="80" w:line="264"/>
      </w:pPr>
      <w:r>
        <w:rPr>
          <w:rFonts w:ascii="Calibri" w:cs="Calibri" w:eastAsia="Calibri" w:hAnsi="Calibri"/>
        </w:rPr>
        <w:t xml:space="preserve">It does not state the transfer requirements, any country restriction, or the localisation categories, because no order, notification or specification has been made public to this set.</w:t>
      </w:r>
    </w:p>
    <w:p>
      <w:pPr>
        <w:pStyle w:val="ListParagraph"/>
        <w:numPr>
          <w:ilvl w:val="0"/>
          <w:numId w:val="2"/>
        </w:numPr>
        <w:spacing w:after="80" w:line="264"/>
      </w:pPr>
      <w:r>
        <w:rPr>
          <w:rFonts w:ascii="Calibri" w:cs="Calibri" w:eastAsia="Calibri" w:hAnsi="Calibri"/>
        </w:rPr>
        <w:t xml:space="preserve">It does not resolve which commencement date the Third Schedule period runs from.</w:t>
      </w:r>
    </w:p>
    <w:p>
      <w:pPr>
        <w:pStyle w:val="ListParagraph"/>
        <w:numPr>
          <w:ilvl w:val="0"/>
          <w:numId w:val="2"/>
        </w:numPr>
        <w:spacing w:after="80" w:line="264"/>
      </w:pPr>
      <w:r>
        <w:rPr>
          <w:rFonts w:ascii="Calibri" w:cs="Calibri" w:eastAsia="Calibri" w:hAnsi="Calibri"/>
        </w:rPr>
        <w:t xml:space="preserve">It does not cover processing by the State or its instrumentalities beyond noting the grounds at s.7(b)-(c) and the exemptions at s.17(2)(a) and 17(4).</w:t>
      </w:r>
    </w:p>
    <w:p>
      <w:pPr>
        <w:pStyle w:val="ListParagraph"/>
        <w:numPr>
          <w:ilvl w:val="0"/>
          <w:numId w:val="2"/>
        </w:numPr>
        <w:spacing w:after="80" w:line="264"/>
      </w:pPr>
      <w:r>
        <w:rPr>
          <w:rFonts w:ascii="Calibri" w:cs="Calibri" w:eastAsia="Calibri" w:hAnsi="Calibri"/>
        </w:rPr>
        <w:t xml:space="preserve">It does not state what any sector regulator requires.</w:t>
      </w:r>
    </w:p>
    <w:p>
      <w:pPr>
        <w:pStyle w:val="ListParagraph"/>
        <w:numPr>
          <w:ilvl w:val="0"/>
          <w:numId w:val="2"/>
        </w:numPr>
        <w:spacing w:after="80" w:line="264"/>
      </w:pPr>
      <w:r>
        <w:rPr>
          <w:rFonts w:ascii="Calibri" w:cs="Calibri" w:eastAsia="Calibri" w:hAnsi="Calibri"/>
        </w:rPr>
        <w:t xml:space="preserve">It does not rely on any decision of the Board or any court.</w:t>
      </w:r>
    </w:p>
    <w:p>
      <w:pPr>
        <w:pStyle w:val="Heading1"/>
        <w:spacing w:after="120" w:before="320"/>
      </w:pPr>
      <w:r>
        <w:rPr>
          <w:rFonts w:ascii="Calibri" w:cs="Calibri" w:eastAsia="Calibri" w:hAnsi="Calibri"/>
          <w:b/>
          <w:bCs/>
          <w:color w:val="1F4E79"/>
          <w:sz w:val="30"/>
          <w:szCs w:val="30"/>
        </w:rPr>
        <w:t xml:space="preserve">9. Method</w:t>
      </w:r>
    </w:p>
    <w:p>
      <w:pPr>
        <w:spacing w:after="120" w:line="276"/>
      </w:pPr>
      <w:r>
        <w:rPr>
          <w:rFonts w:ascii="Calibri" w:cs="Calibri" w:eastAsia="Calibri" w:hAnsi="Calibri"/>
        </w:rPr>
        <w:t xml:space="preserve">Every provision cited above was read in the gazetted English text of the Act (No. 22 of 2023) or of G.S.R. 843(E), 844(E), 845(E), 846(E) or 892(E). The Act was obtained as the Ministry of Electronics and Information Technology's copy of the Gazette print; the authentic version is the eGazette publication, CG-DL-E-12082023-248045. The Hindi text was used only to confirm the document's identity. Nothing in this set was taken from a web page, a summary, a law-firm note, or a comparative overview. Where a requirement is left to an order, specification or notification that is not held, the set names the gap instead of filling it from any other source.</w:t>
      </w:r>
    </w:p>
    <w:p>
      <w:pPr>
        <w:pStyle w:val="Heading1"/>
        <w:spacing w:after="120" w:before="320"/>
      </w:pPr>
      <w:r>
        <w:rPr>
          <w:rFonts w:ascii="Calibri" w:cs="Calibri" w:eastAsia="Calibri" w:hAnsi="Calibri"/>
          <w:b/>
          <w:bCs/>
          <w:color w:val="1F4E79"/>
          <w:sz w:val="30"/>
          <w:szCs w:val="30"/>
        </w:rPr>
        <w:t xml:space="preserve">10. Standing caveat</w:t>
      </w:r>
    </w:p>
    <w:p>
      <w:pPr>
        <w:spacing w:after="120" w:line="276"/>
      </w:pPr>
      <w:r>
        <w:rPr>
          <w:rFonts w:ascii="Calibri" w:cs="Calibri" w:eastAsia="Calibri" w:hAnsi="Calibri"/>
        </w:rPr>
        <w:t xml:space="preserve">No provision cited in this set has been reviewed by qualified counsel. These documents are educational templates and do not constitute legal advice.</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Governance Series - Educational, not legal advice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India AI policy set</dc:title>
  <dc:creator>Narendra Karki</dc:creator>
  <dc:description>AI Governance Series. Educational, not legal advice.</dc:description>
  <cp:lastModifiedBy>Narendra Karki</cp:lastModifiedBy>
  <cp:revision>1</cp:revision>
  <dcterms:created xsi:type="dcterms:W3CDTF">2026-09-01T07:54:50.735Z</dcterms:created>
  <dcterms:modified xsi:type="dcterms:W3CDTF">2026-09-01T07:54:50.735Z</dcterms:modified>
</cp:coreProperties>
</file>

<file path=docProps/custom.xml><?xml version="1.0" encoding="utf-8"?>
<Properties xmlns="http://schemas.openxmlformats.org/officeDocument/2006/custom-properties" xmlns:vt="http://schemas.openxmlformats.org/officeDocument/2006/docPropsVTypes"/>
</file>