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color w:val="1F4E79"/>
          <w:sz w:val="44"/>
          <w:szCs w:val="44"/>
        </w:rPr>
        <w:t xml:space="preserve">Source register - India AI policy set</w:t>
      </w:r>
    </w:p>
    <w:p>
      <w:pPr>
        <w:spacing w:after="120" w:line="276"/>
      </w:pPr>
      <w:r>
        <w:rPr>
          <w:rFonts w:ascii="Calibri" w:cs="Calibri" w:eastAsia="Calibri" w:hAnsi="Calibri"/>
        </w:rPr>
        <w:t xml:space="preserve">Every document referred to, used, or deliberately not used in producing the India AI Acceptable Use Policy v1.1, the Enterprise Annex v1.1, and the research note.</w:t>
      </w:r>
    </w:p>
    <w:p>
      <w:pPr>
        <w:spacing w:after="120" w:line="276"/>
      </w:pPr>
      <w:r>
        <w:rPr>
          <w:rFonts w:ascii="Calibri" w:cs="Calibri" w:eastAsia="Calibri" w:hAnsi="Calibri"/>
        </w:rPr>
        <w:t xml:space="preserve">State as at 1 September 2026. Hashes are SHA-256 of the file as supplied, truncated to 16 characters.</w:t>
      </w:r>
    </w:p>
    <w:p>
      <w:pPr>
        <w:pBdr>
          <w:bottom w:val="single" w:color="9DC3E6" w:sz="6" w:space="1"/>
        </w:pBdr>
        <w:spacing w:after="200"/>
      </w:pPr>
    </w:p>
    <w:p>
      <w:pPr>
        <w:pStyle w:val="Heading1"/>
        <w:spacing w:after="120" w:before="320"/>
      </w:pPr>
      <w:r>
        <w:rPr>
          <w:rFonts w:ascii="Calibri" w:cs="Calibri" w:eastAsia="Calibri" w:hAnsi="Calibri"/>
          <w:b/>
          <w:bCs/>
          <w:color w:val="1F4E79"/>
          <w:sz w:val="30"/>
          <w:szCs w:val="30"/>
        </w:rPr>
        <w:t xml:space="preserve">1. Primary sources - HELD AND CITED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7"/>
        <w:gridCol w:w="1831"/>
        <w:gridCol w:w="3187"/>
        <w:gridCol w:w="1273"/>
        <w:gridCol w:w="2232"/>
      </w:tblGrid>
      <w:tr>
        <w:trPr>
          <w:tblHeader/>
        </w:trPr>
        <w:tc>
          <w:tcPr>
            <w:tcW w:type="dxa" w:w="837"/>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w:t>
            </w:r>
          </w:p>
        </w:tc>
        <w:tc>
          <w:tcPr>
            <w:tcW w:type="dxa" w:w="1831"/>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Instrument</w:t>
            </w:r>
          </w:p>
        </w:tc>
        <w:tc>
          <w:tcPr>
            <w:tcW w:type="dxa" w:w="3187"/>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Reference</w:t>
            </w:r>
          </w:p>
        </w:tc>
        <w:tc>
          <w:tcPr>
            <w:tcW w:type="dxa" w:w="1273"/>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SHA-256</w:t>
            </w:r>
          </w:p>
        </w:tc>
        <w:tc>
          <w:tcPr>
            <w:tcW w:type="dxa" w:w="2232"/>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Provisions cited</w:t>
            </w:r>
          </w:p>
        </w:tc>
      </w:tr>
      <w:tr>
        <w:trPr>
          <w:tblHeader w:val="false"/>
        </w:trPr>
        <w:tc>
          <w:tcPr>
            <w:tcW w:type="dxa" w:w="8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w:t>
            </w:r>
          </w:p>
        </w:tc>
        <w:tc>
          <w:tcPr>
            <w:tcW w:type="dxa" w:w="183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Digital Personal Data Protection Rules, 2025</w:t>
            </w:r>
          </w:p>
        </w:tc>
        <w:tc>
          <w:tcPr>
            <w:tcW w:type="dxa" w:w="318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G.S.R. 846(E), MeitY, 13 November 2025. Gazette of India, Extraordinary, Part II, Section 3, Sub-section (i), No. 760. Hindi and English, 41 pp</w:t>
            </w:r>
          </w:p>
        </w:tc>
        <w:tc>
          <w:tcPr>
            <w:tcW w:type="dxa" w:w="127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onsolas" w:cs="Consolas" w:eastAsia="Consolas" w:hAnsi="Consolas"/>
                <w:sz w:val="18"/>
                <w:szCs w:val="18"/>
              </w:rPr>
              <w:t xml:space="preserve">eabc7d05e0131446</w:t>
            </w:r>
          </w:p>
        </w:tc>
        <w:tc>
          <w:tcPr>
            <w:tcW w:type="dxa" w:w="223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Rules 1-16, 19, 20, 22, 23; First Schedule Parts A and B; Second, Third, Fourth and Seventh Schedules</w:t>
            </w:r>
          </w:p>
        </w:tc>
      </w:tr>
      <w:tr>
        <w:trPr>
          <w:tblHeader w:val="false"/>
        </w:trPr>
        <w:tc>
          <w:tcPr>
            <w:tcW w:type="dxa" w:w="8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2</w:t>
            </w:r>
          </w:p>
        </w:tc>
        <w:tc>
          <w:tcPr>
            <w:tcW w:type="dxa" w:w="183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Corrigenda to G.S.R. 846(E)</w:t>
            </w:r>
          </w:p>
        </w:tc>
        <w:tc>
          <w:tcPr>
            <w:tcW w:type="dxa" w:w="318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G.S.R. 892(E), MeitY, 10 December 2025. Gazette No. 806, published 11 December 2025</w:t>
            </w:r>
          </w:p>
        </w:tc>
        <w:tc>
          <w:tcPr>
            <w:tcW w:type="dxa" w:w="127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onsolas" w:cs="Consolas" w:eastAsia="Consolas" w:hAnsi="Consolas"/>
                <w:sz w:val="18"/>
                <w:szCs w:val="18"/>
              </w:rPr>
              <w:t xml:space="preserve">8f8d9526b5118018</w:t>
            </w:r>
          </w:p>
        </w:tc>
        <w:tc>
          <w:tcPr>
            <w:tcW w:type="dxa" w:w="223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whole notification. Read to establish what changed</w:t>
            </w:r>
          </w:p>
        </w:tc>
      </w:tr>
      <w:tr>
        <w:trPr>
          <w:tblHeader w:val="false"/>
        </w:trPr>
        <w:tc>
          <w:tcPr>
            <w:tcW w:type="dxa" w:w="8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3</w:t>
            </w:r>
          </w:p>
        </w:tc>
        <w:tc>
          <w:tcPr>
            <w:tcW w:type="dxa" w:w="183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Board composition notification</w:t>
            </w:r>
          </w:p>
        </w:tc>
        <w:tc>
          <w:tcPr>
            <w:tcW w:type="dxa" w:w="318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G.S.R. 845(E), MeitY, 13 November 2025. Under s.19(1) of the Act</w:t>
            </w:r>
          </w:p>
        </w:tc>
        <w:tc>
          <w:tcPr>
            <w:tcW w:type="dxa" w:w="127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onsolas" w:cs="Consolas" w:eastAsia="Consolas" w:hAnsi="Consolas"/>
                <w:sz w:val="18"/>
                <w:szCs w:val="18"/>
              </w:rPr>
              <w:t xml:space="preserve">812fe0ce802fe78f</w:t>
            </w:r>
          </w:p>
        </w:tc>
        <w:tc>
          <w:tcPr>
            <w:tcW w:type="dxa" w:w="223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Board shall consist of four members</w:t>
            </w:r>
          </w:p>
        </w:tc>
      </w:tr>
      <w:tr>
        <w:trPr>
          <w:tblHeader w:val="false"/>
        </w:trPr>
        <w:tc>
          <w:tcPr>
            <w:tcW w:type="dxa" w:w="8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4</w:t>
            </w:r>
          </w:p>
        </w:tc>
        <w:tc>
          <w:tcPr>
            <w:tcW w:type="dxa" w:w="183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Digital Personal Data Protection Act, 2023</w:t>
            </w:r>
          </w:p>
        </w:tc>
        <w:tc>
          <w:tcPr>
            <w:tcW w:type="dxa" w:w="318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 22 of 2023. Gazette of India, Extraordinary, Part II, Section 1, No. 25, 11 August 2023, CG-DL-E-12082023-248045. 21 pp. </w:t>
            </w:r>
            <w:r>
              <w:rPr>
                <w:rFonts w:ascii="Calibri" w:cs="Calibri" w:eastAsia="Calibri" w:hAnsi="Calibri"/>
                <w:sz w:val="18"/>
                <w:szCs w:val="18"/>
              </w:rPr>
              <w:t xml:space="preserve">Obtained 1 September 2026</w:t>
            </w:r>
            <w:r>
              <w:rPr>
                <w:rFonts w:ascii="Calibri" w:cs="Calibri" w:eastAsia="Calibri" w:hAnsi="Calibri"/>
                <w:sz w:val="18"/>
                <w:szCs w:val="18"/>
              </w:rPr>
              <w:t xml:space="preserve"> as the MeitY-hosted copy of the gazette print</w:t>
            </w:r>
          </w:p>
        </w:tc>
        <w:tc>
          <w:tcPr>
            <w:tcW w:type="dxa" w:w="127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onsolas" w:cs="Consolas" w:eastAsia="Consolas" w:hAnsi="Consolas"/>
                <w:sz w:val="18"/>
                <w:szCs w:val="18"/>
              </w:rPr>
              <w:t xml:space="preserve">4deb23981d3010c8</w:t>
            </w:r>
          </w:p>
        </w:tc>
        <w:tc>
          <w:tcPr>
            <w:tcW w:type="dxa" w:w="223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ss.1-17, 18(1) and (3), 19(1), 27, 28, 29(1)-(2), 32, 33, 34, 37, 38, 40, 42, 44(2); the Schedule</w:t>
            </w:r>
          </w:p>
        </w:tc>
      </w:tr>
      <w:tr>
        <w:trPr>
          <w:tblHeader w:val="false"/>
        </w:trPr>
        <w:tc>
          <w:tcPr>
            <w:tcW w:type="dxa" w:w="8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5</w:t>
            </w:r>
          </w:p>
        </w:tc>
        <w:tc>
          <w:tcPr>
            <w:tcW w:type="dxa" w:w="183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Act commencement notification</w:t>
            </w:r>
          </w:p>
        </w:tc>
        <w:tc>
          <w:tcPr>
            <w:tcW w:type="dxa" w:w="318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G.S.R. 843(E), MeitY, 13 November 2025. Gazette No. 757, CG-DL-E-14112025-267647. </w:t>
            </w:r>
            <w:r>
              <w:rPr>
                <w:rFonts w:ascii="Calibri" w:cs="Calibri" w:eastAsia="Calibri" w:hAnsi="Calibri"/>
                <w:sz w:val="18"/>
                <w:szCs w:val="18"/>
              </w:rPr>
              <w:t xml:space="preserve">Obtained 1 September 2026</w:t>
            </w:r>
          </w:p>
        </w:tc>
        <w:tc>
          <w:tcPr>
            <w:tcW w:type="dxa" w:w="127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onsolas" w:cs="Consolas" w:eastAsia="Consolas" w:hAnsi="Consolas"/>
                <w:sz w:val="18"/>
                <w:szCs w:val="18"/>
              </w:rPr>
              <w:t xml:space="preserve">6df25cd8c76ac8eb</w:t>
            </w:r>
          </w:p>
        </w:tc>
        <w:tc>
          <w:tcPr>
            <w:tcW w:type="dxa" w:w="223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Paragraphs (a), (b), (c)</w:t>
            </w:r>
          </w:p>
        </w:tc>
      </w:tr>
      <w:tr>
        <w:trPr>
          <w:tblHeader w:val="false"/>
        </w:trPr>
        <w:tc>
          <w:tcPr>
            <w:tcW w:type="dxa" w:w="83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6</w:t>
            </w:r>
          </w:p>
        </w:tc>
        <w:tc>
          <w:tcPr>
            <w:tcW w:type="dxa" w:w="183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Board establishment notification</w:t>
            </w:r>
          </w:p>
        </w:tc>
        <w:tc>
          <w:tcPr>
            <w:tcW w:type="dxa" w:w="318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G.S.R. 844(E), MeitY, 13 November 2025. Gazette No. 758, CG-DL-E-14112025-267648. </w:t>
            </w:r>
            <w:r>
              <w:rPr>
                <w:rFonts w:ascii="Calibri" w:cs="Calibri" w:eastAsia="Calibri" w:hAnsi="Calibri"/>
                <w:sz w:val="18"/>
                <w:szCs w:val="18"/>
              </w:rPr>
              <w:t xml:space="preserve">Obtained 1 September 2026</w:t>
            </w:r>
          </w:p>
        </w:tc>
        <w:tc>
          <w:tcPr>
            <w:tcW w:type="dxa" w:w="127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onsolas" w:cs="Consolas" w:eastAsia="Consolas" w:hAnsi="Consolas"/>
                <w:sz w:val="18"/>
                <w:szCs w:val="18"/>
              </w:rPr>
              <w:t xml:space="preserve">5cc76d1fedf9f936</w:t>
            </w:r>
          </w:p>
        </w:tc>
        <w:tc>
          <w:tcPr>
            <w:tcW w:type="dxa" w:w="223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whole notification</w:t>
            </w:r>
          </w:p>
        </w:tc>
      </w:tr>
    </w:tbl>
    <w:p>
      <w:pPr>
        <w:spacing w:after="120"/>
      </w:pPr>
    </w:p>
    <w:p>
      <w:pPr>
        <w:spacing w:after="120" w:line="276"/>
      </w:pPr>
      <w:r>
        <w:rPr>
          <w:rFonts w:ascii="Calibri" w:cs="Calibri" w:eastAsia="Calibri" w:hAnsi="Calibri"/>
        </w:rPr>
        <w:t xml:space="preserve">Row 1 is the original, uncorrected text. Row 2 is read against it. The corrections are typographical and change no obligation - research note 3.11.</w:t>
      </w:r>
    </w:p>
    <w:p>
      <w:pPr>
        <w:spacing w:after="120" w:line="276"/>
      </w:pPr>
      <w:r>
        <w:rPr>
          <w:rFonts w:ascii="Calibri" w:cs="Calibri" w:eastAsia="Calibri" w:hAnsi="Calibri"/>
        </w:rPr>
        <w:t xml:space="preserve">Rows 4 to 6 were not held at v1.0 (31 August 2026). Their absence was the defining limitation of that version and was stated in the policy body. They were obtained the next day from the Ministry's own site, not from any mirror, and read in full. The authentic version of each is the eGazette print under the CG-DL-E identifier shown.</w:t>
      </w:r>
    </w:p>
    <w:p>
      <w:pPr>
        <w:pStyle w:val="Heading1"/>
        <w:spacing w:after="120" w:before="320"/>
      </w:pPr>
      <w:r>
        <w:rPr>
          <w:rFonts w:ascii="Calibri" w:cs="Calibri" w:eastAsia="Calibri" w:hAnsi="Calibri"/>
          <w:b/>
          <w:bCs/>
          <w:color w:val="1F4E79"/>
          <w:sz w:val="30"/>
          <w:szCs w:val="30"/>
        </w:rPr>
        <w:t xml:space="preserve">2. HELD BUT NOT CITED</w:t>
      </w:r>
    </w:p>
    <w:p>
      <w:pPr>
        <w:spacing w:after="120" w:line="276"/>
      </w:pPr>
      <w:r>
        <w:rPr>
          <w:rFonts w:ascii="Calibri" w:cs="Calibri" w:eastAsia="Calibri" w:hAnsi="Calibri"/>
        </w:rPr>
        <w:t xml:space="preserve">None. Every document supplied for India is at section 1, and every part of the Rules bearing on the policy has been cited or is listed at research note 5 as held and deliberately unused.</w:t>
      </w:r>
    </w:p>
    <w:p>
      <w:pPr>
        <w:pStyle w:val="Heading1"/>
        <w:spacing w:after="120" w:before="320"/>
      </w:pPr>
      <w:r>
        <w:rPr>
          <w:rFonts w:ascii="Calibri" w:cs="Calibri" w:eastAsia="Calibri" w:hAnsi="Calibri"/>
          <w:b/>
          <w:bCs/>
          <w:color w:val="1F4E79"/>
          <w:sz w:val="30"/>
          <w:szCs w:val="30"/>
        </w:rPr>
        <w:t xml:space="preserve">3. NOT HELD</w:t>
      </w:r>
    </w:p>
    <w:p>
      <w:pPr>
        <w:pStyle w:val="Heading2"/>
        <w:spacing w:after="120" w:before="220"/>
      </w:pPr>
      <w:r>
        <w:rPr>
          <w:rFonts w:ascii="Calibri" w:cs="Calibri" w:eastAsia="Calibri" w:hAnsi="Calibri"/>
          <w:b/>
          <w:bCs/>
          <w:color w:val="1F4E79"/>
          <w:sz w:val="24"/>
          <w:szCs w:val="24"/>
        </w:rPr>
        <w:t xml:space="preserve">3.1 The parent Act - CLOSED 1 September 2026</w:t>
      </w:r>
    </w:p>
    <w:p>
      <w:pPr>
        <w:spacing w:after="120" w:line="276"/>
      </w:pPr>
      <w:r>
        <w:rPr>
          <w:rFonts w:ascii="Calibri" w:cs="Calibri" w:eastAsia="Calibri" w:hAnsi="Calibri"/>
        </w:rPr>
        <w:t xml:space="preserve">At v1.0 the Act was not held and the set could not state the rights of Data Principals, the grounds other than consent, the Significant Data Fiduciary criteria, the children's-data prohibitions the exemptions relieve, or any penalty. All of that is now stated from the text. Research note section 6 records what the Act supplied at each point the Rules refer to it; section 1.2 records the one correction to v1.0 that resulted.</w:t>
      </w:r>
    </w:p>
    <w:p>
      <w:pPr>
        <w:pStyle w:val="Heading2"/>
        <w:spacing w:after="120" w:before="220"/>
      </w:pPr>
      <w:r>
        <w:rPr>
          <w:rFonts w:ascii="Calibri" w:cs="Calibri" w:eastAsia="Calibri" w:hAnsi="Calibri"/>
          <w:b/>
          <w:bCs/>
          <w:color w:val="1F4E79"/>
          <w:sz w:val="24"/>
          <w:szCs w:val="24"/>
        </w:rPr>
        <w:t xml:space="preserve">3.2 Orders, specifications and notifications not made available to this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49"/>
        <w:gridCol w:w="5711"/>
      </w:tblGrid>
      <w:tr>
        <w:trPr>
          <w:tblHeader/>
        </w:trPr>
        <w:tc>
          <w:tcPr>
            <w:tcW w:type="dxa" w:w="3649"/>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What is missing</w:t>
            </w:r>
          </w:p>
        </w:tc>
        <w:tc>
          <w:tcPr>
            <w:tcW w:type="dxa" w:w="5711"/>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Consequence</w:t>
            </w:r>
          </w:p>
        </w:tc>
      </w:tr>
      <w:tr>
        <w:trPr>
          <w:tblHeader w:val="false"/>
        </w:trPr>
        <w:tc>
          <w:tcPr>
            <w:tcW w:type="dxa" w:w="364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Any general or special order under rule 15</w:t>
            </w:r>
          </w:p>
        </w:tc>
        <w:tc>
          <w:tcPr>
            <w:tcW w:type="dxa" w:w="571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requirements for transferring personal data outside India are unknown. Policy 17.2 states the position rather than inventing one</w:t>
            </w:r>
          </w:p>
        </w:tc>
      </w:tr>
      <w:tr>
        <w:trPr>
          <w:tblHeader w:val="false"/>
        </w:trPr>
        <w:tc>
          <w:tcPr>
            <w:tcW w:type="dxa" w:w="364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Any specification under rule 13(4)</w:t>
            </w:r>
          </w:p>
        </w:tc>
        <w:tc>
          <w:tcPr>
            <w:tcW w:type="dxa" w:w="571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categories of personal data a Significant Data Fiduciary must keep within India are unknown. Policy 17.3; annex A4.4 treats relocatability as an architectural requirement anyway</w:t>
            </w:r>
          </w:p>
        </w:tc>
      </w:tr>
      <w:tr>
        <w:trPr>
          <w:tblHeader w:val="false"/>
        </w:trPr>
        <w:tc>
          <w:tcPr>
            <w:tcW w:type="dxa" w:w="364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Any notification of Significant Data Fiduciaries</w:t>
            </w:r>
          </w:p>
        </w:tc>
        <w:tc>
          <w:tcPr>
            <w:tcW w:type="dxa" w:w="571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Whether [ORGANISATION] is one. The criteria are now stated from s.10(1). Policy 11.3</w:t>
            </w:r>
          </w:p>
        </w:tc>
      </w:tr>
      <w:tr>
        <w:trPr>
          <w:tblHeader w:val="false"/>
        </w:trPr>
        <w:tc>
          <w:tcPr>
            <w:tcW w:type="dxa" w:w="364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Any notification under s.16(1), s.9(5), s.17(3) or s.17(5)</w:t>
            </w:r>
          </w:p>
        </w:tc>
        <w:tc>
          <w:tcPr>
            <w:tcW w:type="dxa" w:w="571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Country restrictions on transfer; age-based exemption; class exemptions; transitional exemptions. None held, none assumed</w:t>
            </w:r>
          </w:p>
        </w:tc>
      </w:tr>
      <w:tr>
        <w:trPr>
          <w:tblHeader w:val="false"/>
        </w:trPr>
        <w:tc>
          <w:tcPr>
            <w:tcW w:type="dxa" w:w="364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Particulars published by the Board under rule 4(1)</w:t>
            </w:r>
          </w:p>
        </w:tc>
        <w:tc>
          <w:tcPr>
            <w:tcW w:type="dxa" w:w="571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information and documents required for Consent Manager registration are to be published on the Board's website; none held</w:t>
            </w:r>
          </w:p>
        </w:tc>
      </w:tr>
    </w:tbl>
    <w:p>
      <w:pPr>
        <w:spacing w:after="120"/>
      </w:pPr>
    </w:p>
    <w:p>
      <w:pPr>
        <w:pStyle w:val="Heading2"/>
        <w:spacing w:after="120" w:before="220"/>
      </w:pPr>
      <w:r>
        <w:rPr>
          <w:rFonts w:ascii="Calibri" w:cs="Calibri" w:eastAsia="Calibri" w:hAnsi="Calibri"/>
          <w:b/>
          <w:bCs/>
          <w:color w:val="1F4E79"/>
          <w:sz w:val="24"/>
          <w:szCs w:val="24"/>
        </w:rPr>
        <w:t xml:space="preserve">3.3 Other instruments not held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13"/>
        <w:gridCol w:w="5147"/>
      </w:tblGrid>
      <w:tr>
        <w:trPr>
          <w:tblHeader/>
        </w:trPr>
        <w:tc>
          <w:tcPr>
            <w:tcW w:type="dxa" w:w="4213"/>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What is missing</w:t>
            </w:r>
          </w:p>
        </w:tc>
        <w:tc>
          <w:tcPr>
            <w:tcW w:type="dxa" w:w="5147"/>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Consequence</w:t>
            </w:r>
          </w:p>
        </w:tc>
      </w:tr>
      <w:tr>
        <w:trPr>
          <w:tblHeader w:val="false"/>
        </w:trPr>
        <w:tc>
          <w:tcPr>
            <w:tcW w:type="dxa" w:w="42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Sector regulator instruments</w:t>
            </w:r>
            <w:r>
              <w:rPr>
                <w:rFonts w:ascii="Calibri" w:cs="Calibri" w:eastAsia="Calibri" w:hAnsi="Calibri"/>
                <w:sz w:val="18"/>
                <w:szCs w:val="18"/>
              </w:rPr>
              <w:t xml:space="preserve"> on technology risk, outsourcing, incident reporting and localisation</w:t>
            </w:r>
          </w:p>
        </w:tc>
        <w:tc>
          <w:tcPr>
            <w:tcW w:type="dxa" w:w="51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 sector overlay exists. Annex A12.2 says so explicitly, and notes that a shorter sector incident clock governs where one applies</w:t>
            </w:r>
          </w:p>
        </w:tc>
      </w:tr>
      <w:tr>
        <w:trPr>
          <w:tblHeader w:val="false"/>
        </w:trPr>
        <w:tc>
          <w:tcPr>
            <w:tcW w:type="dxa" w:w="42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Information Technology Act, 2000</w:t>
            </w:r>
          </w:p>
        </w:tc>
        <w:tc>
          <w:tcPr>
            <w:tcW w:type="dxa" w:w="51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Rules 6(2) and 23(3), and s.37(3) of the Act, import "computer resource", "information" and "intermediary" from it. The set uses the terms as the Act and Rules use them and does not assert the definitions. s.44(2)(a) omits s.43A of that Act from 13 May 2027</w:t>
            </w:r>
          </w:p>
        </w:tc>
      </w:tr>
      <w:tr>
        <w:trPr>
          <w:tblHeader w:val="false"/>
        </w:trPr>
        <w:tc>
          <w:tcPr>
            <w:tcW w:type="dxa" w:w="42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Consumer Protection Act, 2019; IT (Intermediary Guidelines and Digital Media Ethics Code) Rules, 2021</w:t>
            </w:r>
          </w:p>
        </w:tc>
        <w:tc>
          <w:tcPr>
            <w:tcW w:type="dxa" w:w="51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The Third Schedule takes "e-commerce entity" and "social media intermediary" from them. Annex A7.2 therefore requires a written determination rather than a self-assessment against remembered definitions</w:t>
            </w:r>
          </w:p>
        </w:tc>
      </w:tr>
      <w:tr>
        <w:trPr>
          <w:tblHeader w:val="false"/>
        </w:trPr>
        <w:tc>
          <w:tcPr>
            <w:tcW w:type="dxa" w:w="42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Rights of Persons with Disabilities Act, 2016; National Trust Act, 1999; Mental Healthcare Act, 2017; Clinical Establishments Act, 2010; National Commission for Allied and Healthcare Professions Act, 2021</w:t>
            </w:r>
          </w:p>
        </w:tc>
        <w:tc>
          <w:tcPr>
            <w:tcW w:type="dxa" w:w="51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Referenced by rules 11 and 12 and the Fourth Schedule for defined terms. Policy 9.4 requires a written determination against the conditions rather than an assumption</w:t>
            </w:r>
          </w:p>
        </w:tc>
      </w:tr>
      <w:tr>
        <w:trPr>
          <w:tblHeader w:val="false"/>
        </w:trPr>
        <w:tc>
          <w:tcPr>
            <w:tcW w:type="dxa" w:w="42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Employment law, anti-discrimination law, intellectual property law</w:t>
            </w:r>
          </w:p>
        </w:tc>
        <w:tc>
          <w:tcPr>
            <w:tcW w:type="dxa" w:w="51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Policy 18 and 20 carry no citation and are house standards</w:t>
            </w:r>
          </w:p>
        </w:tc>
      </w:tr>
      <w:tr>
        <w:trPr>
          <w:tblHeader w:val="false"/>
        </w:trPr>
        <w:tc>
          <w:tcPr>
            <w:tcW w:type="dxa" w:w="4213"/>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Board decisions and case law</w:t>
            </w:r>
          </w:p>
        </w:tc>
        <w:tc>
          <w:tcPr>
            <w:tcW w:type="dxa" w:w="5147"/>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None relied on anywhere</w:t>
            </w:r>
          </w:p>
        </w:tc>
      </w:tr>
    </w:tbl>
    <w:p>
      <w:pPr>
        <w:spacing w:after="120"/>
      </w:pPr>
    </w:p>
    <w:p>
      <w:pPr>
        <w:pStyle w:val="Heading1"/>
        <w:spacing w:after="120" w:before="320"/>
      </w:pPr>
      <w:r>
        <w:rPr>
          <w:rFonts w:ascii="Calibri" w:cs="Calibri" w:eastAsia="Calibri" w:hAnsi="Calibri"/>
          <w:b/>
          <w:bCs/>
          <w:color w:val="1F4E79"/>
          <w:sz w:val="30"/>
          <w:szCs w:val="30"/>
        </w:rPr>
        <w:t xml:space="preserve">4. Documents supplied in the same batch and NOT used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92"/>
        <w:gridCol w:w="2209"/>
        <w:gridCol w:w="2659"/>
      </w:tblGrid>
      <w:tr>
        <w:trPr>
          <w:tblHeader/>
        </w:trPr>
        <w:tc>
          <w:tcPr>
            <w:tcW w:type="dxa" w:w="4492"/>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Document</w:t>
            </w:r>
          </w:p>
        </w:tc>
        <w:tc>
          <w:tcPr>
            <w:tcW w:type="dxa" w:w="2209"/>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Jurisdiction</w:t>
            </w:r>
          </w:p>
        </w:tc>
        <w:tc>
          <w:tcPr>
            <w:tcW w:type="dxa" w:w="2659"/>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SHA-256</w:t>
            </w:r>
          </w:p>
        </w:tc>
      </w:tr>
      <w:tr>
        <w:trPr>
          <w:tblHeader w:val="false"/>
        </w:trPr>
        <w:tc>
          <w:tcPr>
            <w:tcW w:type="dxa" w:w="449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Personal Data Protection Act 2012 (2020 Revised Edition)</w:t>
            </w:r>
          </w:p>
        </w:tc>
        <w:tc>
          <w:tcPr>
            <w:tcW w:type="dxa" w:w="22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Singapore</w:t>
            </w:r>
          </w:p>
        </w:tc>
        <w:tc>
          <w:tcPr>
            <w:tcW w:type="dxa" w:w="26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onsolas" w:cs="Consolas" w:eastAsia="Consolas" w:hAnsi="Consolas"/>
                <w:sz w:val="18"/>
                <w:szCs w:val="18"/>
              </w:rPr>
              <w:t xml:space="preserve">d41a91872422d696</w:t>
            </w:r>
          </w:p>
        </w:tc>
      </w:tr>
      <w:tr>
        <w:trPr>
          <w:tblHeader w:val="false"/>
        </w:trPr>
        <w:tc>
          <w:tcPr>
            <w:tcW w:type="dxa" w:w="449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DIFC Regulation 10 Accreditation and Certification Framework</w:t>
            </w:r>
          </w:p>
        </w:tc>
        <w:tc>
          <w:tcPr>
            <w:tcW w:type="dxa" w:w="22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UAE (DIFC)</w:t>
            </w:r>
          </w:p>
        </w:tc>
        <w:tc>
          <w:tcPr>
            <w:tcW w:type="dxa" w:w="26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onsolas" w:cs="Consolas" w:eastAsia="Consolas" w:hAnsi="Consolas"/>
                <w:sz w:val="18"/>
                <w:szCs w:val="18"/>
              </w:rPr>
              <w:t xml:space="preserve">1557019ef9551bbe</w:t>
            </w:r>
          </w:p>
        </w:tc>
      </w:tr>
      <w:tr>
        <w:trPr>
          <w:tblHeader w:val="false"/>
        </w:trPr>
        <w:tc>
          <w:tcPr>
            <w:tcW w:type="dxa" w:w="449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NDMO Data Management and Personal Data Protection Standards v1.5</w:t>
            </w:r>
          </w:p>
        </w:tc>
        <w:tc>
          <w:tcPr>
            <w:tcW w:type="dxa" w:w="22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Saudi Arabia</w:t>
            </w:r>
          </w:p>
        </w:tc>
        <w:tc>
          <w:tcPr>
            <w:tcW w:type="dxa" w:w="26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onsolas" w:cs="Consolas" w:eastAsia="Consolas" w:hAnsi="Consolas"/>
                <w:sz w:val="18"/>
                <w:szCs w:val="18"/>
              </w:rPr>
              <w:t xml:space="preserve">784fdaae1ff5d9de</w:t>
            </w:r>
          </w:p>
        </w:tc>
      </w:tr>
      <w:tr>
        <w:trPr>
          <w:tblHeader w:val="false"/>
        </w:trPr>
        <w:tc>
          <w:tcPr>
            <w:tcW w:type="dxa" w:w="449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Data Sharing Policy v2.0</w:t>
            </w:r>
          </w:p>
        </w:tc>
        <w:tc>
          <w:tcPr>
            <w:tcW w:type="dxa" w:w="22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Saudi Arabia</w:t>
            </w:r>
          </w:p>
        </w:tc>
        <w:tc>
          <w:tcPr>
            <w:tcW w:type="dxa" w:w="26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onsolas" w:cs="Consolas" w:eastAsia="Consolas" w:hAnsi="Consolas"/>
                <w:sz w:val="18"/>
                <w:szCs w:val="18"/>
              </w:rPr>
              <w:t xml:space="preserve">93e843b8a20a75de</w:t>
            </w:r>
          </w:p>
        </w:tc>
      </w:tr>
      <w:tr>
        <w:trPr>
          <w:tblHeader w:val="false"/>
        </w:trPr>
        <w:tc>
          <w:tcPr>
            <w:tcW w:type="dxa" w:w="4492"/>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National Data Governance Policies - Data Classification Policy v1</w:t>
            </w:r>
          </w:p>
        </w:tc>
        <w:tc>
          <w:tcPr>
            <w:tcW w:type="dxa" w:w="220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Saudi Arabia</w:t>
            </w:r>
          </w:p>
        </w:tc>
        <w:tc>
          <w:tcPr>
            <w:tcW w:type="dxa" w:w="2659"/>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onsolas" w:cs="Consolas" w:eastAsia="Consolas" w:hAnsi="Consolas"/>
                <w:sz w:val="18"/>
                <w:szCs w:val="18"/>
              </w:rPr>
              <w:t xml:space="preserve">bfad974c5343b264</w:t>
            </w:r>
          </w:p>
        </w:tc>
      </w:tr>
    </w:tbl>
    <w:p>
      <w:pPr>
        <w:spacing w:after="120"/>
      </w:pPr>
    </w:p>
    <w:p>
      <w:pPr>
        <w:spacing w:after="120" w:line="276"/>
      </w:pPr>
      <w:r>
        <w:rPr>
          <w:rFonts w:ascii="Calibri" w:cs="Calibri" w:eastAsia="Calibri" w:hAnsi="Calibri"/>
          <w:b/>
          <w:bCs/>
        </w:rPr>
        <w:t xml:space="preserve">No provision of any of these entered the India set</w:t>
      </w:r>
      <w:r>
        <w:rPr>
          <w:rFonts w:ascii="Calibri" w:cs="Calibri" w:eastAsia="Calibri" w:hAnsi="Calibri"/>
        </w:rPr>
        <w:t xml:space="preserve">, and no comparison to any other jurisdiction appears in any India document.</w:t>
      </w:r>
    </w:p>
    <w:p>
      <w:pPr>
        <w:pStyle w:val="Heading1"/>
        <w:spacing w:after="120" w:before="320"/>
      </w:pPr>
      <w:r>
        <w:rPr>
          <w:rFonts w:ascii="Calibri" w:cs="Calibri" w:eastAsia="Calibri" w:hAnsi="Calibri"/>
          <w:b/>
          <w:bCs/>
          <w:color w:val="1F4E79"/>
          <w:sz w:val="30"/>
          <w:szCs w:val="30"/>
        </w:rPr>
        <w:t xml:space="preserve">5. Document architecture</w:t>
      </w:r>
    </w:p>
    <w:p>
      <w:pPr>
        <w:spacing w:after="120" w:line="276"/>
      </w:pPr>
      <w:r>
        <w:rPr>
          <w:rFonts w:ascii="Calibri" w:cs="Calibri" w:eastAsia="Calibri" w:hAnsi="Calibri"/>
        </w:rPr>
        <w:t xml:space="preserve">[ORGANISATION] supplied an existing policy set as a structural template. Only its architecture was used: section order, tone, the convention that rule numbers live in the research note rather than the policy body, and the practice of flagging house standards that exceed statute.</w:t>
      </w:r>
    </w:p>
    <w:p>
      <w:pPr>
        <w:spacing w:after="120" w:line="276"/>
      </w:pPr>
      <w:r>
        <w:rPr>
          <w:rFonts w:ascii="Calibri" w:cs="Calibri" w:eastAsia="Calibri" w:hAnsi="Calibri"/>
          <w:b/>
          <w:bCs/>
        </w:rPr>
        <w:t xml:space="preserve">No legal source from that template was carried across.</w:t>
      </w:r>
      <w:r>
        <w:rPr>
          <w:rFonts w:ascii="Calibri" w:cs="Calibri" w:eastAsia="Calibri" w:hAnsi="Calibri"/>
        </w:rPr>
        <w:t xml:space="preserve"> Every obligation in this set was derived independently from the instruments in section 1. Where the template carried a citation and no equivalent Indian provision is held, the clause here is an unsourced house standard and is labelled as such in the policy text itself, not only in this register.</w:t>
      </w:r>
    </w:p>
    <w:p>
      <w:pPr>
        <w:pStyle w:val="Heading1"/>
        <w:spacing w:after="120" w:before="320"/>
      </w:pPr>
      <w:r>
        <w:rPr>
          <w:rFonts w:ascii="Calibri" w:cs="Calibri" w:eastAsia="Calibri" w:hAnsi="Calibri"/>
          <w:b/>
          <w:bCs/>
          <w:color w:val="1F4E79"/>
          <w:sz w:val="30"/>
          <w:szCs w:val="30"/>
        </w:rPr>
        <w:t xml:space="preserve">6. Documents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4"/>
        <w:gridCol w:w="1765"/>
        <w:gridCol w:w="4081"/>
      </w:tblGrid>
      <w:tr>
        <w:trPr>
          <w:tblHeader/>
        </w:trPr>
        <w:tc>
          <w:tcPr>
            <w:tcW w:type="dxa" w:w="3514"/>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Document</w:t>
            </w:r>
          </w:p>
        </w:tc>
        <w:tc>
          <w:tcPr>
            <w:tcW w:type="dxa" w:w="1765"/>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Version</w:t>
            </w:r>
          </w:p>
        </w:tc>
        <w:tc>
          <w:tcPr>
            <w:tcW w:type="dxa" w:w="4081"/>
            <w:tcBorders>
              <w:top w:val="single" w:color="9DC3E6" w:sz="4"/>
              <w:left w:val="single" w:color="9DC3E6" w:sz="4"/>
              <w:bottom w:val="single" w:color="9DC3E6" w:sz="4"/>
              <w:right w:val="single" w:color="9DC3E6" w:sz="4"/>
            </w:tcBorders>
            <w:shd w:fill="DCE6F1" w:color="auto" w:val="clear"/>
            <w:tcMar>
              <w:top w:type="dxa" w:w="60"/>
              <w:left w:type="dxa" w:w="90"/>
              <w:bottom w:type="dxa" w:w="60"/>
              <w:right w:type="dxa" w:w="90"/>
            </w:tcMar>
          </w:tcPr>
          <w:p>
            <w:pPr>
              <w:spacing w:after="0"/>
            </w:pPr>
            <w:r>
              <w:rPr>
                <w:rFonts w:ascii="Calibri" w:cs="Calibri" w:eastAsia="Calibri" w:hAnsi="Calibri"/>
                <w:b/>
                <w:bCs/>
                <w:color w:val="1F4E79"/>
                <w:sz w:val="18"/>
                <w:szCs w:val="18"/>
              </w:rPr>
              <w:t xml:space="preserve">Status</w:t>
            </w:r>
          </w:p>
        </w:tc>
      </w:tr>
      <w:tr>
        <w:trPr>
          <w:tblHeader w:val="false"/>
        </w:trPr>
        <w:tc>
          <w:tcPr>
            <w:tcW w:type="dxa" w:w="351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onsolas" w:cs="Consolas" w:eastAsia="Consolas" w:hAnsi="Consolas"/>
                <w:sz w:val="18"/>
                <w:szCs w:val="18"/>
              </w:rPr>
              <w:t xml:space="preserve">India_AI_Acceptable_Use_Policy.md</w:t>
            </w:r>
          </w:p>
        </w:tc>
        <w:tc>
          <w:tcPr>
            <w:tcW w:type="dxa" w:w="17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1.1</w:t>
            </w:r>
          </w:p>
        </w:tc>
        <w:tc>
          <w:tcPr>
            <w:tcW w:type="dxa" w:w="408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Verified against the Act, its commencement notification and the Rules</w:t>
            </w:r>
          </w:p>
        </w:tc>
      </w:tr>
      <w:tr>
        <w:trPr>
          <w:tblHeader w:val="false"/>
        </w:trPr>
        <w:tc>
          <w:tcPr>
            <w:tcW w:type="dxa" w:w="351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onsolas" w:cs="Consolas" w:eastAsia="Consolas" w:hAnsi="Consolas"/>
                <w:sz w:val="18"/>
                <w:szCs w:val="18"/>
              </w:rPr>
              <w:t xml:space="preserve">India_AI_Governance_Enterprise_Annex.md</w:t>
            </w:r>
          </w:p>
        </w:tc>
        <w:tc>
          <w:tcPr>
            <w:tcW w:type="dxa" w:w="17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1.1</w:t>
            </w:r>
          </w:p>
        </w:tc>
        <w:tc>
          <w:tcPr>
            <w:tcW w:type="dxa" w:w="408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Verified</w:t>
            </w:r>
          </w:p>
        </w:tc>
      </w:tr>
      <w:tr>
        <w:trPr>
          <w:tblHeader w:val="false"/>
        </w:trPr>
        <w:tc>
          <w:tcPr>
            <w:tcW w:type="dxa" w:w="351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onsolas" w:cs="Consolas" w:eastAsia="Consolas" w:hAnsi="Consolas"/>
                <w:sz w:val="18"/>
                <w:szCs w:val="18"/>
              </w:rPr>
              <w:t xml:space="preserve">India_policy_research_note.md</w:t>
            </w:r>
          </w:p>
        </w:tc>
        <w:tc>
          <w:tcPr>
            <w:tcW w:type="dxa" w:w="17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1.1</w:t>
            </w:r>
          </w:p>
        </w:tc>
        <w:tc>
          <w:tcPr>
            <w:tcW w:type="dxa" w:w="408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Citations, both commencement tables, findings including the v1.0 correction, what remains open</w:t>
            </w:r>
          </w:p>
        </w:tc>
      </w:tr>
      <w:tr>
        <w:trPr>
          <w:tblHeader w:val="false"/>
        </w:trPr>
        <w:tc>
          <w:tcPr>
            <w:tcW w:type="dxa" w:w="3514"/>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onsolas" w:cs="Consolas" w:eastAsia="Consolas" w:hAnsi="Consolas"/>
                <w:sz w:val="18"/>
                <w:szCs w:val="18"/>
              </w:rPr>
              <w:t xml:space="preserve">India_source_register.md</w:t>
            </w:r>
          </w:p>
        </w:tc>
        <w:tc>
          <w:tcPr>
            <w:tcW w:type="dxa" w:w="1765"/>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1.1</w:t>
            </w:r>
          </w:p>
        </w:tc>
        <w:tc>
          <w:tcPr>
            <w:tcW w:type="dxa" w:w="4081"/>
            <w:tcBorders>
              <w:top w:val="single" w:color="9DC3E6" w:sz="4"/>
              <w:left w:val="single" w:color="9DC3E6" w:sz="4"/>
              <w:bottom w:val="single" w:color="9DC3E6" w:sz="4"/>
              <w:right w:val="single" w:color="9DC3E6" w:sz="4"/>
            </w:tcBorders>
            <w:tcMar>
              <w:top w:type="dxa" w:w="60"/>
              <w:left w:type="dxa" w:w="90"/>
              <w:bottom w:type="dxa" w:w="60"/>
              <w:right w:type="dxa" w:w="90"/>
            </w:tcMar>
          </w:tcPr>
          <w:p>
            <w:pPr>
              <w:spacing w:after="0"/>
            </w:pPr>
            <w:r>
              <w:rPr>
                <w:rFonts w:ascii="Calibri" w:cs="Calibri" w:eastAsia="Calibri" w:hAnsi="Calibri"/>
                <w:sz w:val="18"/>
                <w:szCs w:val="18"/>
              </w:rPr>
              <w:t xml:space="preserve">This document</w:t>
            </w:r>
          </w:p>
        </w:tc>
      </w:tr>
    </w:tbl>
    <w:p>
      <w:pPr>
        <w:spacing w:after="120"/>
      </w:pPr>
    </w:p>
    <w:p>
      <w:pPr>
        <w:pStyle w:val="Heading1"/>
        <w:spacing w:after="120" w:before="320"/>
      </w:pPr>
      <w:r>
        <w:rPr>
          <w:rFonts w:ascii="Calibri" w:cs="Calibri" w:eastAsia="Calibri" w:hAnsi="Calibri"/>
          <w:b/>
          <w:bCs/>
          <w:color w:val="1F4E79"/>
          <w:sz w:val="30"/>
          <w:szCs w:val="30"/>
        </w:rPr>
        <w:t xml:space="preserve">7. Sources NOT used, as a matter of method</w:t>
      </w:r>
    </w:p>
    <w:p>
      <w:pPr>
        <w:pStyle w:val="ListParagraph"/>
        <w:numPr>
          <w:ilvl w:val="0"/>
          <w:numId w:val="2"/>
        </w:numPr>
        <w:spacing w:after="80" w:line="264"/>
      </w:pPr>
      <w:r>
        <w:rPr>
          <w:rFonts w:ascii="Calibri" w:cs="Calibri" w:eastAsia="Calibri" w:hAnsi="Calibri"/>
          <w:b/>
          <w:bCs/>
        </w:rPr>
        <w:t xml:space="preserve">No web content entered any obligation.</w:t>
      </w:r>
      <w:r>
        <w:rPr>
          <w:rFonts w:ascii="Calibri" w:cs="Calibri" w:eastAsia="Calibri" w:hAnsi="Calibri"/>
        </w:rPr>
        <w:t xml:space="preserve"> No page was consulted as authority for anything in this set.</w:t>
      </w:r>
    </w:p>
    <w:p>
      <w:pPr>
        <w:pStyle w:val="ListParagraph"/>
        <w:numPr>
          <w:ilvl w:val="0"/>
          <w:numId w:val="2"/>
        </w:numPr>
        <w:spacing w:after="80" w:line="264"/>
      </w:pPr>
      <w:r>
        <w:rPr>
          <w:rFonts w:ascii="Calibri" w:cs="Calibri" w:eastAsia="Calibri" w:hAnsi="Calibri"/>
          <w:b/>
          <w:bCs/>
        </w:rPr>
        <w:t xml:space="preserve">No AI-generated legal content.</w:t>
      </w:r>
      <w:r>
        <w:rPr>
          <w:rFonts w:ascii="Calibri" w:cs="Calibri" w:eastAsia="Calibri" w:hAnsi="Calibri"/>
        </w:rPr>
        <w:t xml:space="preserve"> Every provision cited resolves to text in the gazetted files at section 1.</w:t>
      </w:r>
    </w:p>
    <w:p>
      <w:pPr>
        <w:pStyle w:val="ListParagraph"/>
        <w:numPr>
          <w:ilvl w:val="0"/>
          <w:numId w:val="2"/>
        </w:numPr>
        <w:spacing w:after="80" w:line="264"/>
      </w:pPr>
      <w:r>
        <w:rPr>
          <w:rFonts w:ascii="Calibri" w:cs="Calibri" w:eastAsia="Calibri" w:hAnsi="Calibri"/>
          <w:b/>
          <w:bCs/>
        </w:rPr>
        <w:t xml:space="preserve">No secondary commentary, law-firm briefing, or comparative summary.</w:t>
      </w:r>
      <w:r>
        <w:rPr>
          <w:rFonts w:ascii="Calibri" w:cs="Calibri" w:eastAsia="Calibri" w:hAnsi="Calibri"/>
        </w:rPr>
        <w:t xml:space="preserve"> The commencement position in particular was taken from rule 1(2) to (4) of the gazetted text, not from any summary of it.</w:t>
      </w:r>
    </w:p>
    <w:p>
      <w:pPr>
        <w:pStyle w:val="ListParagraph"/>
        <w:numPr>
          <w:ilvl w:val="0"/>
          <w:numId w:val="2"/>
        </w:numPr>
        <w:spacing w:after="80" w:line="264"/>
      </w:pPr>
      <w:r>
        <w:rPr>
          <w:rFonts w:ascii="Calibri" w:cs="Calibri" w:eastAsia="Calibri" w:hAnsi="Calibri"/>
          <w:b/>
          <w:bCs/>
        </w:rPr>
        <w:t xml:space="preserve">The Hindi text was used only to confirm the document's identity</w:t>
      </w:r>
      <w:r>
        <w:rPr>
          <w:rFonts w:ascii="Calibri" w:cs="Calibri" w:eastAsia="Calibri" w:hAnsi="Calibri"/>
        </w:rPr>
        <w:t xml:space="preserve">, not as a source for any obligation. Where Hindi and English appear in the same gazette, the English was read.</w:t>
      </w:r>
    </w:p>
    <w:p>
      <w:pPr>
        <w:pStyle w:val="ListParagraph"/>
        <w:numPr>
          <w:ilvl w:val="0"/>
          <w:numId w:val="2"/>
        </w:numPr>
        <w:spacing w:after="80" w:line="264"/>
      </w:pPr>
      <w:r>
        <w:rPr>
          <w:rFonts w:ascii="Calibri" w:cs="Calibri" w:eastAsia="Calibri" w:hAnsi="Calibri"/>
          <w:b/>
          <w:bCs/>
        </w:rPr>
        <w:t xml:space="preserve">No comparison to any other jurisdiction.</w:t>
      </w:r>
    </w:p>
    <w:p>
      <w:pPr>
        <w:pStyle w:val="Heading1"/>
        <w:spacing w:after="120" w:before="320"/>
      </w:pPr>
      <w:r>
        <w:rPr>
          <w:rFonts w:ascii="Calibri" w:cs="Calibri" w:eastAsia="Calibri" w:hAnsi="Calibri"/>
          <w:b/>
          <w:bCs/>
          <w:color w:val="1F4E79"/>
          <w:sz w:val="30"/>
          <w:szCs w:val="30"/>
        </w:rPr>
        <w:t xml:space="preserve">8. The verifications that mattered most</w:t>
      </w:r>
    </w:p>
    <w:p>
      <w:pPr>
        <w:spacing w:after="120" w:line="276"/>
      </w:pPr>
      <w:r>
        <w:rPr>
          <w:rFonts w:ascii="Calibri" w:cs="Calibri" w:eastAsia="Calibri" w:hAnsi="Calibri"/>
          <w:b/>
          <w:bCs/>
        </w:rPr>
        <w:t xml:space="preserve">The Act commences by its own notification.</w:t>
      </w:r>
      <w:r>
        <w:rPr>
          <w:rFonts w:ascii="Calibri" w:cs="Calibri" w:eastAsia="Calibri" w:hAnsi="Calibri"/>
        </w:rPr>
        <w:t xml:space="preserve"> The Rules' commencement in rule 1 and the Act's commencement in G.S.R. 843(E) are two instruments of the same date with the same three dates. A set that holds only the Rules, as v1.0 did, can say when the rules bind but not when the Act does, and the penalties are in the Act. Both are now held and both tables are in the research note. Citing one without the other is the most common error in the commentary in circulation.</w:t>
      </w:r>
    </w:p>
    <w:p>
      <w:pPr>
        <w:spacing w:after="120" w:line="276"/>
      </w:pPr>
      <w:r>
        <w:rPr>
          <w:rFonts w:ascii="Calibri" w:cs="Calibri" w:eastAsia="Calibri" w:hAnsi="Calibri"/>
          <w:b/>
          <w:bCs/>
        </w:rPr>
        <w:t xml:space="preserve">The commencement schedule.</w:t>
      </w:r>
      <w:r>
        <w:rPr>
          <w:rFonts w:ascii="Calibri" w:cs="Calibri" w:eastAsia="Calibri" w:hAnsi="Calibri"/>
        </w:rPr>
        <w:t xml:space="preserve"> Before the gazetted text was read, the reasonable assumption about a rulebook published in November 2025 is that it binds. It does not. Rules 1(2) to (4) stage commencement across three dates, and </w:t>
      </w:r>
      <w:r>
        <w:rPr>
          <w:rFonts w:ascii="Calibri" w:cs="Calibri" w:eastAsia="Calibri" w:hAnsi="Calibri"/>
          <w:b/>
          <w:bCs/>
        </w:rPr>
        <w:t xml:space="preserve">the stage carrying every operating obligation - notice, security safeguards, breach intimation, erasure, rights, transfers, and the Significant Data Fiduciary duties - lands on 13 May 2027</w:t>
      </w:r>
      <w:r>
        <w:rPr>
          <w:rFonts w:ascii="Calibri" w:cs="Calibri" w:eastAsia="Calibri" w:hAnsi="Calibri"/>
        </w:rPr>
        <w:t xml:space="preserve">, 255 days from today. What is live today is the construction of the regulator.</w:t>
      </w:r>
    </w:p>
    <w:p>
      <w:pPr>
        <w:spacing w:after="120" w:line="276"/>
      </w:pPr>
      <w:r>
        <w:rPr>
          <w:rFonts w:ascii="Calibri" w:cs="Calibri" w:eastAsia="Calibri" w:hAnsi="Calibri"/>
        </w:rPr>
        <w:t xml:space="preserve">A set written on the assumption that the Rules bind would have told an organisation to do, this quarter, a dozen things it has eighteen months to prepare - and would have missed the point that actually matters, which is that eighteen months is shorter than the life of an AI contract signed now. Policy 4.4 and annex A3.5 carry that.</w:t>
      </w:r>
    </w:p>
    <w:p>
      <w:pPr>
        <w:spacing w:after="120" w:line="276"/>
      </w:pPr>
      <w:r>
        <w:rPr>
          <w:rFonts w:ascii="Calibri" w:cs="Calibri" w:eastAsia="Calibri" w:hAnsi="Calibri"/>
          <w:b/>
          <w:bCs/>
        </w:rPr>
        <w:t xml:space="preserve">The direction of the retention obligation.</w:t>
      </w:r>
      <w:r>
        <w:rPr>
          <w:rFonts w:ascii="Calibri" w:cs="Calibri" w:eastAsia="Calibri" w:hAnsi="Calibri"/>
        </w:rPr>
        <w:t xml:space="preserve"> Rule 8(3) and rule 6(1)(e) each impose a </w:t>
      </w:r>
      <w:r>
        <w:rPr>
          <w:rFonts w:ascii="Calibri" w:cs="Calibri" w:eastAsia="Calibri" w:hAnsi="Calibri"/>
          <w:b/>
          <w:bCs/>
        </w:rPr>
        <w:t xml:space="preserve">one-year minimum</w:t>
      </w:r>
      <w:r>
        <w:rPr>
          <w:rFonts w:ascii="Calibri" w:cs="Calibri" w:eastAsia="Calibri" w:hAnsi="Calibri"/>
        </w:rPr>
        <w:t xml:space="preserve"> retention period on personal data, associated traffic data and processing logs - rule 8(3) on every Data Fiduciary, without qualification, and expressly reaching processing carried out by a Data Processor on its behalf. The Rules' own illustration confirms it against a cloud provider.</w:t>
      </w:r>
    </w:p>
    <w:p>
      <w:pPr>
        <w:spacing w:after="120" w:line="276"/>
      </w:pPr>
      <w:r>
        <w:rPr>
          <w:rFonts w:ascii="Calibri" w:cs="Calibri" w:eastAsia="Calibri" w:hAnsi="Calibri"/>
        </w:rPr>
        <w:t xml:space="preserve">This is the opposite of what a privacy policy usually says, and it is the finding most likely to be got backwards by a team applying instincts formed elsewhere. It has a direct and counter-intuitive consequence for AI procurement: </w:t>
      </w:r>
      <w:r>
        <w:rPr>
          <w:rFonts w:ascii="Calibri" w:cs="Calibri" w:eastAsia="Calibri" w:hAnsi="Calibri"/>
          <w:b/>
          <w:bCs/>
        </w:rPr>
        <w:t xml:space="preserve">a supplier's zero-retention or short-retention mode, marketed as a privacy feature, cannot be used for personal data.</w:t>
      </w:r>
      <w:r>
        <w:rPr>
          <w:rFonts w:ascii="Calibri" w:cs="Calibri" w:eastAsia="Calibri" w:hAnsi="Calibri"/>
        </w:rPr>
        <w:t xml:space="preserve"> Policy 3.6, 6.5 and Section 12, and annex A6.4 and A7, are all consequences of that single reading.</w:t>
      </w:r>
    </w:p>
    <w:p>
      <w:pPr>
        <w:spacing w:after="120" w:line="276"/>
      </w:pPr>
      <w:r>
        <w:rPr>
          <w:rFonts w:ascii="Calibri" w:cs="Calibri" w:eastAsia="Calibri" w:hAnsi="Calibri"/>
          <w:b/>
          <w:bCs/>
        </w:rPr>
        <w:t xml:space="preserve">The absence of a breach threshold.</w:t>
      </w:r>
      <w:r>
        <w:rPr>
          <w:rFonts w:ascii="Calibri" w:cs="Calibri" w:eastAsia="Calibri" w:hAnsi="Calibri"/>
        </w:rPr>
        <w:t xml:space="preserve"> Rule 7(1) attaches on becoming aware of "any personal data breach" and is owed to "each affected Data Principal". There is no harm test, no scale test, and no assessment step before the duty arises. That converts "which of our systems can tell us whose data was touched" from an incident-response question into a system-approval question, which is where policy 15.6 and annex A2.1 put it.</w:t>
      </w:r>
    </w:p>
    <w:p>
      <w:pPr>
        <w:pStyle w:val="Heading1"/>
        <w:spacing w:after="120" w:before="320"/>
      </w:pPr>
      <w:r>
        <w:rPr>
          <w:rFonts w:ascii="Calibri" w:cs="Calibri" w:eastAsia="Calibri" w:hAnsi="Calibri"/>
          <w:b/>
          <w:bCs/>
          <w:color w:val="1F4E79"/>
          <w:sz w:val="30"/>
          <w:szCs w:val="30"/>
        </w:rPr>
        <w:t xml:space="preserve">9. Standing caveat</w:t>
      </w:r>
    </w:p>
    <w:p>
      <w:pPr>
        <w:spacing w:after="120" w:line="276"/>
      </w:pPr>
      <w:r>
        <w:rPr>
          <w:rFonts w:ascii="Calibri" w:cs="Calibri" w:eastAsia="Calibri" w:hAnsi="Calibri"/>
        </w:rPr>
        <w:t xml:space="preserve">No provision cited in this set has been reviewed by qualified counsel. These documents are educational templates and do not constitute legal advice.</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AI Governance Series - Educational, not legal advice - 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register - India AI policy set</dc:title>
  <dc:creator>Narendra Karki</dc:creator>
  <dc:description>AI Governance Series. Educational, not legal advice.</dc:description>
  <cp:lastModifiedBy>Narendra Karki</cp:lastModifiedBy>
  <cp:revision>1</cp:revision>
  <dcterms:created xsi:type="dcterms:W3CDTF">2026-09-01T07:54:51.095Z</dcterms:created>
  <dcterms:modified xsi:type="dcterms:W3CDTF">2026-09-01T07:54:51.095Z</dcterms:modified>
</cp:coreProperties>
</file>

<file path=docProps/custom.xml><?xml version="1.0" encoding="utf-8"?>
<Properties xmlns="http://schemas.openxmlformats.org/officeDocument/2006/custom-properties" xmlns:vt="http://schemas.openxmlformats.org/officeDocument/2006/docPropsVTypes"/>
</file>