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register - Bias and Fairness Testing walkthrough</w:t>
      </w:r>
    </w:p>
    <w:p>
      <w:pPr>
        <w:pStyle w:val="Author"/>
      </w:pPr>
      <w:r>
        <w:t xml:space="preserve">Narendra Karki</w:t>
      </w:r>
    </w:p>
    <w:p>
      <w:pPr>
        <w:pStyle w:val="FirstParagraph"/>
      </w:pPr>
      <w:r>
        <w:t xml:space="preserve">Every document supplied for, used in, required by, or deliberately not used in producing the walkthrough v1.0, its worked example and its research note.</w:t>
      </w:r>
    </w:p>
    <w:p>
      <w:pPr>
        <w:pStyle w:val="BodyText"/>
      </w:pPr>
      <w:r>
        <w:t xml:space="preserve">State as at</w:t>
      </w:r>
      <w:r>
        <w:t xml:space="preserve"> </w:t>
      </w:r>
      <w:r>
        <w:rPr>
          <w:bCs/>
          <w:b/>
        </w:rPr>
        <w:t xml:space="preserve">10 September 2026</w:t>
      </w:r>
      <w:r>
        <w:t xml:space="preserve">. Hashes are SHA-256 of the file as supplied, truncated to 16 characters.</w:t>
      </w:r>
    </w:p>
    <w:p>
      <w:r>
        <w:pict>
          <v:rect style="width:0;height:1.5pt" o:hralign="center" o:hrstd="t" o:hr="t"/>
        </w:pict>
      </w:r>
    </w:p>
    <w:bookmarkStart w:id="20" w:name="primary-law---held-and-cited"/>
    <w:p>
      <w:pPr>
        <w:pStyle w:val="Heading2"/>
      </w:pPr>
      <w:r>
        <w:t xml:space="preserve">1. Primary law - HELD AND CITED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Provisions cited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Regulation (EU) 2024/1689 - consolidated</w:t>
            </w:r>
            <w:r>
              <w:t xml:space="preserve"> </w:t>
            </w:r>
            <w:r>
              <w:t xml:space="preserve">(Artificial Intelligence Act)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02024R1689-20260727</w:t>
            </w:r>
            <w:r>
              <w:t xml:space="preserve">; consolidation stamp</w:t>
            </w:r>
            <w:r>
              <w:t xml:space="preserve"> </w:t>
            </w:r>
            <w:r>
              <w:rPr>
                <w:rStyle w:val="VerbatimChar"/>
              </w:rPr>
              <w:t xml:space="preserve">02024R1689 - EN - 27.07.2026 - 001.001</w:t>
            </w:r>
            <w:r>
              <w:t xml:space="preserve"> </w:t>
            </w:r>
            <w:r>
              <w:t xml:space="preserve">on every page; supplied as</w:t>
            </w:r>
            <w:r>
              <w:t xml:space="preserve"> </w:t>
            </w:r>
            <w:r>
              <w:rPr>
                <w:rStyle w:val="VerbatimChar"/>
              </w:rPr>
              <w:t xml:space="preserve">EU_AI_Act_consolidated_02024R1689-20260727.pdf</w:t>
            </w:r>
            <w:r>
              <w:t xml:space="preserve">, 151 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1ccd38d1c78482cf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Arts 4a(1)-(2), 6(3), 9(1)-(2), 9(5)-(6), 9(8)-(9), 10(1)-(6), 11(1), 13(3)(b)(v), 14(1), 14(4)(b), 26(5)-(6), 27(1)-(5), 72(1)-(3), 113(a), 113(c)(i); Annex III 5(b); Annex IV points 2(d), 2(g), 4</w:t>
            </w:r>
          </w:p>
        </w:tc>
      </w:tr>
    </w:tbl>
    <w:p>
      <w:pPr>
        <w:pStyle w:val="BodyText"/>
      </w:pPr>
      <w:r>
        <w:t xml:space="preserve">Read on 10 September 2026. The file is byte-identical to the one read for Part 2 (same hash), re-supplied and re-hashed for this artifact per the Part 2 rule that each register hashes the file its own artifact was read from.</w:t>
      </w:r>
    </w:p>
    <w:bookmarkEnd w:id="20"/>
    <w:bookmarkStart w:id="21" w:name="a.-primary-law---not-re-held"/>
    <w:p>
      <w:pPr>
        <w:pStyle w:val="Heading2"/>
      </w:pPr>
      <w:r>
        <w:t xml:space="preserve">1a. Primary law - NOT RE-HELD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Regulation (EU) 2026/1744</w:t>
            </w:r>
            <w:r>
              <w:t xml:space="preserve"> </w:t>
            </w:r>
            <w:r>
              <w:t xml:space="preserve">(Digital Omnibus on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OJ L 2026/1744, 24.7.2026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re-supplied for this artifact. The consolidation’s own</w:t>
            </w:r>
            <w:r>
              <w:t xml:space="preserve"> </w:t>
            </w:r>
            <w:r>
              <w:rPr>
                <w:rStyle w:val="VerbatimChar"/>
              </w:rPr>
              <w:t xml:space="preserve">M1</w:t>
            </w:r>
            <w:r>
              <w:t xml:space="preserve"> </w:t>
            </w:r>
            <w:r>
              <w:t xml:space="preserve">markers identify every amended, inserted or deleted passage and were relied on; the omnibus text was read for Part 2 from file</w:t>
            </w:r>
            <w:r>
              <w:t xml:space="preserve"> </w:t>
            </w:r>
            <w:r>
              <w:rPr>
                <w:rStyle w:val="VerbatimChar"/>
              </w:rPr>
              <w:t xml:space="preserve">21919e56c5d0d4e3</w:t>
            </w:r>
            <w:r>
              <w:t xml:space="preserve">. Nothing here turns on the omnibus’s wording as distinct from its result in the consolidation</w:t>
            </w:r>
          </w:p>
        </w:tc>
      </w:tr>
    </w:tbl>
    <w:bookmarkEnd w:id="21"/>
    <w:bookmarkStart w:id="22" w:name="method-sources---cited-not-law"/>
    <w:p>
      <w:pPr>
        <w:pStyle w:val="Heading2"/>
      </w:pPr>
      <w:r>
        <w:t xml:space="preserve">2. Method sources - CITED, not law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Chouldechova (2017),</w:t>
            </w:r>
            <w:r>
              <w:t xml:space="preserve"> </w:t>
            </w:r>
            <w:r>
              <w:rPr>
                <w:iCs/>
                <w:i/>
              </w:rPr>
              <w:t xml:space="preserve">Big Data</w:t>
            </w:r>
            <w:r>
              <w:t xml:space="preserve"> </w:t>
            </w:r>
            <w:r>
              <w:t xml:space="preserve">5(2)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impossibility of calibration plus equal error rates when base rates differ (walkthrough section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Kleinberg, Mullainathan and Raghavan (2016), arXiv:1609.05807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result in the risk-score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Hardt, Price and Srebro (2016), NeurIPS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Equalised odds and the threshold-adjustment method (worked example sections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Guidelines on Employee Selection Procedures (1978), 29 CFR 1607.4(D)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 of the four-fifths rule, cited to say it is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an EU test (walkthrough section 6)</w:t>
            </w:r>
          </w:p>
        </w:tc>
      </w:tr>
    </w:tbl>
    <w:p>
      <w:pPr>
        <w:pStyle w:val="BodyText"/>
      </w:pPr>
      <w:r>
        <w:t xml:space="preserve">These are cited from the author’s knowledge of the literature and were not re-read for this artifact. They carry no legal weight in the walkthrough; every legal rule rests on row 1.</w:t>
      </w:r>
    </w:p>
    <w:bookmarkEnd w:id="22"/>
    <w:bookmarkStart w:id="23" w:name="documents-produced-and-their-inputs"/>
    <w:p>
      <w:pPr>
        <w:pStyle w:val="Heading2"/>
      </w:pPr>
      <w:r>
        <w:t xml:space="preserve">3. Documents PRODUCED and their inputs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Bias_and_Fairness_Testing_Walkthrough.md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against the text in section 1, 10 Sep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Bias_and_Fairness_Testing_Worked_Example.md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verified against script output 10 Sep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Bias_and_Fairness_Testing_Research_Note.md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Citations with B/M1 markers, corrections, method literature, choices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Bias_and_Fairness_Testing_Source_Register.md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fairness_testing_credit.py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the data, trains every model, prints every table. Seed 20260910. Environment used: Python 3, numpy 2.4.4, pandas 3.0.2, scikit-learn 1.8.0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applicants_synthetic.csv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synthetic rows as generated by the script; SHA-256</w:t>
            </w:r>
            <w:r>
              <w:t xml:space="preserve"> </w:t>
            </w:r>
            <w:r>
              <w:rPr>
                <w:rStyle w:val="VerbatimChar"/>
              </w:rPr>
              <w:t xml:space="preserve">d5d507b4f6a593ba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fairness_results.md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fairness_results.json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output as published; the worked example’s tables are transcribed from this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downloads/*.docx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exports</w:t>
            </w:r>
          </w:p>
        </w:tc>
      </w:tr>
    </w:tbl>
    <w:bookmarkEnd w:id="23"/>
    <w:bookmarkStart w:id="24" w:name="Xefc64f398b693e266b8e46b2059fbd280a3fdb6"/>
    <w:p>
      <w:pPr>
        <w:pStyle w:val="Heading2"/>
      </w:pPr>
      <w:r>
        <w:t xml:space="preserve">4. HELD BUT NOT USED - outside this artifact’s scope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held, why 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Equality Act 2010</w:t>
            </w:r>
            <w:r>
              <w:t xml:space="preserve"> </w:t>
            </w:r>
            <w:r>
              <w:t xml:space="preserve">(UK, as supplied to the 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Decides the lawfulness of group-specific thresholds in the UK. Not used because this artifact states EU AI Act duties only; equality law is out of scope and stated as such in walkthrough section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 GDPR, Data Protection Act 2018, Data (Use and Access) Act 2025</w:t>
            </w:r>
            <w:r>
              <w:t xml:space="preserve"> </w:t>
            </w:r>
            <w:r>
              <w:t xml:space="preserve">(as supplied to the 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automated-decision and special-category rules that interact with bias testing in the UK. Covered in the Part 1 UK set; not restated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 guidance on AI and data protection; ICO draft ADM guidance</w:t>
            </w:r>
            <w:r>
              <w:t xml:space="preserve"> </w:t>
            </w:r>
            <w:r>
              <w:t xml:space="preserve">(as supplied to the 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guidance, not law. Not cited</w:t>
            </w:r>
          </w:p>
        </w:tc>
      </w:tr>
    </w:tbl>
    <w:bookmarkEnd w:id="24"/>
    <w:bookmarkStart w:id="25" w:name="Xb13456286d48e6835e46b561bdfb7ee703fb7b5"/>
    <w:p>
      <w:pPr>
        <w:pStyle w:val="Heading2"/>
      </w:pPr>
      <w:r>
        <w:t xml:space="preserve">5. NOT HELD - the gaps that shape what this artifact can say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is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Harmonised standards under Article 40</w:t>
            </w:r>
            <w:r>
              <w:t xml:space="preserve"> </w:t>
            </w:r>
            <w:r>
              <w:t xml:space="preserve">on data governance and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Appropriate measures</w:t>
            </w:r>
            <w:r>
              <w:t xml:space="preserve">”</w:t>
            </w:r>
            <w:r>
              <w:t xml:space="preserve"> </w:t>
            </w:r>
            <w:r>
              <w:t xml:space="preserve">under the data governance duty are stated as a method, not as a standard’s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Office template under Article 27(5)</w:t>
            </w:r>
            <w:r>
              <w:t xml:space="preserve"> </w:t>
            </w:r>
            <w:r>
              <w:t xml:space="preserve">(fundamental rights impact assessment) and the</w:t>
            </w:r>
            <w:r>
              <w:t xml:space="preserve"> </w:t>
            </w:r>
            <w:r>
              <w:rPr>
                <w:bCs/>
                <w:b/>
              </w:rPr>
              <w:t xml:space="preserve">Article 72(3) post-market monitoring guidance</w:t>
            </w:r>
            <w:r>
              <w:t xml:space="preserve"> </w:t>
            </w:r>
            <w:r>
              <w:t xml:space="preserve">(due 2 September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FRIA and the monitoring plan are described by their statutory content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Equality law, any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per-group thresholds, referral bands or constrained retraining are lawful is not asserted; the walkthrough says</w:t>
            </w:r>
            <w:r>
              <w:t xml:space="preserve"> </w:t>
            </w:r>
            <w:r>
              <w:t xml:space="preserve">“</w:t>
            </w:r>
            <w:r>
              <w:t xml:space="preserve">check before use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current GDPR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 by design (Part 1 covers it); nothing here cites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Sector guidance for credit</w:t>
            </w:r>
            <w:r>
              <w:t xml:space="preserve"> </w:t>
            </w:r>
            <w:r>
              <w:t xml:space="preserve">(EBA guidelines on loan origination, national conduct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sharpen the credit example for a real lender; not held, not asserted</w:t>
            </w:r>
          </w:p>
        </w:tc>
      </w:tr>
    </w:tbl>
    <w:bookmarkEnd w:id="25"/>
    <w:bookmarkStart w:id="26" w:name="sources-not-used-as-a-matter-of-method"/>
    <w:p>
      <w:pPr>
        <w:pStyle w:val="Heading2"/>
      </w:pPr>
      <w:r>
        <w:t xml:space="preserve">6. Sources NOT used, as a matter of method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web content entered any legal rule.</w:t>
      </w:r>
      <w:r>
        <w:t xml:space="preserve"> </w:t>
      </w:r>
      <w:r>
        <w:t xml:space="preserve">The instrument was supplied as a file and read directly; no web page was consulted for any provision or date.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secondary commentary or law-firm briefing.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fairness library’s documentation</w:t>
      </w:r>
      <w:r>
        <w:t xml:space="preserve"> </w:t>
      </w:r>
      <w:r>
        <w:t xml:space="preserve">was used as authority for any definition; the three criteria are defined in the walkthrough’s own words and mapped to the literature in the research note.</w:t>
      </w:r>
    </w:p>
    <w:bookmarkEnd w:id="26"/>
    <w:bookmarkStart w:id="27" w:name="the-verification-that-mattered-most"/>
    <w:p>
      <w:pPr>
        <w:pStyle w:val="Heading2"/>
      </w:pPr>
      <w:r>
        <w:t xml:space="preserve">7. The verification that mattered most</w:t>
      </w:r>
    </w:p>
    <w:p>
      <w:pPr>
        <w:pStyle w:val="FirstParagraph"/>
      </w:pPr>
      <w:r>
        <w:rPr>
          <w:bCs/>
          <w:b/>
        </w:rPr>
        <w:t xml:space="preserve">Not the one expected.</w:t>
      </w:r>
      <w:r>
        <w:t xml:space="preserve"> </w:t>
      </w:r>
      <w:r>
        <w:t xml:space="preserve">The draft flagged Article 27(1) - whether the fundamental rights impact assessment duty on credit-scoring deployers survived the omnibus - as the reading to worry about. It survived untouched (</w:t>
      </w:r>
      <w:r>
        <w:rPr>
          <w:rStyle w:val="VerbatimChar"/>
        </w:rPr>
        <w:t xml:space="preserve">B</w:t>
      </w:r>
      <w:r>
        <w:t xml:space="preserve">). The reading that actually changed the artifact was Article 10(5): the draft cited it for the permission to process special categories of personal data for bias testing, and in the consolidated text it is</w:t>
      </w:r>
      <w:r>
        <w:t xml:space="preserve"> </w:t>
      </w:r>
      <w:r>
        <w:rPr>
          <w:bCs/>
          <w:b/>
        </w:rPr>
        <w:t xml:space="preserve">deleted</w:t>
      </w:r>
      <w:r>
        <w:t xml:space="preserve">. The permission now lives in a new Article 4a, with a sixth condition, and Article 4a(2) extends it to deployers of high-risk systems and to providers and deployers of any other AI system, while saying in terms that it creates no obligation to test. A draft that had cited</w:t>
      </w:r>
      <w:r>
        <w:t xml:space="preserve"> </w:t>
      </w:r>
      <w:r>
        <w:t xml:space="preserve">“</w:t>
      </w:r>
      <w:r>
        <w:t xml:space="preserve">Article 10(5)</w:t>
      </w:r>
      <w:r>
        <w:t xml:space="preserve">”</w:t>
      </w:r>
      <w:r>
        <w:t xml:space="preserve"> </w:t>
      </w:r>
      <w:r>
        <w:t xml:space="preserve">from memory would have cited a provision that no longer exists, and would have missed the widening that is the most practically useful change for a lender deploying a vendor’s model. That is what reading the held text rather than the remembered one is for.</w:t>
      </w:r>
    </w:p>
    <w:bookmarkEnd w:id="27"/>
    <w:bookmarkStart w:id="28" w:name="standing-caveat"/>
    <w:p>
      <w:pPr>
        <w:pStyle w:val="Heading2"/>
      </w:pPr>
      <w:r>
        <w:t xml:space="preserve">8. Standing caveat</w:t>
      </w:r>
    </w:p>
    <w:p>
      <w:pPr>
        <w:pStyle w:val="FirstParagraph"/>
      </w:pPr>
      <w:r>
        <w:t xml:space="preserve">No provision cited in this artifact set has been reviewed by qualified counsel. These documents are educational and do not constitute legal advice.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1F4E7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1F4E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1F4E79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1F4E79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Office Word</Application>
  <CharactersWithSpaces>583</CharactersWithSpaces>
  <Template>Normal.dotm</Template>
  <DocSecurity>0</DocSecurity>
  <TotalTime>0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register - Bias and Fairness Testing walkthrough</dc:title>
  <dc:creator>Narendra Karki</dc:creator>
  <cp:lastModifiedBy>Narendra Karki</cp:lastModifiedBy>
  <cp:keywords/>
  <dcterms:created xsi:type="dcterms:W3CDTF">2026-09-10T06:07:48Z</dcterms:created>
  <dcterms:modified xsi:type="dcterms:W3CDTF">2026-09-10T06:07:48Z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