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Using AI at Work - What You Need to Know (Bahrain)</w:t>
      </w:r>
    </w:p>
    <w:p>
      <w:pPr>
        <w:shd w:fill="EDF2FA" w:val="clear"/>
        <w:spacing w:after="20"/>
        <w:ind w:left="60" w:right="6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[ORGANISATION] - one-page guide.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 The full AI Acceptable Use Policy sits behind this; this is what applies to your day-to-day. Some of these rules carry criminal penalties in Bahrain - when in doubt, ask [POLICY OWNER] first.</w:t>
      </w:r>
    </w:p>
    <w:p>
      <w:pPr>
        <w:keepNext/>
        <w:pBdr>
          <w:bottom w:val="single" w:color="9DB9E8" w:sz="4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Use only approved AI tools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(see the approved list) on your work account.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Check everything AI produces.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Treat it as a draft - verify facts, figures, names, quotes, and code before you rely on it or send it out. You are accountable for what you use.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Keep it non-sensitive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unless the tool and the data are both approved for it.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Ask first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if a tool you need isn't on the list - requests are quick.</w:t>
      </w:r>
    </w:p>
    <w:p>
      <w:pPr>
        <w:keepNext/>
        <w:pBdr>
          <w:bottom w:val="single" w:color="9DB9E8" w:sz="4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paste in sensitive data: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personal data outside an approved tool, health or biometric or genetic data, data about criminal proceedings, payment details, passwords, secrets, or confidential code.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use personal AI accounts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for work.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let AI make the final call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on decisions about people (hiring, pay, eligibility) - a person must review and be able to override it.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pass AI output off as checked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when it isn't.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create fake images/audio/video of real people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without authorisation.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Don't start or pilot AI that watches or identifies people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- camera analytics, facial or voice recognition, matching people across databases. These need the regulator's written permission BEFORE they begin (no reply counts as no), and starting without it is a criminal offence. Ask first.</w:t>
      </w:r>
    </w:p>
    <w:p>
      <w:pPr>
        <w:keepNext/>
        <w:pBdr>
          <w:bottom w:val="single" w:color="9DB9E8" w:sz="4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Before any new AI use goes live</w:t>
      </w:r>
    </w:p>
    <w:p>
      <w:p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Some AI processing must be notified to the regulator before it begins, and some may not begin until written permission is received - decided per system, before go-live. New AI tool or new use? Check with [DATA PROTECTION LEAD] first.</w:t>
      </w:r>
    </w:p>
    <w:p>
      <w:pPr>
        <w:keepNext/>
        <w:pBdr>
          <w:bottom w:val="single" w:color="9DB9E8" w:sz="4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If you're using AI with personal data</w:t>
      </w:r>
    </w:p>
    <w:p>
      <w:p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There must be a lawful ground before processing starts - where it is consent, it must be explicit and in writing (electronic counts). Use only the minimum data; high-risk uses need an assessment first. Check before you start.</w:t>
      </w:r>
    </w:p>
    <w:p>
      <w:pPr>
        <w:keepNext/>
        <w:pBdr>
          <w:bottom w:val="single" w:color="9DB9E8" w:sz="4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Where the AI runs matters</w:t>
      </w:r>
    </w:p>
    <w:p>
      <w:p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Personal data must not leave Bahrain unless the destination is on the approved country list or the regulator has permitted the transfer. Many major hosting regions are listed - but where a cloud AI tool actually processes data must be established and recorded before approval. Don't assume.</w:t>
      </w:r>
    </w:p>
    <w:p>
      <w:pPr>
        <w:keepNext/>
        <w:pBdr>
          <w:bottom w:val="single" w:color="9DB9E8" w:sz="4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If AI talks to customers</w:t>
      </w:r>
    </w:p>
    <w:p>
      <w:p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Tell them it's AI, let them reach a human, and hold it to our accuracy standards.</w:t>
      </w:r>
    </w:p>
    <w:p>
      <w:pPr>
        <w:keepNext/>
        <w:pBdr>
          <w:bottom w:val="single" w:color="9DB9E8" w:sz="4" w:space="3"/>
        </w:pBdr>
        <w:spacing w:after="60" w:before="15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If something goes wrong</w:t>
      </w:r>
    </w:p>
    <w:p>
      <w:pPr>
        <w:spacing w:after="70"/>
      </w:pPr>
      <w:r>
        <w:rPr>
          <w:rFonts w:ascii="Calibri" w:cs="Calibri" w:eastAsia="Calibri" w:hAnsi="Calibri"/>
          <w:color w:val="333A45"/>
          <w:sz w:val="21"/>
          <w:szCs w:val="21"/>
        </w:rPr>
        <w:t xml:space="preserve">Told AI something you shouldn't have? Acted on wrong or unfair output? </w:t>
      </w:r>
      <w:r>
        <w:rPr>
          <w:rFonts w:ascii="Calibri" w:cs="Calibri" w:eastAsia="Calibri" w:hAnsi="Calibri"/>
          <w:b/>
          <w:bCs/>
          <w:color w:val="333A45"/>
          <w:sz w:val="21"/>
          <w:szCs w:val="21"/>
        </w:rPr>
        <w:t xml:space="preserve">Report it straight away</w:t>
      </w:r>
      <w:r>
        <w:rPr>
          <w:rFonts w:ascii="Calibri" w:cs="Calibri" w:eastAsia="Calibri" w:hAnsi="Calibri"/>
          <w:color w:val="333A45"/>
          <w:sz w:val="21"/>
          <w:szCs w:val="21"/>
        </w:rPr>
        <w:t xml:space="preserve"> to [POLICY OWNER / DATA PROTECTION LEAD] - the regulator-notification clock runs from discovery, so report first, investigate second. Good-faith reporting is the right thing to do - not a disciplinary trap.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This is a summary. The full AI Acceptable Use Policy governs in case of any difference. [LINK]</w:t>
      </w:r>
    </w:p>
    <w:sectPr>
      <w:footerReference w:type="default" r:id="rId7"/>
      <w:pgSz w:w="11906" w:h="16838" w:orient="portrait"/>
      <w:pgMar w:top="1240" w:right="1300" w:bottom="12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B9E8" w:sz="4" w:space="4"/>
      </w:pBdr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AI at Work - one-page guide (Bahrain)   |   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30"/>
      </w:pPr>
      <w:rPr>
        <w:color w:val="2E5AA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A4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AI at Work - What You Need to Know (Bahrain)</dc:title>
  <dc:creator>Narendra Karki</dc:creator>
  <cp:lastModifiedBy>Narendra Karki</cp:lastModifiedBy>
  <cp:revision>1</cp:revision>
  <dcterms:created xsi:type="dcterms:W3CDTF">2026-08-30T13:39:27.137Z</dcterms:created>
  <dcterms:modified xsi:type="dcterms:W3CDTF">2026-08-30T13:39:27.137Z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