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Kingdom of Bahrain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Policy owner:</w:t>
      </w:r>
      <w:r>
        <w:rPr>
          <w:rFonts w:ascii="Calibri" w:cs="Calibri" w:eastAsia="Calibri" w:hAnsi="Calibri"/>
          <w:color w:val="5A6472"/>
          <w:sz w:val="19"/>
          <w:szCs w:val="19"/>
        </w:rPr>
        <w:t xml:space="preserve"> [CISO]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[DATA PROTECTION GUARDIAN / privacy lead]</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Bahraini personal data protection law. This policy sets the requirements for all such use.</w:t>
      </w:r>
    </w:p>
    <w:p>
      <w:pPr>
        <w:spacing w:after="110"/>
      </w:pPr>
      <w:r>
        <w:rPr>
          <w:rFonts w:ascii="Calibri" w:cs="Calibri" w:eastAsia="Calibri" w:hAnsi="Calibri"/>
          <w:color w:val="333A45"/>
          <w:sz w:val="21"/>
          <w:szCs w:val="21"/>
        </w:rPr>
        <w:t xml:space="preserve">Two features of Bahraini law shape this document. First, certain processing may not begin at all until the Authority has been notified, and certain processing may not begin until the Authority has given </w:t>
      </w:r>
      <w:r>
        <w:rPr>
          <w:rFonts w:ascii="Calibri" w:cs="Calibri" w:eastAsia="Calibri" w:hAnsi="Calibri"/>
          <w:b/>
          <w:bCs/>
          <w:color w:val="333A45"/>
          <w:sz w:val="21"/>
          <w:szCs w:val="21"/>
        </w:rPr>
        <w:t xml:space="preserve">written authorisation in advance</w:t>
      </w:r>
      <w:r>
        <w:rPr>
          <w:rFonts w:ascii="Calibri" w:cs="Calibri" w:eastAsia="Calibri" w:hAnsi="Calibri"/>
          <w:color w:val="333A45"/>
          <w:sz w:val="21"/>
          <w:szCs w:val="21"/>
        </w:rPr>
        <w:t xml:space="preserve">. Second, several of these duties carry </w:t>
      </w:r>
      <w:r>
        <w:rPr>
          <w:rFonts w:ascii="Calibri" w:cs="Calibri" w:eastAsia="Calibri" w:hAnsi="Calibri"/>
          <w:b/>
          <w:bCs/>
          <w:color w:val="333A45"/>
          <w:sz w:val="21"/>
          <w:szCs w:val="21"/>
        </w:rPr>
        <w:t xml:space="preserve">criminal penalties</w:t>
      </w:r>
      <w:r>
        <w:rPr>
          <w:rFonts w:ascii="Calibri" w:cs="Calibri" w:eastAsia="Calibri" w:hAnsi="Calibri"/>
          <w:color w:val="333A45"/>
          <w:sz w:val="21"/>
          <w:szCs w:val="21"/>
        </w:rPr>
        <w:t xml:space="preserve">, including imprisonment, and fines are doubled where the offender is a legal person. Compliance here is not only a regulatory-risk question.</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 and may expose individuals and [ORGANISATION] to criminal liability under Bahraini law.</w:t>
      </w:r>
    </w:p>
    <w:p>
      <w:pPr>
        <w:keepNext/>
        <w:pBdr>
          <w:bottom w:val="single" w:color="9DB9E8" w:sz="4" w:space="3"/>
        </w:pBdr>
        <w:spacing w:after="100" w:before="260"/>
      </w:pPr>
      <w:r>
        <w:rPr>
          <w:rFonts w:ascii="Calibri" w:cs="Calibri" w:eastAsia="Calibri" w:hAnsi="Calibri"/>
          <w:b/>
          <w:bCs/>
          <w:color w:val="2E5AAC"/>
          <w:sz w:val="26"/>
          <w:szCs w:val="26"/>
        </w:rPr>
        <w:t xml:space="preserve">3. Approved tools</w:t>
      </w:r>
    </w:p>
    <w:p>
      <w:pPr>
        <w:spacing w:after="110"/>
      </w:pPr>
      <w:r>
        <w:rPr>
          <w:rFonts w:ascii="Calibri" w:cs="Calibri" w:eastAsia="Calibri" w:hAnsi="Calibri"/>
          <w:color w:val="333A45"/>
          <w:sz w:val="21"/>
          <w:szCs w:val="21"/>
        </w:rPr>
        <w:t xml:space="preserve">3.1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3.2 A tool is added to the list only after security and data protection review, and, where personal data is involved, on the basis of a </w:t>
      </w:r>
      <w:r>
        <w:rPr>
          <w:rFonts w:ascii="Calibri" w:cs="Calibri" w:eastAsia="Calibri" w:hAnsi="Calibri"/>
          <w:b/>
          <w:bCs/>
          <w:color w:val="333A45"/>
          <w:sz w:val="21"/>
          <w:szCs w:val="21"/>
        </w:rPr>
        <w:t xml:space="preserve">written</w:t>
      </w:r>
      <w:r>
        <w:rPr>
          <w:rFonts w:ascii="Calibri" w:cs="Calibri" w:eastAsia="Calibri" w:hAnsi="Calibri"/>
          <w:color w:val="333A45"/>
          <w:sz w:val="21"/>
          <w:szCs w:val="21"/>
        </w:rPr>
        <w:t xml:space="preserve"> processing contract that requires the supplier to act only on [ORGANISATION]'s instructions and to meet security and confidentiality obligations equivalent to [ORGANISATION]'s own.</w:t>
      </w:r>
    </w:p>
    <w:p>
      <w:pPr>
        <w:spacing w:after="110"/>
      </w:pPr>
      <w:r>
        <w:rPr>
          <w:rFonts w:ascii="Calibri" w:cs="Calibri" w:eastAsia="Calibri" w:hAnsi="Calibri"/>
          <w:color w:val="333A45"/>
          <w:sz w:val="21"/>
          <w:szCs w:val="21"/>
        </w:rPr>
        <w:t xml:space="preserve">3.3 Use of any tool not on the list - including free or personal-account versions of listed tools - is not permitted for [ORGANISATION] work or data.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3.4 Staff already using an unapproved tool must disclose this to the policy owner. Good-faith disclosure will not of itself be treated as a disciplinary matter.</w:t>
      </w:r>
    </w:p>
    <w:p>
      <w:pPr>
        <w:keepNext/>
        <w:pBdr>
          <w:bottom w:val="single" w:color="9DB9E8" w:sz="4" w:space="3"/>
        </w:pBdr>
        <w:spacing w:after="100" w:before="260"/>
      </w:pPr>
      <w:r>
        <w:rPr>
          <w:rFonts w:ascii="Calibri" w:cs="Calibri" w:eastAsia="Calibri" w:hAnsi="Calibri"/>
          <w:b/>
          <w:bCs/>
          <w:color w:val="2E5AAC"/>
          <w:sz w:val="26"/>
          <w:szCs w:val="26"/>
        </w:rPr>
        <w:t xml:space="preserve">4. Regulatory clearance before deployment</w:t>
      </w:r>
    </w:p>
    <w:p>
      <w:pPr>
        <w:spacing w:after="110"/>
      </w:pPr>
      <w:r>
        <w:rPr>
          <w:rFonts w:ascii="Calibri" w:cs="Calibri" w:eastAsia="Calibri" w:hAnsi="Calibri"/>
          <w:b/>
          <w:bCs/>
          <w:color w:val="333A45"/>
          <w:sz w:val="21"/>
          <w:szCs w:val="21"/>
        </w:rPr>
        <w:t xml:space="preserve">Read this section before Section 5. It governs whether a system may be deployed at all, not merely how it is used.</w:t>
      </w:r>
    </w:p>
    <w:p>
      <w:pPr>
        <w:spacing w:after="110"/>
      </w:pPr>
      <w:r>
        <w:rPr>
          <w:rFonts w:ascii="Calibri" w:cs="Calibri" w:eastAsia="Calibri" w:hAnsi="Calibri"/>
          <w:color w:val="333A45"/>
          <w:sz w:val="21"/>
          <w:szCs w:val="21"/>
        </w:rPr>
        <w:t xml:space="preserve">4.1 </w:t>
      </w:r>
      <w:r>
        <w:rPr>
          <w:rFonts w:ascii="Calibri" w:cs="Calibri" w:eastAsia="Calibri" w:hAnsi="Calibri"/>
          <w:b/>
          <w:bCs/>
          <w:color w:val="333A45"/>
          <w:sz w:val="21"/>
          <w:szCs w:val="21"/>
        </w:rPr>
        <w:t xml:space="preserve">Prior notice.</w:t>
      </w:r>
      <w:r>
        <w:rPr>
          <w:rFonts w:ascii="Calibri" w:cs="Calibri" w:eastAsia="Calibri" w:hAnsi="Calibri"/>
          <w:color w:val="333A45"/>
          <w:sz w:val="21"/>
          <w:szCs w:val="21"/>
        </w:rPr>
        <w:t xml:space="preserve"> Automated processing of personal data must be notified to the Authority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it begins, unless a statutory exemption applies. Deploying an AI system that processes personal data automatically is such an operation. No AI system that processes personal data may go live until the data protection lead confirms that notice has been given or that an exemption applies and why.</w:t>
      </w:r>
    </w:p>
    <w:p>
      <w:pPr>
        <w:spacing w:after="110"/>
      </w:pPr>
      <w:r>
        <w:rPr>
          <w:rFonts w:ascii="Calibri" w:cs="Calibri" w:eastAsia="Calibri" w:hAnsi="Calibri"/>
          <w:color w:val="333A45"/>
          <w:sz w:val="21"/>
          <w:szCs w:val="21"/>
        </w:rPr>
        <w:t xml:space="preserve">4.2 </w:t>
      </w:r>
      <w:r>
        <w:rPr>
          <w:rFonts w:ascii="Calibri" w:cs="Calibri" w:eastAsia="Calibri" w:hAnsi="Calibri"/>
          <w:b/>
          <w:bCs/>
          <w:color w:val="333A45"/>
          <w:sz w:val="21"/>
          <w:szCs w:val="21"/>
        </w:rPr>
        <w:t xml:space="preserve">Prior written authorisation.</w:t>
      </w:r>
      <w:r>
        <w:rPr>
          <w:rFonts w:ascii="Calibri" w:cs="Calibri" w:eastAsia="Calibri" w:hAnsi="Calibri"/>
          <w:color w:val="333A45"/>
          <w:sz w:val="21"/>
          <w:szCs w:val="21"/>
        </w:rPr>
        <w:t xml:space="preserve"> The following may not be processed at all without the Authority's </w:t>
      </w:r>
      <w:r>
        <w:rPr>
          <w:rFonts w:ascii="Calibri" w:cs="Calibri" w:eastAsia="Calibri" w:hAnsi="Calibri"/>
          <w:b/>
          <w:bCs/>
          <w:color w:val="333A45"/>
          <w:sz w:val="21"/>
          <w:szCs w:val="21"/>
        </w:rPr>
        <w:t xml:space="preserve">prior written authorisation</w:t>
      </w:r>
      <w:r>
        <w:rPr>
          <w:rFonts w:ascii="Calibri" w:cs="Calibri" w:eastAsia="Calibri" w:hAnsi="Calibri"/>
          <w:color w:val="333A45"/>
          <w:sz w:val="21"/>
          <w:szCs w:val="21"/>
        </w:rPr>
        <w:t xml:space="preserve">, and the absence of a reply within the statutory period counts as a </w:t>
      </w:r>
      <w:r>
        <w:rPr>
          <w:rFonts w:ascii="Calibri" w:cs="Calibri" w:eastAsia="Calibri" w:hAnsi="Calibri"/>
          <w:b/>
          <w:bCs/>
          <w:color w:val="333A45"/>
          <w:sz w:val="21"/>
          <w:szCs w:val="21"/>
        </w:rPr>
        <w:t xml:space="preserve">refusal</w:t>
      </w:r>
      <w:r>
        <w:rPr>
          <w:rFonts w:ascii="Calibri" w:cs="Calibri" w:eastAsia="Calibri" w:hAnsi="Calibri"/>
          <w:color w:val="333A45"/>
          <w:sz w:val="21"/>
          <w:szCs w:val="21"/>
        </w:rPr>
        <w:t xml:space="preserve">, not as permission:</w:t>
      </w:r>
    </w:p>
    <w:p>
      <w:pPr>
        <w:pStyle w:val="ListParagraph"/>
        <w:numPr>
          <w:ilvl w:val="0"/>
          <w:numId w:val="2"/>
        </w:numPr>
        <w:spacing w:after="70"/>
      </w:pPr>
      <w:r>
        <w:rPr>
          <w:rFonts w:ascii="Calibri" w:cs="Calibri" w:eastAsia="Calibri" w:hAnsi="Calibri"/>
          <w:color w:val="333A45"/>
          <w:sz w:val="21"/>
          <w:szCs w:val="21"/>
        </w:rPr>
        <w:t xml:space="preserve">automatic processing of sensitive personal data, where the processing relies on the ground of protecting a person who is legally incapable of giving consent;</w:t>
      </w:r>
    </w:p>
    <w:p>
      <w:pPr>
        <w:pStyle w:val="ListParagraph"/>
        <w:numPr>
          <w:ilvl w:val="0"/>
          <w:numId w:val="2"/>
        </w:numPr>
        <w:spacing w:after="70"/>
      </w:pPr>
      <w:r>
        <w:rPr>
          <w:rFonts w:ascii="Calibri" w:cs="Calibri" w:eastAsia="Calibri" w:hAnsi="Calibri"/>
          <w:color w:val="333A45"/>
          <w:sz w:val="21"/>
          <w:szCs w:val="21"/>
        </w:rPr>
        <w:t xml:space="preserve">automatic processing of biometric data used to verify a person's identity;</w:t>
      </w:r>
    </w:p>
    <w:p>
      <w:pPr>
        <w:pStyle w:val="ListParagraph"/>
        <w:numPr>
          <w:ilvl w:val="0"/>
          <w:numId w:val="2"/>
        </w:numPr>
        <w:spacing w:after="70"/>
      </w:pPr>
      <w:r>
        <w:rPr>
          <w:rFonts w:ascii="Calibri" w:cs="Calibri" w:eastAsia="Calibri" w:hAnsi="Calibri"/>
          <w:color w:val="333A45"/>
          <w:sz w:val="21"/>
          <w:szCs w:val="21"/>
        </w:rPr>
        <w:t xml:space="preserve">automatic processing of genetic data, outside the narrow clinical exception;</w:t>
      </w:r>
    </w:p>
    <w:p>
      <w:pPr>
        <w:pStyle w:val="ListParagraph"/>
        <w:numPr>
          <w:ilvl w:val="0"/>
          <w:numId w:val="2"/>
        </w:numPr>
        <w:spacing w:after="70"/>
      </w:pPr>
      <w:r>
        <w:rPr>
          <w:rFonts w:ascii="Calibri" w:cs="Calibri" w:eastAsia="Calibri" w:hAnsi="Calibri"/>
          <w:color w:val="333A45"/>
          <w:sz w:val="21"/>
          <w:szCs w:val="21"/>
        </w:rPr>
        <w:t xml:space="preserve">automatic processing that </w:t>
      </w:r>
      <w:r>
        <w:rPr>
          <w:rFonts w:ascii="Calibri" w:cs="Calibri" w:eastAsia="Calibri" w:hAnsi="Calibri"/>
          <w:b/>
          <w:bCs/>
          <w:color w:val="333A45"/>
          <w:sz w:val="21"/>
          <w:szCs w:val="21"/>
        </w:rPr>
        <w:t xml:space="preserve">links the files of two or more controllers</w:t>
      </w:r>
      <w:r>
        <w:rPr>
          <w:rFonts w:ascii="Calibri" w:cs="Calibri" w:eastAsia="Calibri" w:hAnsi="Calibri"/>
          <w:color w:val="333A45"/>
          <w:sz w:val="21"/>
          <w:szCs w:val="21"/>
        </w:rPr>
        <w:t xml:space="preserve"> which were processed for different purposes;</w:t>
      </w:r>
    </w:p>
    <w:p>
      <w:pPr>
        <w:pStyle w:val="ListParagraph"/>
        <w:numPr>
          <w:ilvl w:val="0"/>
          <w:numId w:val="2"/>
        </w:numPr>
        <w:spacing w:after="70"/>
      </w:pPr>
      <w:r>
        <w:rPr>
          <w:rFonts w:ascii="Calibri" w:cs="Calibri" w:eastAsia="Calibri" w:hAnsi="Calibri"/>
          <w:color w:val="333A45"/>
          <w:sz w:val="21"/>
          <w:szCs w:val="21"/>
        </w:rPr>
        <w:t xml:space="preserve">processing by visual recording used for surveillance purposes.</w:t>
      </w:r>
    </w:p>
    <w:p>
      <w:pPr>
        <w:spacing w:after="110"/>
      </w:pPr>
      <w:r>
        <w:rPr>
          <w:rFonts w:ascii="Calibri" w:cs="Calibri" w:eastAsia="Calibri" w:hAnsi="Calibri"/>
          <w:color w:val="333A45"/>
          <w:sz w:val="21"/>
          <w:szCs w:val="21"/>
        </w:rPr>
        <w:t xml:space="preserve">Several routine AI proposals fall inside this list: facial or voice identification, emotion or attention analysis from camera feeds, joining datasets held by two group entities to build a model, and any model trained on sensitive personal data. For these, an impact assessment is necessary but not sufficient: the processing may not start until the authorisation is held.</w:t>
      </w:r>
    </w:p>
    <w:p>
      <w:pPr>
        <w:spacing w:after="110"/>
      </w:pPr>
      <w:r>
        <w:rPr>
          <w:rFonts w:ascii="Calibri" w:cs="Calibri" w:eastAsia="Calibri" w:hAnsi="Calibri"/>
          <w:color w:val="333A45"/>
          <w:sz w:val="21"/>
          <w:szCs w:val="21"/>
        </w:rPr>
        <w:t xml:space="preserve">4.3 </w:t>
      </w:r>
      <w:r>
        <w:rPr>
          <w:rFonts w:ascii="Calibri" w:cs="Calibri" w:eastAsia="Calibri" w:hAnsi="Calibri"/>
          <w:b/>
          <w:bCs/>
          <w:color w:val="333A45"/>
          <w:sz w:val="21"/>
          <w:szCs w:val="21"/>
        </w:rPr>
        <w:t xml:space="preserve">Changes are notifiable too.</w:t>
      </w:r>
      <w:r>
        <w:rPr>
          <w:rFonts w:ascii="Calibri" w:cs="Calibri" w:eastAsia="Calibri" w:hAnsi="Calibri"/>
          <w:color w:val="333A45"/>
          <w:sz w:val="21"/>
          <w:szCs w:val="21"/>
        </w:rPr>
        <w:t xml:space="preserve"> A material change to information already notified or authorised - purpose, categories of data, recipients, destination of transfers, security measures - must be reported to the Authority within the statutory period. Changing the model, the vendor, or what data a system is given can be such a change. Material changes reopen approval under Section A2.2 of the Enterprise Annex.</w:t>
      </w:r>
    </w:p>
    <w:p>
      <w:pPr>
        <w:spacing w:after="110"/>
      </w:pPr>
      <w:r>
        <w:rPr>
          <w:rFonts w:ascii="Calibri" w:cs="Calibri" w:eastAsia="Calibri" w:hAnsi="Calibri"/>
          <w:color w:val="333A45"/>
          <w:sz w:val="21"/>
          <w:szCs w:val="21"/>
        </w:rPr>
        <w:t xml:space="preserve">4.4 Obtaining authorisation does not remove the need for a lawful basis or, where required, the data subject's consent.</w:t>
      </w:r>
    </w:p>
    <w:p>
      <w:pPr>
        <w:keepNext/>
        <w:pBdr>
          <w:bottom w:val="single" w:color="9DB9E8" w:sz="4" w:space="3"/>
        </w:pBdr>
        <w:spacing w:after="100" w:before="260"/>
      </w:pPr>
      <w:r>
        <w:rPr>
          <w:rFonts w:ascii="Calibri" w:cs="Calibri" w:eastAsia="Calibri" w:hAnsi="Calibri"/>
          <w:b/>
          <w:bCs/>
          <w:color w:val="2E5AAC"/>
          <w:sz w:val="26"/>
          <w:szCs w:val="26"/>
        </w:rPr>
        <w:t xml:space="preserve">5. Levels of use</w:t>
      </w:r>
    </w:p>
    <w:p>
      <w:pPr>
        <w:spacing w:after="110"/>
      </w:pPr>
      <w:r>
        <w:rPr>
          <w:rFonts w:ascii="Calibri" w:cs="Calibri" w:eastAsia="Calibri" w:hAnsi="Calibri"/>
          <w:color w:val="333A45"/>
          <w:sz w:val="21"/>
          <w:szCs w:val="21"/>
        </w:rPr>
        <w:t xml:space="preserve">Controls apply according to risk. Where the level is unclear, the higher level applies.</w:t>
      </w:r>
    </w:p>
    <w:p>
      <w:pPr>
        <w:pStyle w:val="ListParagraph"/>
        <w:numPr>
          <w:ilvl w:val="0"/>
          <w:numId w:val="2"/>
        </w:numPr>
        <w:spacing w:after="70"/>
      </w:pPr>
      <w:r>
        <w:rPr>
          <w:rFonts w:ascii="Calibri" w:cs="Calibri" w:eastAsia="Calibri" w:hAnsi="Calibri"/>
          <w:b/>
          <w:bCs/>
          <w:color w:val="333A45"/>
          <w:sz w:val="21"/>
          <w:szCs w:val="21"/>
        </w:rPr>
        <w:t xml:space="preserve">Level 1:</w:t>
      </w:r>
      <w:r>
        <w:rPr>
          <w:rFonts w:ascii="Calibri" w:cs="Calibri" w:eastAsia="Calibri" w:hAnsi="Calibri"/>
          <w:color w:val="333A45"/>
          <w:sz w:val="21"/>
          <w:szCs w:val="21"/>
        </w:rPr>
        <w:t xml:space="preserve"> No personal, confidential, or regulated data, and output not used to make decisions about individuals.</w:t>
      </w:r>
    </w:p>
    <w:p>
      <w:pPr>
        <w:pStyle w:val="ListParagraph"/>
        <w:numPr>
          <w:ilvl w:val="0"/>
          <w:numId w:val="2"/>
        </w:numPr>
        <w:spacing w:after="70"/>
      </w:pPr>
      <w:r>
        <w:rPr>
          <w:rFonts w:ascii="Calibri" w:cs="Calibri" w:eastAsia="Calibri" w:hAnsi="Calibri"/>
          <w:b/>
          <w:bCs/>
          <w:color w:val="333A45"/>
          <w:sz w:val="21"/>
          <w:szCs w:val="21"/>
        </w:rPr>
        <w:t xml:space="preserve">Level 2:</w:t>
      </w:r>
      <w:r>
        <w:rPr>
          <w:rFonts w:ascii="Calibri" w:cs="Calibri" w:eastAsia="Calibri" w:hAnsi="Calibri"/>
          <w:color w:val="333A45"/>
          <w:sz w:val="21"/>
          <w:szCs w:val="21"/>
        </w:rPr>
        <w:t xml:space="preserve"> Internal non-personal data, or output that informs work affecting the business. Data handling (Section 7) and output verification (Section 8) apply.</w:t>
      </w:r>
    </w:p>
    <w:p>
      <w:pPr>
        <w:pStyle w:val="ListParagraph"/>
        <w:numPr>
          <w:ilvl w:val="0"/>
          <w:numId w:val="2"/>
        </w:numPr>
        <w:spacing w:after="70"/>
      </w:pPr>
      <w:r>
        <w:rPr>
          <w:rFonts w:ascii="Calibri" w:cs="Calibri" w:eastAsia="Calibri" w:hAnsi="Calibri"/>
          <w:b/>
          <w:bCs/>
          <w:color w:val="333A45"/>
          <w:sz w:val="21"/>
          <w:szCs w:val="21"/>
        </w:rPr>
        <w:t xml:space="preserve">Level 3:</w:t>
      </w:r>
      <w:r>
        <w:rPr>
          <w:rFonts w:ascii="Calibri" w:cs="Calibri" w:eastAsia="Calibri" w:hAnsi="Calibri"/>
          <w:color w:val="333A45"/>
          <w:sz w:val="21"/>
          <w:szCs w:val="21"/>
        </w:rPr>
        <w:t xml:space="preserve"> Personal data, sensitive personal data, customer-facing output, or decisions affecting individuals or carrying financial or safety impact. All controls apply, together with a data protection impact assessment and sign-off by the policy owner and data protection lead before use.</w:t>
      </w:r>
    </w:p>
    <w:p>
      <w:pPr>
        <w:pStyle w:val="ListParagraph"/>
        <w:numPr>
          <w:ilvl w:val="0"/>
          <w:numId w:val="2"/>
        </w:numPr>
        <w:spacing w:after="70"/>
      </w:pPr>
      <w:r>
        <w:rPr>
          <w:rFonts w:ascii="Calibri" w:cs="Calibri" w:eastAsia="Calibri" w:hAnsi="Calibri"/>
          <w:b/>
          <w:bCs/>
          <w:color w:val="333A45"/>
          <w:sz w:val="21"/>
          <w:szCs w:val="21"/>
        </w:rPr>
        <w:t xml:space="preserve">Level 4 - regulated:</w:t>
      </w:r>
      <w:r>
        <w:rPr>
          <w:rFonts w:ascii="Calibri" w:cs="Calibri" w:eastAsia="Calibri" w:hAnsi="Calibri"/>
          <w:color w:val="333A45"/>
          <w:sz w:val="21"/>
          <w:szCs w:val="21"/>
        </w:rPr>
        <w:t xml:space="preserve"> Anything within Section 4.2. Treated as Level 3 </w:t>
      </w:r>
      <w:r>
        <w:rPr>
          <w:rFonts w:ascii="Calibri" w:cs="Calibri" w:eastAsia="Calibri" w:hAnsi="Calibri"/>
          <w:b/>
          <w:bCs/>
          <w:color w:val="333A45"/>
          <w:sz w:val="21"/>
          <w:szCs w:val="21"/>
        </w:rPr>
        <w:t xml:space="preserve">and</w:t>
      </w:r>
      <w:r>
        <w:rPr>
          <w:rFonts w:ascii="Calibri" w:cs="Calibri" w:eastAsia="Calibri" w:hAnsi="Calibri"/>
          <w:color w:val="333A45"/>
          <w:sz w:val="21"/>
          <w:szCs w:val="21"/>
        </w:rPr>
        <w:t xml:space="preserve"> blocked from deployment until written authorisation is held. Planning must assume the Authority may take the full statutory period to decide, or may not reply.</w:t>
      </w:r>
    </w:p>
    <w:p>
      <w:pPr>
        <w:keepNext/>
        <w:pBdr>
          <w:bottom w:val="single" w:color="9DB9E8" w:sz="4" w:space="3"/>
        </w:pBdr>
        <w:spacing w:after="100" w:before="260"/>
      </w:pPr>
      <w:r>
        <w:rPr>
          <w:rFonts w:ascii="Calibri" w:cs="Calibri" w:eastAsia="Calibri" w:hAnsi="Calibri"/>
          <w:b/>
          <w:bCs/>
          <w:color w:val="2E5AAC"/>
          <w:sz w:val="26"/>
          <w:szCs w:val="26"/>
        </w:rPr>
        <w:t xml:space="preserve">6. Permitted and prohibited use</w:t>
      </w:r>
    </w:p>
    <w:p>
      <w:pPr>
        <w:spacing w:after="110"/>
      </w:pPr>
      <w:r>
        <w:rPr>
          <w:rFonts w:ascii="Calibri" w:cs="Calibri" w:eastAsia="Calibri" w:hAnsi="Calibri"/>
          <w:color w:val="333A45"/>
          <w:sz w:val="21"/>
          <w:szCs w:val="21"/>
        </w:rPr>
        <w:t xml:space="preserve">6.1 AI tools may be used for drafting and summarising non-sensitive content, research using public information, code assistance with non-confidential code, and analysis of appropriately classified data in approved tools.</w:t>
      </w:r>
    </w:p>
    <w:p>
      <w:pPr>
        <w:spacing w:after="110"/>
      </w:pPr>
      <w:r>
        <w:rPr>
          <w:rFonts w:ascii="Calibri" w:cs="Calibri" w:eastAsia="Calibri" w:hAnsi="Calibri"/>
          <w:color w:val="333A45"/>
          <w:sz w:val="21"/>
          <w:szCs w:val="21"/>
        </w:rPr>
        <w:t xml:space="preserve">6.2 The following are prohibited:</w:t>
      </w:r>
    </w:p>
    <w:p>
      <w:pPr>
        <w:pStyle w:val="ListParagraph"/>
        <w:numPr>
          <w:ilvl w:val="0"/>
          <w:numId w:val="2"/>
        </w:numPr>
        <w:spacing w:after="70"/>
      </w:pPr>
      <w:r>
        <w:rPr>
          <w:rFonts w:ascii="Calibri" w:cs="Calibri" w:eastAsia="Calibri" w:hAnsi="Calibri"/>
          <w:color w:val="333A45"/>
          <w:sz w:val="21"/>
          <w:szCs w:val="21"/>
        </w:rPr>
        <w:t xml:space="preserve">any use that breaches the law or [ORGANISATION] policy;</w:t>
      </w:r>
    </w:p>
    <w:p>
      <w:pPr>
        <w:pStyle w:val="ListParagraph"/>
        <w:numPr>
          <w:ilvl w:val="0"/>
          <w:numId w:val="2"/>
        </w:numPr>
        <w:spacing w:after="70"/>
      </w:pPr>
      <w:r>
        <w:rPr>
          <w:rFonts w:ascii="Calibri" w:cs="Calibri" w:eastAsia="Calibri" w:hAnsi="Calibri"/>
          <w:b/>
          <w:bCs/>
          <w:color w:val="333A45"/>
          <w:sz w:val="21"/>
          <w:szCs w:val="21"/>
        </w:rPr>
        <w:t xml:space="preserve">starting any processing within Section 4.2 before written authorisation is held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starting notifiable automated processing before notice has been given;</w:t>
      </w:r>
    </w:p>
    <w:p>
      <w:pPr>
        <w:pStyle w:val="ListParagraph"/>
        <w:numPr>
          <w:ilvl w:val="0"/>
          <w:numId w:val="2"/>
        </w:numPr>
        <w:spacing w:after="70"/>
      </w:pPr>
      <w:r>
        <w:rPr>
          <w:rFonts w:ascii="Calibri" w:cs="Calibri" w:eastAsia="Calibri" w:hAnsi="Calibri"/>
          <w:color w:val="333A45"/>
          <w:sz w:val="21"/>
          <w:szCs w:val="21"/>
        </w:rPr>
        <w:t xml:space="preserve">entering prohibited data into any AI tool (Section 7.9);</w:t>
      </w:r>
    </w:p>
    <w:p>
      <w:pPr>
        <w:pStyle w:val="ListParagraph"/>
        <w:numPr>
          <w:ilvl w:val="0"/>
          <w:numId w:val="2"/>
        </w:numPr>
        <w:spacing w:after="70"/>
      </w:pPr>
      <w:r>
        <w:rPr>
          <w:rFonts w:ascii="Calibri" w:cs="Calibri" w:eastAsia="Calibri" w:hAnsi="Calibri"/>
          <w:color w:val="333A45"/>
          <w:sz w:val="21"/>
          <w:szCs w:val="21"/>
        </w:rPr>
        <w:t xml:space="preserve">allowing an AI tool to make a final decision about an individual without human review (Section 9);</w:t>
      </w:r>
    </w:p>
    <w:p>
      <w:pPr>
        <w:pStyle w:val="ListParagraph"/>
        <w:numPr>
          <w:ilvl w:val="0"/>
          <w:numId w:val="2"/>
        </w:numPr>
        <w:spacing w:after="70"/>
      </w:pPr>
      <w:r>
        <w:rPr>
          <w:rFonts w:ascii="Calibri" w:cs="Calibri" w:eastAsia="Calibri" w:hAnsi="Calibri"/>
          <w:color w:val="333A45"/>
          <w:sz w:val="21"/>
          <w:szCs w:val="21"/>
        </w:rPr>
        <w:t xml:space="preserve">using AI to produce legal, medical, financial, or safety-critical advice relied on without qualified human review;</w:t>
      </w:r>
    </w:p>
    <w:p>
      <w:pPr>
        <w:pStyle w:val="ListParagraph"/>
        <w:numPr>
          <w:ilvl w:val="0"/>
          <w:numId w:val="2"/>
        </w:numPr>
        <w:spacing w:after="70"/>
      </w:pPr>
      <w:r>
        <w:rPr>
          <w:rFonts w:ascii="Calibri" w:cs="Calibri" w:eastAsia="Calibri" w:hAnsi="Calibri"/>
          <w:color w:val="333A45"/>
          <w:sz w:val="21"/>
          <w:szCs w:val="21"/>
        </w:rPr>
        <w:t xml:space="preserve">using AI to conduct surveillance or assessment of staff except where separately authorised and lawful;</w:t>
      </w:r>
    </w:p>
    <w:p>
      <w:pPr>
        <w:pStyle w:val="ListParagraph"/>
        <w:numPr>
          <w:ilvl w:val="0"/>
          <w:numId w:val="2"/>
        </w:numPr>
        <w:spacing w:after="70"/>
      </w:pPr>
      <w:r>
        <w:rPr>
          <w:rFonts w:ascii="Calibri" w:cs="Calibri" w:eastAsia="Calibri" w:hAnsi="Calibri"/>
          <w:color w:val="333A45"/>
          <w:sz w:val="21"/>
          <w:szCs w:val="21"/>
        </w:rPr>
        <w:t xml:space="preserve">generating discriminatory, harassing, deceptive, or infringing content;</w:t>
      </w:r>
    </w:p>
    <w:p>
      <w:pPr>
        <w:pStyle w:val="ListParagraph"/>
        <w:numPr>
          <w:ilvl w:val="0"/>
          <w:numId w:val="2"/>
        </w:numPr>
        <w:spacing w:after="70"/>
      </w:pPr>
      <w:r>
        <w:rPr>
          <w:rFonts w:ascii="Calibri" w:cs="Calibri" w:eastAsia="Calibri" w:hAnsi="Calibri"/>
          <w:color w:val="333A45"/>
          <w:sz w:val="21"/>
          <w:szCs w:val="21"/>
        </w:rPr>
        <w:t xml:space="preserve">creating synthetic media of an identifiable person without authorisation;</w:t>
      </w:r>
    </w:p>
    <w:p>
      <w:pPr>
        <w:pStyle w:val="ListParagraph"/>
        <w:numPr>
          <w:ilvl w:val="0"/>
          <w:numId w:val="2"/>
        </w:numPr>
        <w:spacing w:after="70"/>
      </w:pPr>
      <w:r>
        <w:rPr>
          <w:rFonts w:ascii="Calibri" w:cs="Calibri" w:eastAsia="Calibri" w:hAnsi="Calibri"/>
          <w:color w:val="333A45"/>
          <w:sz w:val="21"/>
          <w:szCs w:val="21"/>
        </w:rPr>
        <w:t xml:space="preserve">presenting AI-generated output as verified when it has not been;</w:t>
      </w:r>
    </w:p>
    <w:p>
      <w:pPr>
        <w:pStyle w:val="ListParagraph"/>
        <w:numPr>
          <w:ilvl w:val="0"/>
          <w:numId w:val="2"/>
        </w:numPr>
        <w:spacing w:after="70"/>
      </w:pPr>
      <w:r>
        <w:rPr>
          <w:rFonts w:ascii="Calibri" w:cs="Calibri" w:eastAsia="Calibri" w:hAnsi="Calibri"/>
          <w:color w:val="333A45"/>
          <w:sz w:val="21"/>
          <w:szCs w:val="21"/>
        </w:rPr>
        <w:t xml:space="preserve">circumventing the security, monitoring, or approval requirements of this policy.</w:t>
      </w:r>
    </w:p>
    <w:p>
      <w:pPr>
        <w:keepNext/>
        <w:pBdr>
          <w:bottom w:val="single" w:color="9DB9E8" w:sz="4" w:space="3"/>
        </w:pBdr>
        <w:spacing w:after="100" w:before="260"/>
      </w:pPr>
      <w:r>
        <w:rPr>
          <w:rFonts w:ascii="Calibri" w:cs="Calibri" w:eastAsia="Calibri" w:hAnsi="Calibri"/>
          <w:b/>
          <w:bCs/>
          <w:color w:val="2E5AAC"/>
          <w:sz w:val="26"/>
          <w:szCs w:val="26"/>
        </w:rPr>
        <w:t xml:space="preserve">7. Personal data</w:t>
      </w:r>
    </w:p>
    <w:p>
      <w:pPr>
        <w:spacing w:after="110"/>
      </w:pPr>
      <w:r>
        <w:rPr>
          <w:rFonts w:ascii="Calibri" w:cs="Calibri" w:eastAsia="Calibri" w:hAnsi="Calibri"/>
          <w:color w:val="333A45"/>
          <w:sz w:val="21"/>
          <w:szCs w:val="21"/>
        </w:rPr>
        <w:t xml:space="preserve">7.1 Personal data may be processed by an AI tool only with the data subject's consent or on another lawful ground permitted by law, recorded before processing begins. Where consent is the ground, it must be </w:t>
      </w:r>
      <w:r>
        <w:rPr>
          <w:rFonts w:ascii="Calibri" w:cs="Calibri" w:eastAsia="Calibri" w:hAnsi="Calibri"/>
          <w:b/>
          <w:bCs/>
          <w:color w:val="333A45"/>
          <w:sz w:val="21"/>
          <w:szCs w:val="21"/>
        </w:rPr>
        <w:t xml:space="preserve">explicit and in writing</w:t>
      </w:r>
      <w:r>
        <w:rPr>
          <w:rFonts w:ascii="Calibri" w:cs="Calibri" w:eastAsia="Calibri" w:hAnsi="Calibri"/>
          <w:color w:val="333A45"/>
          <w:sz w:val="21"/>
          <w:szCs w:val="21"/>
        </w:rPr>
        <w:t xml:space="preserve">, including by electronic means, and obtained before processing.</w:t>
      </w:r>
    </w:p>
    <w:p>
      <w:pPr>
        <w:spacing w:after="110"/>
      </w:pPr>
      <w:r>
        <w:rPr>
          <w:rFonts w:ascii="Calibri" w:cs="Calibri" w:eastAsia="Calibri" w:hAnsi="Calibri"/>
          <w:color w:val="333A45"/>
          <w:sz w:val="21"/>
          <w:szCs w:val="21"/>
        </w:rPr>
        <w:t xml:space="preserve">7.2 Personal data collected for one purpose must not be further processed in a way incompatible with that purpose. Customer or employee data must not be used to train or fine-tune an AI model unless that use has been separately assessed and approved, and unless the notification and authorisation position in Section 4 has been settled for it.</w:t>
      </w:r>
    </w:p>
    <w:p>
      <w:pPr>
        <w:spacing w:after="110"/>
      </w:pPr>
      <w:r>
        <w:rPr>
          <w:rFonts w:ascii="Calibri" w:cs="Calibri" w:eastAsia="Calibri" w:hAnsi="Calibri"/>
          <w:color w:val="333A45"/>
          <w:sz w:val="21"/>
          <w:szCs w:val="21"/>
        </w:rPr>
        <w:t xml:space="preserve">7.3 Only personal data that is adequate, relevant and not excessive for the task may be provided to an AI tool.</w:t>
      </w:r>
    </w:p>
    <w:p>
      <w:pPr>
        <w:spacing w:after="110"/>
      </w:pPr>
      <w:r>
        <w:rPr>
          <w:rFonts w:ascii="Calibri" w:cs="Calibri" w:eastAsia="Calibri" w:hAnsi="Calibri"/>
          <w:color w:val="333A45"/>
          <w:sz w:val="21"/>
          <w:szCs w:val="21"/>
        </w:rPr>
        <w:t xml:space="preserve">7.4 Personal data must be correct and accurate and, where relevant, kept up to date. Output that alters or supplements a record about a person must meet the same standard.</w:t>
      </w:r>
    </w:p>
    <w:p>
      <w:pPr>
        <w:spacing w:after="110"/>
      </w:pPr>
      <w:r>
        <w:rPr>
          <w:rFonts w:ascii="Calibri" w:cs="Calibri" w:eastAsia="Calibri" w:hAnsi="Calibri"/>
          <w:color w:val="333A45"/>
          <w:sz w:val="21"/>
          <w:szCs w:val="21"/>
        </w:rPr>
        <w:t xml:space="preserve">7.5 Personal data must not be kept in a form permitting identification once the purpose is achieved. Prompts, uploads, embeddings, caches, and logs held by an AI tool are within this requirement.</w:t>
      </w:r>
    </w:p>
    <w:p>
      <w:pPr>
        <w:spacing w:after="110"/>
      </w:pPr>
      <w:r>
        <w:rPr>
          <w:rFonts w:ascii="Calibri" w:cs="Calibri" w:eastAsia="Calibri" w:hAnsi="Calibri"/>
          <w:color w:val="333A45"/>
          <w:sz w:val="21"/>
          <w:szCs w:val="21"/>
        </w:rPr>
        <w:t xml:space="preserve">7.6 A data protection impact assessment must be completed, and approved by the data protection lead, before processing that involves: solely automated decisions of the kind described in Section 9; systematic and extensive automated evaluation of personal aspects, including profiling, on which decisions with legal or similarly significant effects are based; large-scale processing of sensitive personal data or criminal-proceedings data; systematic monitoring of a publicly accessible area on a large scale; </w:t>
      </w:r>
      <w:r>
        <w:rPr>
          <w:rFonts w:ascii="Calibri" w:cs="Calibri" w:eastAsia="Calibri" w:hAnsi="Calibri"/>
          <w:b/>
          <w:bCs/>
          <w:color w:val="333A45"/>
          <w:sz w:val="21"/>
          <w:szCs w:val="21"/>
        </w:rPr>
        <w:t xml:space="preserve">or processing by visual recording or automatic processing of biometric data</w:t>
      </w:r>
      <w:r>
        <w:rPr>
          <w:rFonts w:ascii="Calibri" w:cs="Calibri" w:eastAsia="Calibri" w:hAnsi="Calibri"/>
          <w:color w:val="333A45"/>
          <w:sz w:val="21"/>
          <w:szCs w:val="21"/>
        </w:rPr>
        <w:t xml:space="preserve">. Where a Data Protection Guardian is designated, their advice must be sought.</w:t>
      </w:r>
    </w:p>
    <w:p>
      <w:pPr>
        <w:spacing w:after="110"/>
      </w:pPr>
      <w:r>
        <w:rPr>
          <w:rFonts w:ascii="Calibri" w:cs="Calibri" w:eastAsia="Calibri" w:hAnsi="Calibri"/>
          <w:color w:val="333A45"/>
          <w:sz w:val="21"/>
          <w:szCs w:val="21"/>
        </w:rPr>
        <w:t xml:space="preserve">7.7 AI tools must not be used in any way that prevents [ORGANISATION] from meeting individuals' rights to be informed of the data held about them and to have it rectified, blocked, or erased. Personal data must not be placed in a tool from which it cannot be retrieved or deleted on request.</w:t>
      </w:r>
    </w:p>
    <w:p>
      <w:pPr>
        <w:spacing w:after="110"/>
      </w:pPr>
      <w:r>
        <w:rPr>
          <w:rFonts w:ascii="Calibri" w:cs="Calibri" w:eastAsia="Calibri" w:hAnsi="Calibri"/>
          <w:color w:val="333A45"/>
          <w:sz w:val="21"/>
          <w:szCs w:val="21"/>
        </w:rPr>
        <w:t xml:space="preserve">7.8 Sensitive personal data and children's personal data must not be entered into any AI tool without the recorded approval of the data protection lead, a valid ground for processing it, and where applicable the authorisation required by Section 4.2.</w:t>
      </w:r>
    </w:p>
    <w:p>
      <w:pPr>
        <w:spacing w:after="110"/>
      </w:pPr>
      <w:r>
        <w:rPr>
          <w:rFonts w:ascii="Calibri" w:cs="Calibri" w:eastAsia="Calibri" w:hAnsi="Calibri"/>
          <w:color w:val="333A45"/>
          <w:sz w:val="21"/>
          <w:szCs w:val="21"/>
        </w:rPr>
        <w:t xml:space="preserve">7.9 The following must never be entered into any AI tool: authentication credentials and secrets; payment card data; personal data outside an approved tool and written contract; sensitive or children's data without approval; data concerning criminal proceedings without a lawful ground; and any data [ORGANISATION] has no lawful basis to process in this way.</w:t>
      </w:r>
    </w:p>
    <w:p>
      <w:pPr>
        <w:spacing w:after="110"/>
      </w:pPr>
      <w:r>
        <w:rPr>
          <w:rFonts w:ascii="Calibri" w:cs="Calibri" w:eastAsia="Calibri" w:hAnsi="Calibri"/>
          <w:color w:val="333A45"/>
          <w:sz w:val="21"/>
          <w:szCs w:val="21"/>
        </w:rPr>
        <w:t xml:space="preserve">7.10 Personal data must not be disclosed outside [ORGANISATION] without the data subject's consent or a judicial order. Entering personal data into an AI service is capable of being such a disclosure.</w:t>
      </w:r>
    </w:p>
    <w:p>
      <w:pPr>
        <w:spacing w:after="110"/>
      </w:pPr>
      <w:r>
        <w:rPr>
          <w:rFonts w:ascii="Calibri" w:cs="Calibri" w:eastAsia="Calibri" w:hAnsi="Calibri"/>
          <w:color w:val="333A45"/>
          <w:sz w:val="21"/>
          <w:szCs w:val="21"/>
        </w:rPr>
        <w:t xml:space="preserve">7.11 The duty of confidentiality over personal data continues after employment or contract ends.</w:t>
      </w:r>
    </w:p>
    <w:p>
      <w:pPr>
        <w:keepNext/>
        <w:pBdr>
          <w:bottom w:val="single" w:color="9DB9E8" w:sz="4" w:space="3"/>
        </w:pBdr>
        <w:spacing w:after="100" w:before="260"/>
      </w:pPr>
      <w:r>
        <w:rPr>
          <w:rFonts w:ascii="Calibri" w:cs="Calibri" w:eastAsia="Calibri" w:hAnsi="Calibri"/>
          <w:b/>
          <w:bCs/>
          <w:color w:val="2E5AAC"/>
          <w:sz w:val="26"/>
          <w:szCs w:val="26"/>
        </w:rPr>
        <w:t xml:space="preserve">8. Transfers outside the Kingdom</w:t>
      </w:r>
    </w:p>
    <w:p>
      <w:pPr>
        <w:spacing w:after="110"/>
      </w:pPr>
      <w:r>
        <w:rPr>
          <w:rFonts w:ascii="Calibri" w:cs="Calibri" w:eastAsia="Calibri" w:hAnsi="Calibri"/>
          <w:color w:val="333A45"/>
          <w:sz w:val="21"/>
          <w:szCs w:val="21"/>
        </w:rPr>
        <w:t xml:space="preserve">8.1 Personal data must not be transferred outside the Kingdom of Bahrain unless the destination is on the Authority's published list of countries and territories with adequate protection, or the Authority has authorised the transfer for that case.</w:t>
      </w:r>
    </w:p>
    <w:p>
      <w:pPr>
        <w:spacing w:after="110"/>
      </w:pPr>
      <w:r>
        <w:rPr>
          <w:rFonts w:ascii="Calibri" w:cs="Calibri" w:eastAsia="Calibri" w:hAnsi="Calibri"/>
          <w:color w:val="333A45"/>
          <w:sz w:val="21"/>
          <w:szCs w:val="21"/>
        </w:rPr>
        <w:t xml:space="preserve">8.2 The Authority publishes a record of countries and territories it accepts as providing adequate protection. Transfers to a destination on that record need no case-by-case authorisation. The record as gazetted in March 2022 runs to 83 entries and includes the United States, the United Kingdom, the EEA states, India, Singapore, the United Arab Emirates and Saudi Arabia, so </w:t>
      </w:r>
      <w:r>
        <w:rPr>
          <w:rFonts w:ascii="Calibri" w:cs="Calibri" w:eastAsia="Calibri" w:hAnsi="Calibri"/>
          <w:b/>
          <w:bCs/>
          <w:color w:val="333A45"/>
          <w:sz w:val="21"/>
          <w:szCs w:val="21"/>
        </w:rPr>
        <w:t xml:space="preserve">many mainstream AI hosting regions are already covered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8.3 That does not make the question go away. </w:t>
      </w:r>
      <w:r>
        <w:rPr>
          <w:rFonts w:ascii="Calibri" w:cs="Calibri" w:eastAsia="Calibri" w:hAnsi="Calibri"/>
          <w:b/>
          <w:bCs/>
          <w:color w:val="333A45"/>
          <w:sz w:val="21"/>
          <w:szCs w:val="21"/>
        </w:rPr>
        <w:t xml:space="preserve">Most cloud AI services do not tell you where processing actually happens</w:t>
      </w:r>
      <w:r>
        <w:rPr>
          <w:rFonts w:ascii="Calibri" w:cs="Calibri" w:eastAsia="Calibri" w:hAnsi="Calibri"/>
          <w:color w:val="333A45"/>
          <w:sz w:val="21"/>
          <w:szCs w:val="21"/>
        </w:rPr>
        <w:t xml:space="preserve">, and a service may fail over to a region that is not on the record. A tool is not approved for personal data until its actual processing locations are established, checked against the current record, and recorded. "The vendor is a well-known provider" is not a transfer safeguard, and the record must be re-checked at review rather than assumed to be unchanged.</w:t>
      </w:r>
    </w:p>
    <w:p>
      <w:pPr>
        <w:spacing w:after="110"/>
      </w:pPr>
      <w:r>
        <w:rPr>
          <w:rFonts w:ascii="Calibri" w:cs="Calibri" w:eastAsia="Calibri" w:hAnsi="Calibri"/>
          <w:color w:val="333A45"/>
          <w:sz w:val="21"/>
          <w:szCs w:val="21"/>
        </w:rPr>
        <w:t xml:space="preserve">8.4 Where a transfer proceeds on the basis of a contract, that contract must limit processing to the specified purposes, limit retention, require the data to be accurate and up to date, require compliance with technical and organisational measures, require the data subject to be informed of the purpose of processing, and preserve the data subject's ability to see, rectify, block, and erase the data.</w:t>
      </w:r>
    </w:p>
    <w:p>
      <w:pPr>
        <w:spacing w:after="110"/>
      </w:pPr>
      <w:r>
        <w:rPr>
          <w:rFonts w:ascii="Calibri" w:cs="Calibri" w:eastAsia="Calibri" w:hAnsi="Calibri"/>
          <w:color w:val="333A45"/>
          <w:sz w:val="21"/>
          <w:szCs w:val="21"/>
        </w:rPr>
        <w:t xml:space="preserve">8.5 Transfers within a regional or international group to a destination not on the list require authorisation on the same basis, together with any applicable corporate rules.</w:t>
      </w:r>
    </w:p>
    <w:p>
      <w:pPr>
        <w:keepNext/>
        <w:pBdr>
          <w:bottom w:val="single" w:color="9DB9E8" w:sz="4" w:space="3"/>
        </w:pBdr>
        <w:spacing w:after="100" w:before="260"/>
      </w:pPr>
      <w:r>
        <w:rPr>
          <w:rFonts w:ascii="Calibri" w:cs="Calibri" w:eastAsia="Calibri" w:hAnsi="Calibri"/>
          <w:b/>
          <w:bCs/>
          <w:color w:val="2E5AAC"/>
          <w:sz w:val="26"/>
          <w:szCs w:val="26"/>
        </w:rPr>
        <w:t xml:space="preserve">9. Automated decisions about people</w:t>
      </w:r>
    </w:p>
    <w:p>
      <w:pPr>
        <w:spacing w:after="110"/>
      </w:pPr>
      <w:r>
        <w:rPr>
          <w:rFonts w:ascii="Calibri" w:cs="Calibri" w:eastAsia="Calibri" w:hAnsi="Calibri"/>
          <w:color w:val="333A45"/>
          <w:sz w:val="21"/>
          <w:szCs w:val="21"/>
        </w:rPr>
        <w:t xml:space="preserve">9.1 An AI tool must not make a final decision that has a significant effect on an individual - including decisions on employment, credit, eligibility, or access to a service - without meaningful review by a person before the decision takes effect.</w:t>
      </w:r>
    </w:p>
    <w:p>
      <w:pPr>
        <w:spacing w:after="110"/>
      </w:pPr>
      <w:r>
        <w:rPr>
          <w:rFonts w:ascii="Calibri" w:cs="Calibri" w:eastAsia="Calibri" w:hAnsi="Calibri"/>
          <w:color w:val="333A45"/>
          <w:sz w:val="21"/>
          <w:szCs w:val="21"/>
        </w:rPr>
        <w:t xml:space="preserve">9.2 The reviewer must be able to understand, question, and override the outcome, and must have the authority and time to do so.</w:t>
      </w:r>
    </w:p>
    <w:p>
      <w:pPr>
        <w:spacing w:after="110"/>
      </w:pPr>
      <w:r>
        <w:rPr>
          <w:rFonts w:ascii="Calibri" w:cs="Calibri" w:eastAsia="Calibri" w:hAnsi="Calibri"/>
          <w:color w:val="333A45"/>
          <w:sz w:val="21"/>
          <w:szCs w:val="21"/>
        </w:rPr>
        <w:t xml:space="preserve">9.3 Where a decision is based solely on automated processing to assess a person's performance at work, financial standing, creditworthiness, reliability, or conduct, the person has the right to require that the decision be reconsidered other than by solely automated means. Reconsideration is </w:t>
      </w:r>
      <w:r>
        <w:rPr>
          <w:rFonts w:ascii="Calibri" w:cs="Calibri" w:eastAsia="Calibri" w:hAnsi="Calibri"/>
          <w:b/>
          <w:bCs/>
          <w:color w:val="333A45"/>
          <w:sz w:val="21"/>
          <w:szCs w:val="21"/>
        </w:rPr>
        <w:t xml:space="preserve">obligatory and free of charge</w:t>
      </w:r>
      <w:r>
        <w:rPr>
          <w:rFonts w:ascii="Calibri" w:cs="Calibri" w:eastAsia="Calibri" w:hAnsi="Calibri"/>
          <w:color w:val="333A45"/>
          <w:sz w:val="21"/>
          <w:szCs w:val="21"/>
        </w:rPr>
        <w:t xml:space="preserve">. [ORGANISATION] must inform the person of the automated decision, and must operate a clear procedure, in electronic or similar form, setting out how they object, how the objection is decided, and how they are told the outcome within a reasonable period.</w:t>
      </w:r>
    </w:p>
    <w:p>
      <w:pPr>
        <w:spacing w:after="110"/>
      </w:pPr>
      <w:r>
        <w:rPr>
          <w:rFonts w:ascii="Calibri" w:cs="Calibri" w:eastAsia="Calibri" w:hAnsi="Calibri"/>
          <w:color w:val="333A45"/>
          <w:sz w:val="21"/>
          <w:szCs w:val="21"/>
        </w:rPr>
        <w:t xml:space="preserve">9.4 Section 9.1 is a </w:t>
      </w:r>
      <w:r>
        <w:rPr>
          <w:rFonts w:ascii="Calibri" w:cs="Calibri" w:eastAsia="Calibri" w:hAnsi="Calibri"/>
          <w:b/>
          <w:bCs/>
          <w:color w:val="333A45"/>
          <w:sz w:val="21"/>
          <w:szCs w:val="21"/>
        </w:rPr>
        <w:t xml:space="preserve">house standard stricter than the statutory floor</w:t>
      </w:r>
      <w:r>
        <w:rPr>
          <w:rFonts w:ascii="Calibri" w:cs="Calibri" w:eastAsia="Calibri" w:hAnsi="Calibri"/>
          <w:color w:val="333A45"/>
          <w:sz w:val="21"/>
          <w:szCs w:val="21"/>
        </w:rPr>
        <w:t xml:space="preserve">. The law gives the individual a right to demand reconsideration after a decision has been made; this policy requires meaningful human review before the decision takes effect. This is a deliberate choice, recorded as such.</w:t>
      </w:r>
    </w:p>
    <w:p>
      <w:pPr>
        <w:keepNext/>
        <w:pBdr>
          <w:bottom w:val="single" w:color="9DB9E8" w:sz="4" w:space="3"/>
        </w:pBdr>
        <w:spacing w:after="100" w:before="260"/>
      </w:pPr>
      <w:r>
        <w:rPr>
          <w:rFonts w:ascii="Calibri" w:cs="Calibri" w:eastAsia="Calibri" w:hAnsi="Calibri"/>
          <w:b/>
          <w:bCs/>
          <w:color w:val="2E5AAC"/>
          <w:sz w:val="26"/>
          <w:szCs w:val="26"/>
        </w:rPr>
        <w:t xml:space="preserve">10. Verification of output</w:t>
      </w:r>
    </w:p>
    <w:p>
      <w:pPr>
        <w:spacing w:after="110"/>
      </w:pPr>
      <w:r>
        <w:rPr>
          <w:rFonts w:ascii="Calibri" w:cs="Calibri" w:eastAsia="Calibri" w:hAnsi="Calibri"/>
          <w:color w:val="333A45"/>
          <w:sz w:val="21"/>
          <w:szCs w:val="21"/>
        </w:rPr>
        <w:t xml:space="preserve">10.1 AI output is a draft and must not be relied upon without verification by a competent person.</w:t>
      </w:r>
    </w:p>
    <w:p>
      <w:pPr>
        <w:spacing w:after="110"/>
      </w:pPr>
      <w:r>
        <w:rPr>
          <w:rFonts w:ascii="Calibri" w:cs="Calibri" w:eastAsia="Calibri" w:hAnsi="Calibri"/>
          <w:color w:val="333A45"/>
          <w:sz w:val="21"/>
          <w:szCs w:val="21"/>
        </w:rPr>
        <w:t xml:space="preserve">10.2 Facts, figures, citations, legal or regulatory statements, and code must be checked against authoritative sources before use.</w:t>
      </w:r>
    </w:p>
    <w:p>
      <w:pPr>
        <w:spacing w:after="110"/>
      </w:pPr>
      <w:r>
        <w:rPr>
          <w:rFonts w:ascii="Calibri" w:cs="Calibri" w:eastAsia="Calibri" w:hAnsi="Calibri"/>
          <w:color w:val="333A45"/>
          <w:sz w:val="21"/>
          <w:szCs w:val="21"/>
        </w:rPr>
        <w:t xml:space="preserve">10.3 The individual who uses AI output is accountable for its accuracy. For customer-facing or decision-bearing output, verification must be recorded.</w:t>
      </w:r>
    </w:p>
    <w:p>
      <w:pPr>
        <w:keepNext/>
        <w:pBdr>
          <w:bottom w:val="single" w:color="9DB9E8" w:sz="4" w:space="3"/>
        </w:pBdr>
        <w:spacing w:after="100" w:before="260"/>
      </w:pPr>
      <w:r>
        <w:rPr>
          <w:rFonts w:ascii="Calibri" w:cs="Calibri" w:eastAsia="Calibri" w:hAnsi="Calibri"/>
          <w:b/>
          <w:bCs/>
          <w:color w:val="2E5AAC"/>
          <w:sz w:val="26"/>
          <w:szCs w:val="26"/>
        </w:rPr>
        <w:t xml:space="preserve">11. Use by role and function</w:t>
      </w:r>
    </w:p>
    <w:p>
      <w:pPr>
        <w:spacing w:after="110"/>
      </w:pPr>
      <w:r>
        <w:rPr>
          <w:rFonts w:ascii="Calibri" w:cs="Calibri" w:eastAsia="Calibri" w:hAnsi="Calibri"/>
          <w:color w:val="333A45"/>
          <w:sz w:val="21"/>
          <w:szCs w:val="21"/>
        </w:rPr>
        <w:t xml:space="preserve">11.1 Rules apply according to how AI is used. In particular:</w:t>
      </w:r>
    </w:p>
    <w:p>
      <w:pPr>
        <w:pStyle w:val="ListParagraph"/>
        <w:numPr>
          <w:ilvl w:val="0"/>
          <w:numId w:val="2"/>
        </w:numPr>
        <w:spacing w:after="70"/>
      </w:pPr>
      <w:r>
        <w:rPr>
          <w:rFonts w:ascii="Calibri" w:cs="Calibri" w:eastAsia="Calibri" w:hAnsi="Calibri"/>
          <w:b/>
          <w:bCs/>
          <w:color w:val="333A45"/>
          <w:sz w:val="21"/>
          <w:szCs w:val="21"/>
        </w:rPr>
        <w:t xml:space="preserve">Developers:</w:t>
      </w:r>
      <w:r>
        <w:rPr>
          <w:rFonts w:ascii="Calibri" w:cs="Calibri" w:eastAsia="Calibri" w:hAnsi="Calibri"/>
          <w:color w:val="333A45"/>
          <w:sz w:val="21"/>
          <w:szCs w:val="21"/>
        </w:rPr>
        <w:t xml:space="preserve"> proprietary or confidential source code must not be entered into AI tools other than those expressly approved for code; AI-generated code must be reviewed before use (Section 12.3).</w:t>
      </w:r>
    </w:p>
    <w:p>
      <w:pPr>
        <w:pStyle w:val="ListParagraph"/>
        <w:numPr>
          <w:ilvl w:val="0"/>
          <w:numId w:val="2"/>
        </w:numPr>
        <w:spacing w:after="70"/>
      </w:pPr>
      <w:r>
        <w:rPr>
          <w:rFonts w:ascii="Calibri" w:cs="Calibri" w:eastAsia="Calibri" w:hAnsi="Calibri"/>
          <w:b/>
          <w:bCs/>
          <w:color w:val="333A45"/>
          <w:sz w:val="21"/>
          <w:szCs w:val="21"/>
        </w:rPr>
        <w:t xml:space="preserve">HR and recruitment:</w:t>
      </w:r>
      <w:r>
        <w:rPr>
          <w:rFonts w:ascii="Calibri" w:cs="Calibri" w:eastAsia="Calibri" w:hAnsi="Calibri"/>
          <w:color w:val="333A45"/>
          <w:sz w:val="21"/>
          <w:szCs w:val="21"/>
        </w:rPr>
        <w:t xml:space="preserve"> AI must not be used to make hiring, performance, or disciplinary decisions about individuals without human review (Section 9). Screening and scoring of candidates or staff engages Section 9.3 directly.</w:t>
      </w:r>
    </w:p>
    <w:p>
      <w:pPr>
        <w:pStyle w:val="ListParagraph"/>
        <w:numPr>
          <w:ilvl w:val="0"/>
          <w:numId w:val="2"/>
        </w:numPr>
        <w:spacing w:after="70"/>
      </w:pPr>
      <w:r>
        <w:rPr>
          <w:rFonts w:ascii="Calibri" w:cs="Calibri" w:eastAsia="Calibri" w:hAnsi="Calibri"/>
          <w:b/>
          <w:bCs/>
          <w:color w:val="333A45"/>
          <w:sz w:val="21"/>
          <w:szCs w:val="21"/>
        </w:rPr>
        <w:t xml:space="preserve">Security and facilities:</w:t>
      </w:r>
      <w:r>
        <w:rPr>
          <w:rFonts w:ascii="Calibri" w:cs="Calibri" w:eastAsia="Calibri" w:hAnsi="Calibri"/>
          <w:color w:val="333A45"/>
          <w:sz w:val="21"/>
          <w:szCs w:val="21"/>
        </w:rPr>
        <w:t xml:space="preserve"> camera analytics, badge-photo matching, and any identity verification by biometric means fall within Section 4.2 and must not be procured or piloted without written authorisation.</w:t>
      </w:r>
    </w:p>
    <w:p>
      <w:pPr>
        <w:pStyle w:val="ListParagraph"/>
        <w:numPr>
          <w:ilvl w:val="0"/>
          <w:numId w:val="2"/>
        </w:numPr>
        <w:spacing w:after="70"/>
      </w:pPr>
      <w:r>
        <w:rPr>
          <w:rFonts w:ascii="Calibri" w:cs="Calibri" w:eastAsia="Calibri" w:hAnsi="Calibri"/>
          <w:b/>
          <w:bCs/>
          <w:color w:val="333A45"/>
          <w:sz w:val="21"/>
          <w:szCs w:val="21"/>
        </w:rPr>
        <w:t xml:space="preserve">Marketing and communications:</w:t>
      </w:r>
      <w:r>
        <w:rPr>
          <w:rFonts w:ascii="Calibri" w:cs="Calibri" w:eastAsia="Calibri" w:hAnsi="Calibri"/>
          <w:color w:val="333A45"/>
          <w:sz w:val="21"/>
          <w:szCs w:val="21"/>
        </w:rPr>
        <w:t xml:space="preserve"> AI-generated external content must be checked for accuracy, rights, and brand standards, and disclosed where required (Section 14).</w:t>
      </w:r>
    </w:p>
    <w:p>
      <w:pPr>
        <w:pStyle w:val="ListParagraph"/>
        <w:numPr>
          <w:ilvl w:val="0"/>
          <w:numId w:val="2"/>
        </w:numPr>
        <w:spacing w:after="70"/>
      </w:pPr>
      <w:r>
        <w:rPr>
          <w:rFonts w:ascii="Calibri" w:cs="Calibri" w:eastAsia="Calibri" w:hAnsi="Calibri"/>
          <w:b/>
          <w:bCs/>
          <w:color w:val="333A45"/>
          <w:sz w:val="21"/>
          <w:szCs w:val="21"/>
        </w:rPr>
        <w:t xml:space="preserve">Customer-facing functions:</w:t>
      </w:r>
      <w:r>
        <w:rPr>
          <w:rFonts w:ascii="Calibri" w:cs="Calibri" w:eastAsia="Calibri" w:hAnsi="Calibri"/>
          <w:color w:val="333A45"/>
          <w:sz w:val="21"/>
          <w:szCs w:val="21"/>
        </w:rPr>
        <w:t xml:space="preserve"> see Section 15.</w:t>
      </w:r>
    </w:p>
    <w:p>
      <w:pPr>
        <w:keepNext/>
        <w:pBdr>
          <w:bottom w:val="single" w:color="9DB9E8" w:sz="4" w:space="3"/>
        </w:pBdr>
        <w:spacing w:after="100" w:before="260"/>
      </w:pPr>
      <w:r>
        <w:rPr>
          <w:rFonts w:ascii="Calibri" w:cs="Calibri" w:eastAsia="Calibri" w:hAnsi="Calibri"/>
          <w:b/>
          <w:bCs/>
          <w:color w:val="2E5AAC"/>
          <w:sz w:val="26"/>
          <w:szCs w:val="26"/>
        </w:rPr>
        <w:t xml:space="preserve">12. Security and confidentiality</w:t>
      </w:r>
    </w:p>
    <w:p>
      <w:pPr>
        <w:spacing w:after="110"/>
      </w:pPr>
      <w:r>
        <w:rPr>
          <w:rFonts w:ascii="Calibri" w:cs="Calibri" w:eastAsia="Calibri" w:hAnsi="Calibri"/>
          <w:color w:val="333A45"/>
          <w:sz w:val="21"/>
          <w:szCs w:val="21"/>
        </w:rPr>
        <w:t xml:space="preserve">12.1 AI tools must be used only through [ORGANISATION]-provisioned accounts. Personal accounts must not be used for [ORGANISATION] work.</w:t>
      </w:r>
    </w:p>
    <w:p>
      <w:pPr>
        <w:spacing w:after="110"/>
      </w:pPr>
      <w:r>
        <w:rPr>
          <w:rFonts w:ascii="Calibri" w:cs="Calibri" w:eastAsia="Calibri" w:hAnsi="Calibri"/>
          <w:color w:val="333A45"/>
          <w:sz w:val="21"/>
          <w:szCs w:val="21"/>
        </w:rPr>
        <w:t xml:space="preserve">12.2 Credentials, secrets, confidential source code, and non-public security information must not be entered into any AI tool other than as expressly approved.</w:t>
      </w:r>
    </w:p>
    <w:p>
      <w:pPr>
        <w:spacing w:after="110"/>
      </w:pPr>
      <w:r>
        <w:rPr>
          <w:rFonts w:ascii="Calibri" w:cs="Calibri" w:eastAsia="Calibri" w:hAnsi="Calibri"/>
          <w:color w:val="333A45"/>
          <w:sz w:val="21"/>
          <w:szCs w:val="21"/>
        </w:rPr>
        <w:t xml:space="preserve">12.3 AI-generated code and commands must be reviewed before execution. AI output derived from external or user-supplied content must be treated as untrusted.</w:t>
      </w:r>
    </w:p>
    <w:p>
      <w:pPr>
        <w:spacing w:after="110"/>
      </w:pPr>
      <w:r>
        <w:rPr>
          <w:rFonts w:ascii="Calibri" w:cs="Calibri" w:eastAsia="Calibri" w:hAnsi="Calibri"/>
          <w:color w:val="333A45"/>
          <w:sz w:val="21"/>
          <w:szCs w:val="21"/>
        </w:rPr>
        <w:t xml:space="preserve">12.4 Technical and organisational measures protecting personal data processed by AI tools must be </w:t>
      </w:r>
      <w:r>
        <w:rPr>
          <w:rFonts w:ascii="Calibri" w:cs="Calibri" w:eastAsia="Calibri" w:hAnsi="Calibri"/>
          <w:b/>
          <w:bCs/>
          <w:color w:val="333A45"/>
          <w:sz w:val="21"/>
          <w:szCs w:val="21"/>
        </w:rPr>
        <w:t xml:space="preserve">recorded</w:t>
      </w:r>
      <w:r>
        <w:rPr>
          <w:rFonts w:ascii="Calibri" w:cs="Calibri" w:eastAsia="Calibri" w:hAnsi="Calibri"/>
          <w:color w:val="333A45"/>
          <w:sz w:val="21"/>
          <w:szCs w:val="21"/>
        </w:rPr>
        <w:t xml:space="preserve"> and accessible to the relevant parties, including the Authority.</w:t>
      </w:r>
    </w:p>
    <w:p>
      <w:pPr>
        <w:keepNext/>
        <w:pBdr>
          <w:bottom w:val="single" w:color="9DB9E8" w:sz="4" w:space="3"/>
        </w:pBdr>
        <w:spacing w:after="100" w:before="260"/>
      </w:pPr>
      <w:r>
        <w:rPr>
          <w:rFonts w:ascii="Calibri" w:cs="Calibri" w:eastAsia="Calibri" w:hAnsi="Calibri"/>
          <w:b/>
          <w:bCs/>
          <w:color w:val="2E5AAC"/>
          <w:sz w:val="26"/>
          <w:szCs w:val="26"/>
        </w:rPr>
        <w:t xml:space="preserve">13. Incidents and complaints</w:t>
      </w:r>
    </w:p>
    <w:p>
      <w:pPr>
        <w:spacing w:after="110"/>
      </w:pPr>
      <w:r>
        <w:rPr>
          <w:rFonts w:ascii="Calibri" w:cs="Calibri" w:eastAsia="Calibri" w:hAnsi="Calibri"/>
          <w:color w:val="333A45"/>
          <w:sz w:val="21"/>
          <w:szCs w:val="21"/>
        </w:rPr>
        <w:t xml:space="preserve">Suspected exposure of personal or confidential data to an AI tool, harmful or materially incorrect AI output that has been acted upon, and suspected breaches of this policy must be reported immediately to the policy owner and data protection lead.</w:t>
      </w:r>
    </w:p>
    <w:p>
      <w:pPr>
        <w:spacing w:after="110"/>
      </w:pPr>
      <w:r>
        <w:rPr>
          <w:rFonts w:ascii="Calibri" w:cs="Calibri" w:eastAsia="Calibri" w:hAnsi="Calibri"/>
          <w:color w:val="333A45"/>
          <w:sz w:val="21"/>
          <w:szCs w:val="21"/>
        </w:rPr>
        <w:t xml:space="preserve">Where a personal data breach has occurred, the Authority must be notified within a short statutory period </w:t>
      </w:r>
      <w:r>
        <w:rPr>
          <w:rFonts w:ascii="Calibri" w:cs="Calibri" w:eastAsia="Calibri" w:hAnsi="Calibri"/>
          <w:b/>
          <w:bCs/>
          <w:color w:val="333A45"/>
          <w:sz w:val="21"/>
          <w:szCs w:val="21"/>
        </w:rPr>
        <w:t xml:space="preserve">running from the time the breach was discovered</w:t>
      </w:r>
      <w:r>
        <w:rPr>
          <w:rFonts w:ascii="Calibri" w:cs="Calibri" w:eastAsia="Calibri" w:hAnsi="Calibri"/>
          <w:color w:val="333A45"/>
          <w:sz w:val="21"/>
          <w:szCs w:val="21"/>
        </w:rPr>
        <w:t xml:space="preserve">, unless it is unlikely to lead to a risk threatening data subjects' rights. Late notification must carry the reasons for the delay. Because the clock runs from discovery rather than from confirmation or assessment, </w:t>
      </w:r>
      <w:r>
        <w:rPr>
          <w:rFonts w:ascii="Calibri" w:cs="Calibri" w:eastAsia="Calibri" w:hAnsi="Calibri"/>
          <w:b/>
          <w:bCs/>
          <w:color w:val="333A45"/>
          <w:sz w:val="21"/>
          <w:szCs w:val="21"/>
        </w:rPr>
        <w:t xml:space="preserve">the reporting duty in this section is immediate and is not to be deferred pending internal investigation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Where [ORGANISATION] has not informed affected individuals, the Authority may require it to do so if it considers the incident may lead to high risks. Where individuals are informed, they must be told the type and nature of the breach, details of the data affected, and recommendations for limiting or mitigating its effects.</w:t>
      </w:r>
    </w:p>
    <w:p>
      <w:pPr>
        <w:spacing w:after="110"/>
      </w:pPr>
      <w:r>
        <w:rPr>
          <w:rFonts w:ascii="Calibri" w:cs="Calibri" w:eastAsia="Calibri" w:hAnsi="Calibri"/>
          <w:color w:val="333A45"/>
          <w:sz w:val="21"/>
          <w:szCs w:val="21"/>
        </w:rPr>
        <w:t xml:space="preserve">Individuals may also complain directly to the Authority. [ORGANISATION] provides an accessible means of making a complaint, records it, takes appropriate steps to respond, and informs the complainant of the outcome. [DATA PROTECTION GUARDIAN / privacy lead] owns this process.</w:t>
      </w:r>
    </w:p>
    <w:p>
      <w:pPr>
        <w:keepNext/>
        <w:pBdr>
          <w:bottom w:val="single" w:color="9DB9E8" w:sz="4" w:space="3"/>
        </w:pBdr>
        <w:spacing w:after="100" w:before="260"/>
      </w:pPr>
      <w:r>
        <w:rPr>
          <w:rFonts w:ascii="Calibri" w:cs="Calibri" w:eastAsia="Calibri" w:hAnsi="Calibri"/>
          <w:b/>
          <w:bCs/>
          <w:color w:val="2E5AAC"/>
          <w:sz w:val="26"/>
          <w:szCs w:val="26"/>
        </w:rPr>
        <w:t xml:space="preserve">14. Intellectual property, transparency, and record-keeping</w:t>
      </w:r>
    </w:p>
    <w:p>
      <w:pPr>
        <w:spacing w:after="110"/>
      </w:pPr>
      <w:r>
        <w:rPr>
          <w:rFonts w:ascii="Calibri" w:cs="Calibri" w:eastAsia="Calibri" w:hAnsi="Calibri"/>
          <w:color w:val="333A45"/>
          <w:sz w:val="21"/>
          <w:szCs w:val="21"/>
        </w:rPr>
        <w:t xml:space="preserve">14.1 Third-party confidential or licensed material must not be entered into an AI tool without authorisation. Ownership and licensing of AI-generated content must be confirmed before commercial use, and copyright and trademarks must not be infringed.</w:t>
      </w:r>
    </w:p>
    <w:p>
      <w:pPr>
        <w:spacing w:after="110"/>
      </w:pPr>
      <w:r>
        <w:rPr>
          <w:rFonts w:ascii="Calibri" w:cs="Calibri" w:eastAsia="Calibri" w:hAnsi="Calibri"/>
          <w:color w:val="333A45"/>
          <w:sz w:val="21"/>
          <w:szCs w:val="21"/>
        </w:rPr>
        <w:t xml:space="preserve">14.2 Where AI has materially produced content presented as [ORGANISATION]'s work to customers, regulators, or the public, its use must be disclosed where required or where non-disclosure would mislead.</w:t>
      </w:r>
    </w:p>
    <w:p>
      <w:pPr>
        <w:spacing w:after="110"/>
      </w:pPr>
      <w:r>
        <w:rPr>
          <w:rFonts w:ascii="Calibri" w:cs="Calibri" w:eastAsia="Calibri" w:hAnsi="Calibri"/>
          <w:color w:val="333A45"/>
          <w:sz w:val="21"/>
          <w:szCs w:val="21"/>
        </w:rPr>
        <w:t xml:space="preserve">14.3 Records of approved AI uses, lawful bases and consents relied on, notifications and authorisations held, impact assessments, technical and organisational measures, and verification of decision-bearing output must be retained in accordance with [ORGANISATION]'s retention schedule.</w:t>
      </w:r>
    </w:p>
    <w:p>
      <w:pPr>
        <w:keepNext/>
        <w:pBdr>
          <w:bottom w:val="single" w:color="9DB9E8" w:sz="4" w:space="3"/>
        </w:pBdr>
        <w:spacing w:after="100" w:before="260"/>
      </w:pPr>
      <w:r>
        <w:rPr>
          <w:rFonts w:ascii="Calibri" w:cs="Calibri" w:eastAsia="Calibri" w:hAnsi="Calibri"/>
          <w:b/>
          <w:bCs/>
          <w:color w:val="2E5AAC"/>
          <w:sz w:val="26"/>
          <w:szCs w:val="26"/>
        </w:rPr>
        <w:t xml:space="preserve">15. Customer-facing AI</w:t>
      </w:r>
    </w:p>
    <w:p>
      <w:pPr>
        <w:spacing w:after="110"/>
      </w:pPr>
      <w:r>
        <w:rPr>
          <w:rFonts w:ascii="Calibri" w:cs="Calibri" w:eastAsia="Calibri" w:hAnsi="Calibri"/>
          <w:color w:val="333A45"/>
          <w:sz w:val="21"/>
          <w:szCs w:val="21"/>
        </w:rPr>
        <w:t xml:space="preserve">15.1 Where AI interacts directly with customers, the customer must be informed they are interacting with an AI system, be able to reach a human where appropriate, and receive output that meets [ORGANISATION]'s accuracy and fairness standards.</w:t>
      </w:r>
    </w:p>
    <w:p>
      <w:pPr>
        <w:spacing w:after="110"/>
      </w:pPr>
      <w:r>
        <w:rPr>
          <w:rFonts w:ascii="Calibri" w:cs="Calibri" w:eastAsia="Calibri" w:hAnsi="Calibri"/>
          <w:color w:val="333A45"/>
          <w:sz w:val="21"/>
          <w:szCs w:val="21"/>
        </w:rPr>
        <w:t xml:space="preserve">15.2 Individuals must be told, at the point their data is taken, who the controller is, why the data is being processed, who receives it, whether replying is optional, and how they exercise their rights. Where data about a person is obtained other than from that person, they must be informed within the short statutory period that applies.</w:t>
      </w:r>
    </w:p>
    <w:p>
      <w:pPr>
        <w:keepNext/>
        <w:pBdr>
          <w:bottom w:val="single" w:color="9DB9E8" w:sz="4" w:space="3"/>
        </w:pBdr>
        <w:spacing w:after="100" w:before="260"/>
      </w:pPr>
      <w:r>
        <w:rPr>
          <w:rFonts w:ascii="Calibri" w:cs="Calibri" w:eastAsia="Calibri" w:hAnsi="Calibri"/>
          <w:b/>
          <w:bCs/>
          <w:color w:val="2E5AAC"/>
          <w:sz w:val="26"/>
          <w:szCs w:val="26"/>
        </w:rPr>
        <w:t xml:space="preserve">16. Fairness and non-discrimination</w:t>
      </w:r>
    </w:p>
    <w:p>
      <w:pPr>
        <w:spacing w:after="110"/>
      </w:pPr>
      <w:r>
        <w:rPr>
          <w:rFonts w:ascii="Calibri" w:cs="Calibri" w:eastAsia="Calibri" w:hAnsi="Calibri"/>
          <w:color w:val="333A45"/>
          <w:sz w:val="21"/>
          <w:szCs w:val="21"/>
        </w:rPr>
        <w:t xml:space="preserve">16.1 AI use affecting individuals must not produce discriminatory outcomes. Where AI informs such decisions, outputs must be checked for bias and a person remains accountable for fairness. Suspected biased behaviour must be reported to the policy owner.</w:t>
      </w:r>
    </w:p>
    <w:p>
      <w:pPr>
        <w:keepNext/>
        <w:pBdr>
          <w:bottom w:val="single" w:color="9DB9E8" w:sz="4" w:space="3"/>
        </w:pBdr>
        <w:spacing w:after="100" w:before="260"/>
      </w:pPr>
      <w:r>
        <w:rPr>
          <w:rFonts w:ascii="Calibri" w:cs="Calibri" w:eastAsia="Calibri" w:hAnsi="Calibri"/>
          <w:b/>
          <w:bCs/>
          <w:color w:val="2E5AAC"/>
          <w:sz w:val="26"/>
          <w:szCs w:val="26"/>
        </w:rPr>
        <w:t xml:space="preserve">17. Monitoring</w:t>
      </w:r>
    </w:p>
    <w:p>
      <w:pPr>
        <w:spacing w:after="110"/>
      </w:pPr>
      <w:r>
        <w:rPr>
          <w:rFonts w:ascii="Calibri" w:cs="Calibri" w:eastAsia="Calibri" w:hAnsi="Calibri"/>
          <w:color w:val="333A45"/>
          <w:sz w:val="21"/>
          <w:szCs w:val="21"/>
        </w:rPr>
        <w:t xml:space="preserve">[ORGANISATION] monitors AI use on its managed devices and networks, including the tools accessed, the discovery of unsanctioned tools, and records of policy breaches. Monitoring is proportionate, conducted for the purposes of this policy, and carried out in accordance with applicable notification requirements. Monitoring that involves visual recording for surveillance purposes is itself subject to Section 4.2.</w:t>
      </w:r>
    </w:p>
    <w:p>
      <w:pPr>
        <w:keepNext/>
        <w:pBdr>
          <w:bottom w:val="single" w:color="9DB9E8" w:sz="4" w:space="3"/>
        </w:pBdr>
        <w:spacing w:after="100" w:before="260"/>
      </w:pPr>
      <w:r>
        <w:rPr>
          <w:rFonts w:ascii="Calibri" w:cs="Calibri" w:eastAsia="Calibri" w:hAnsi="Calibri"/>
          <w:b/>
          <w:bCs/>
          <w:color w:val="2E5AAC"/>
          <w:sz w:val="26"/>
          <w:szCs w:val="26"/>
        </w:rPr>
        <w:t xml:space="preserve">18. Responsibilities</w:t>
      </w:r>
    </w:p>
    <w:p>
      <w:pPr>
        <w:pStyle w:val="ListParagraph"/>
        <w:numPr>
          <w:ilvl w:val="0"/>
          <w:numId w:val="2"/>
        </w:numPr>
        <w:spacing w:after="70"/>
      </w:pPr>
      <w:r>
        <w:rPr>
          <w:rFonts w:ascii="Calibri" w:cs="Calibri" w:eastAsia="Calibri" w:hAnsi="Calibri"/>
          <w:color w:val="333A45"/>
          <w:sz w:val="21"/>
          <w:szCs w:val="21"/>
        </w:rPr>
        <w:t xml:space="preserve">All staff must comply with this policy, classify their use, verify output, and report incidents.</w:t>
      </w:r>
    </w:p>
    <w:p>
      <w:pPr>
        <w:pStyle w:val="ListParagraph"/>
        <w:numPr>
          <w:ilvl w:val="0"/>
          <w:numId w:val="2"/>
        </w:numPr>
        <w:spacing w:after="70"/>
      </w:pPr>
      <w:r>
        <w:rPr>
          <w:rFonts w:ascii="Calibri" w:cs="Calibri" w:eastAsia="Calibri" w:hAnsi="Calibri"/>
          <w:color w:val="333A45"/>
          <w:sz w:val="21"/>
          <w:szCs w:val="21"/>
        </w:rPr>
        <w:t xml:space="preserve">Managers are responsible for compliance within their teams.</w:t>
      </w:r>
    </w:p>
    <w:p>
      <w:pPr>
        <w:pStyle w:val="ListParagraph"/>
        <w:numPr>
          <w:ilvl w:val="0"/>
          <w:numId w:val="2"/>
        </w:numPr>
        <w:spacing w:after="70"/>
      </w:pPr>
      <w:r>
        <w:rPr>
          <w:rFonts w:ascii="Calibri" w:cs="Calibri" w:eastAsia="Calibri" w:hAnsi="Calibri"/>
          <w:color w:val="333A45"/>
          <w:sz w:val="21"/>
          <w:szCs w:val="21"/>
        </w:rPr>
        <w:t xml:space="preserve">The policy owner maintains this policy, the Approved AI Tools list, and security requirements.</w:t>
      </w:r>
    </w:p>
    <w:p>
      <w:pPr>
        <w:pStyle w:val="ListParagraph"/>
        <w:numPr>
          <w:ilvl w:val="0"/>
          <w:numId w:val="2"/>
        </w:numPr>
        <w:spacing w:after="70"/>
      </w:pPr>
      <w:r>
        <w:rPr>
          <w:rFonts w:ascii="Calibri" w:cs="Calibri" w:eastAsia="Calibri" w:hAnsi="Calibri"/>
          <w:color w:val="333A45"/>
          <w:sz w:val="21"/>
          <w:szCs w:val="21"/>
        </w:rPr>
        <w:t xml:space="preserve">The data protection lead is responsible for data protection sign-off, impact assessments, the notification and authorisation position for every AI system, complaints handling, and liaison with the Authority.</w:t>
      </w:r>
    </w:p>
    <w:p>
      <w:pPr>
        <w:pStyle w:val="ListParagraph"/>
        <w:numPr>
          <w:ilvl w:val="0"/>
          <w:numId w:val="2"/>
        </w:numPr>
        <w:spacing w:after="70"/>
      </w:pPr>
      <w:r>
        <w:rPr>
          <w:rFonts w:ascii="Calibri" w:cs="Calibri" w:eastAsia="Calibri" w:hAnsi="Calibri"/>
          <w:color w:val="333A45"/>
          <w:sz w:val="21"/>
          <w:szCs w:val="21"/>
        </w:rPr>
        <w:t xml:space="preserve">Where a Data Protection Guardian is appointed, that appointment must be notified to the Authority within the short statutory period, and the Guardian discharges the duties given to that role by law independently and impartially.</w:t>
      </w:r>
    </w:p>
    <w:p>
      <w:pPr>
        <w:keepNext/>
        <w:pBdr>
          <w:bottom w:val="single" w:color="9DB9E8" w:sz="4" w:space="3"/>
        </w:pBdr>
        <w:spacing w:after="100" w:before="260"/>
      </w:pPr>
      <w:r>
        <w:rPr>
          <w:rFonts w:ascii="Calibri" w:cs="Calibri" w:eastAsia="Calibri" w:hAnsi="Calibri"/>
          <w:b/>
          <w:bCs/>
          <w:color w:val="2E5AAC"/>
          <w:sz w:val="26"/>
          <w:szCs w:val="26"/>
        </w:rPr>
        <w:t xml:space="preserve">19. Training and acknowledgement</w:t>
      </w:r>
    </w:p>
    <w:p>
      <w:pPr>
        <w:spacing w:after="110"/>
      </w:pPr>
      <w:r>
        <w:rPr>
          <w:rFonts w:ascii="Calibri" w:cs="Calibri" w:eastAsia="Calibri" w:hAnsi="Calibri"/>
          <w:color w:val="333A45"/>
          <w:sz w:val="21"/>
          <w:szCs w:val="21"/>
        </w:rPr>
        <w:t xml:space="preserve">19.1 Staff must have the AI knowledge and skills sufficient for their role, and must complete AI-use training before using AI tools for [ORGANISATION] work, and on material change to this policy.</w:t>
      </w:r>
    </w:p>
    <w:p>
      <w:pPr>
        <w:spacing w:after="110"/>
      </w:pPr>
      <w:r>
        <w:rPr>
          <w:rFonts w:ascii="Calibri" w:cs="Calibri" w:eastAsia="Calibri" w:hAnsi="Calibri"/>
          <w:color w:val="333A45"/>
          <w:sz w:val="21"/>
          <w:szCs w:val="21"/>
        </w:rPr>
        <w:t xml:space="preserve">I acknowledge that I have read, understood, and agree to comply with this policy.</w:t>
      </w:r>
    </w:p>
    <w:p>
      <w:pPr>
        <w:spacing w:after="110"/>
      </w:pPr>
      <w:r>
        <w:rPr>
          <w:rFonts w:ascii="Calibri" w:cs="Calibri" w:eastAsia="Calibri" w:hAnsi="Calibri"/>
          <w:color w:val="333A45"/>
          <w:sz w:val="21"/>
          <w:szCs w:val="21"/>
        </w:rPr>
        <w:t xml:space="preserve">Name: __________________  Signature: __________________  Date: __________</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w:t>
      </w:r>
    </w:p>
    <w:p>
      <w:pPr>
        <w:spacing w:after="110"/>
      </w:pPr>
      <w:r>
        <w:rPr>
          <w:rFonts w:ascii="Calibri" w:cs="Calibri" w:eastAsia="Calibri" w:hAnsi="Calibri"/>
          <w:i/>
          <w:iCs/>
          <w:color w:val="5A6472"/>
          <w:sz w:val="19"/>
          <w:szCs w:val="19"/>
        </w:rPr>
        <w:t xml:space="preserve">This document is a policy template and does not constitute legal advice. The data protection requirements reflect obligations under the Bahraini personal data protection regime and must be verified against primary sources - including the authoritative Arabic texts published in the Official Gazette - and reviewed by the data protection lead or Bahraini-qualified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(Bahrain)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Kingdom of Bahrain</dc:title>
  <dc:creator>Narendra Karki</dc:creator>
  <cp:lastModifiedBy>Narendra Karki</cp:lastModifiedBy>
  <cp:revision>1</cp:revision>
  <dcterms:created xsi:type="dcterms:W3CDTF">2026-08-29T05:11:55.808Z</dcterms:created>
  <dcterms:modified xsi:type="dcterms:W3CDTF">2026-08-29T05:11:55.808Z</dcterms:modified>
</cp:coreProperties>
</file>

<file path=docProps/custom.xml><?xml version="1.0" encoding="utf-8"?>
<Properties xmlns="http://schemas.openxmlformats.org/officeDocument/2006/custom-properties" xmlns:vt="http://schemas.openxmlformats.org/officeDocument/2006/docPropsVTypes"/>
</file>