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5AAC" w:sz="12" w:space="6"/>
        </w:pBdr>
        <w:spacing w:after="60"/>
      </w:pPr>
      <w:r>
        <w:rPr>
          <w:rFonts w:ascii="Calibri" w:cs="Calibri" w:eastAsia="Calibri" w:hAnsi="Calibri"/>
          <w:b/>
          <w:bCs/>
          <w:color w:val="1F3864"/>
          <w:sz w:val="42"/>
          <w:szCs w:val="42"/>
        </w:rPr>
        <w:t xml:space="preserve">AI Governance - Enterprise Annex - Kingdom of Bahrain</w:t>
      </w:r>
    </w:p>
    <w:p>
      <w:pPr>
        <w:shd w:fill="EDF2FA" w:val="clear"/>
        <w:spacing w:after="20"/>
        <w:ind w:left="60" w:right="60"/>
      </w:pPr>
      <w:r>
        <w:rPr>
          <w:rFonts w:ascii="Calibri" w:cs="Calibri" w:eastAsia="Calibri" w:hAnsi="Calibri"/>
          <w:b/>
          <w:bCs/>
          <w:color w:val="5A6472"/>
          <w:sz w:val="19"/>
          <w:szCs w:val="19"/>
        </w:rPr>
        <w:t xml:space="preserve">Organisation:</w:t>
      </w:r>
      <w:r>
        <w:rPr>
          <w:rFonts w:ascii="Calibri" w:cs="Calibri" w:eastAsia="Calibri" w:hAnsi="Calibri"/>
          <w:color w:val="5A6472"/>
          <w:sz w:val="19"/>
          <w:szCs w:val="19"/>
        </w:rPr>
        <w:t xml:space="preserve"> [ORGANISATION]</w:t>
      </w:r>
    </w:p>
    <w:p>
      <w:pPr>
        <w:shd w:fill="EDF2FA" w:val="clear"/>
        <w:spacing w:after="20"/>
        <w:ind w:left="60" w:right="60"/>
      </w:pPr>
      <w:r>
        <w:rPr>
          <w:rFonts w:ascii="Calibri" w:cs="Calibri" w:eastAsia="Calibri" w:hAnsi="Calibri"/>
          <w:b/>
          <w:bCs/>
          <w:color w:val="5A6472"/>
          <w:sz w:val="19"/>
          <w:szCs w:val="19"/>
        </w:rPr>
        <w:t xml:space="preserve">Effective date:</w:t>
      </w:r>
      <w:r>
        <w:rPr>
          <w:rFonts w:ascii="Calibri" w:cs="Calibri" w:eastAsia="Calibri" w:hAnsi="Calibri"/>
          <w:color w:val="5A6472"/>
          <w:sz w:val="19"/>
          <w:szCs w:val="19"/>
        </w:rPr>
        <w:t xml:space="preserve"> [DATE]  </w:t>
      </w:r>
      <w:r>
        <w:rPr>
          <w:rFonts w:ascii="Calibri" w:cs="Calibri" w:eastAsia="Calibri" w:hAnsi="Calibri"/>
          <w:b/>
          <w:bCs/>
          <w:color w:val="5A6472"/>
          <w:sz w:val="19"/>
          <w:szCs w:val="19"/>
        </w:rPr>
        <w:t xml:space="preserve">Version:</w:t>
      </w:r>
      <w:r>
        <w:rPr>
          <w:rFonts w:ascii="Calibri" w:cs="Calibri" w:eastAsia="Calibri" w:hAnsi="Calibri"/>
          <w:color w:val="5A6472"/>
          <w:sz w:val="19"/>
          <w:szCs w:val="19"/>
        </w:rPr>
        <w:t xml:space="preserve"> 1.0</w:t>
      </w:r>
    </w:p>
    <w:p>
      <w:pPr>
        <w:shd w:fill="EDF2FA" w:val="clear"/>
        <w:spacing w:after="20"/>
        <w:ind w:left="60" w:right="60"/>
      </w:pPr>
      <w:r>
        <w:rPr>
          <w:rFonts w:ascii="Calibri" w:cs="Calibri" w:eastAsia="Calibri" w:hAnsi="Calibri"/>
          <w:b/>
          <w:bCs/>
          <w:color w:val="5A6472"/>
          <w:sz w:val="19"/>
          <w:szCs w:val="19"/>
        </w:rPr>
        <w:t xml:space="preserve">Annex owner:</w:t>
      </w:r>
      <w:r>
        <w:rPr>
          <w:rFonts w:ascii="Calibri" w:cs="Calibri" w:eastAsia="Calibri" w:hAnsi="Calibri"/>
          <w:color w:val="5A6472"/>
          <w:sz w:val="19"/>
          <w:szCs w:val="19"/>
        </w:rPr>
        <w:t xml:space="preserve"> [CISO / Head of AI Governance]  </w:t>
      </w:r>
      <w:r>
        <w:rPr>
          <w:rFonts w:ascii="Calibri" w:cs="Calibri" w:eastAsia="Calibri" w:hAnsi="Calibri"/>
          <w:b/>
          <w:bCs/>
          <w:color w:val="5A6472"/>
          <w:sz w:val="19"/>
          <w:szCs w:val="19"/>
        </w:rPr>
        <w:t xml:space="preserve">Data protection lead:</w:t>
      </w:r>
      <w:r>
        <w:rPr>
          <w:rFonts w:ascii="Calibri" w:cs="Calibri" w:eastAsia="Calibri" w:hAnsi="Calibri"/>
          <w:color w:val="5A6472"/>
          <w:sz w:val="19"/>
          <w:szCs w:val="19"/>
        </w:rPr>
        <w:t xml:space="preserve"> [DATA PROTECTION GUARDIAN / privacy lead]</w:t>
      </w:r>
    </w:p>
    <w:p>
      <w:pPr>
        <w:shd w:fill="EDF2FA" w:val="clear"/>
        <w:spacing w:after="20"/>
        <w:ind w:left="60" w:right="60"/>
      </w:pPr>
      <w:r>
        <w:rPr>
          <w:rFonts w:ascii="Calibri" w:cs="Calibri" w:eastAsia="Calibri" w:hAnsi="Calibri"/>
          <w:b/>
          <w:bCs/>
          <w:color w:val="5A6472"/>
          <w:sz w:val="19"/>
          <w:szCs w:val="19"/>
        </w:rPr>
        <w:t xml:space="preserve">Classification:</w:t>
      </w:r>
      <w:r>
        <w:rPr>
          <w:rFonts w:ascii="Calibri" w:cs="Calibri" w:eastAsia="Calibri" w:hAnsi="Calibri"/>
          <w:color w:val="5A6472"/>
          <w:sz w:val="19"/>
          <w:szCs w:val="19"/>
        </w:rPr>
        <w:t xml:space="preserve"> Internal</w:t>
      </w:r>
    </w:p>
    <w:p>
      <w:pPr>
        <w:shd w:fill="EDF2FA" w:val="clear"/>
        <w:spacing w:after="20"/>
        <w:ind w:left="60" w:right="60"/>
      </w:pPr>
      <w:r>
        <w:rPr>
          <w:rFonts w:ascii="Calibri" w:cs="Calibri" w:eastAsia="Calibri" w:hAnsi="Calibri"/>
          <w:b/>
          <w:bCs/>
          <w:color w:val="5A6472"/>
          <w:sz w:val="19"/>
          <w:szCs w:val="19"/>
        </w:rPr>
        <w:t xml:space="preserve">Review:</w:t>
      </w:r>
      <w:r>
        <w:rPr>
          <w:rFonts w:ascii="Calibri" w:cs="Calibri" w:eastAsia="Calibri" w:hAnsi="Calibri"/>
          <w:color w:val="5A6472"/>
          <w:sz w:val="19"/>
          <w:szCs w:val="19"/>
        </w:rPr>
        <w:t xml:space="preserve"> at least every six months, and on material change in tools or regulation</w:t>
      </w:r>
    </w:p>
    <w:p>
      <w:pPr>
        <w:spacing w:after="110"/>
      </w:pPr>
      <w:r>
        <w:rPr>
          <w:rFonts w:ascii="Calibri" w:cs="Calibri" w:eastAsia="Calibri" w:hAnsi="Calibri"/>
          <w:color w:val="333A45"/>
          <w:sz w:val="21"/>
          <w:szCs w:val="21"/>
        </w:rPr>
        <w:t xml:space="preserve">This annex extends the [ORGANISATION] Artificial Intelligence Acceptable Use Policy (Kingdom of Bahrain) for large organisations. The policy governs how individuals use AI; this annex governs how the organisation manages AI as a portfolio - oversight, regulatory filings, inventory, lifecycle, suppliers, and assurance. Where this annex and the policy overlap, the stricter requirement applies.</w:t>
      </w:r>
    </w:p>
    <w:p>
      <w:pPr>
        <w:keepNext/>
        <w:pBdr>
          <w:bottom w:val="single" w:color="9DB9E8" w:sz="4" w:space="3"/>
        </w:pBdr>
        <w:spacing w:after="100" w:before="260"/>
      </w:pPr>
      <w:r>
        <w:rPr>
          <w:rFonts w:ascii="Calibri" w:cs="Calibri" w:eastAsia="Calibri" w:hAnsi="Calibri"/>
          <w:b/>
          <w:bCs/>
          <w:color w:val="2E5AAC"/>
          <w:sz w:val="26"/>
          <w:szCs w:val="26"/>
        </w:rPr>
        <w:t xml:space="preserve">A1. Governance structure and accountability</w:t>
      </w:r>
    </w:p>
    <w:p>
      <w:pPr>
        <w:spacing w:after="110"/>
      </w:pPr>
      <w:r>
        <w:rPr>
          <w:rFonts w:ascii="Calibri" w:cs="Calibri" w:eastAsia="Calibri" w:hAnsi="Calibri"/>
          <w:color w:val="333A45"/>
          <w:sz w:val="21"/>
          <w:szCs w:val="21"/>
        </w:rPr>
        <w:t xml:space="preserve">A1.1 [ORGANISATION] maintains an AI Governance Committee with a defined remit: approving this annex and the Acceptable Use Policy, approving Level 3 uses, approving Level 4 uses only once written authorisation from the Authority is held, approving exceptions, reviewing incidents and metrics, and monitoring regulatory change. Membership includes [security, data protection, legal, risk, HR, and business representation]. The committee meets at least quarterly.</w:t>
      </w:r>
    </w:p>
    <w:p>
      <w:pPr>
        <w:spacing w:after="110"/>
      </w:pPr>
      <w:r>
        <w:rPr>
          <w:rFonts w:ascii="Calibri" w:cs="Calibri" w:eastAsia="Calibri" w:hAnsi="Calibri"/>
          <w:color w:val="333A45"/>
          <w:sz w:val="21"/>
          <w:szCs w:val="21"/>
        </w:rPr>
        <w:t xml:space="preserve">A1.2 A named senior executive is accountable for AI governance across the organisation and reports on it to the board at least [twice yearly]. That reporting must include the standing of every regulatory filing under A2A, because failures in this area can attach criminal liability to the organisation and to individual officers.</w:t>
      </w:r>
    </w:p>
    <w:p>
      <w:pPr>
        <w:spacing w:after="110"/>
      </w:pPr>
      <w:r>
        <w:rPr>
          <w:rFonts w:ascii="Calibri" w:cs="Calibri" w:eastAsia="Calibri" w:hAnsi="Calibri"/>
          <w:color w:val="333A45"/>
          <w:sz w:val="21"/>
          <w:szCs w:val="21"/>
        </w:rPr>
        <w:t xml:space="preserve">A1.3 Responsibility follows three lines: business functions own the risks of the AI they use; risk and compliance functions set standards and challenge; internal audit provides independent assurance (Section A8).</w:t>
      </w:r>
    </w:p>
    <w:p>
      <w:pPr>
        <w:spacing w:after="110"/>
      </w:pPr>
      <w:r>
        <w:rPr>
          <w:rFonts w:ascii="Calibri" w:cs="Calibri" w:eastAsia="Calibri" w:hAnsi="Calibri"/>
          <w:color w:val="333A45"/>
          <w:sz w:val="21"/>
          <w:szCs w:val="21"/>
        </w:rPr>
        <w:t xml:space="preserve">A1.4 Where a Data Protection Guardian is appointed - whether internal or external - the Guardian's statutory duties are discharged independently and impartially, and are not subordinate to the committee. The Guardian must be enrolled in the Authority's register to be recognised, and the appointment must be notified to the Authority within the short statutory period. The committee must not place the Guardian in a position that conflicts with the duty to escalate unremedied violations to the Authority.</w:t>
      </w:r>
    </w:p>
    <w:p>
      <w:pPr>
        <w:keepNext/>
        <w:pBdr>
          <w:bottom w:val="single" w:color="9DB9E8" w:sz="4" w:space="3"/>
        </w:pBdr>
        <w:spacing w:after="100" w:before="260"/>
      </w:pPr>
      <w:r>
        <w:rPr>
          <w:rFonts w:ascii="Calibri" w:cs="Calibri" w:eastAsia="Calibri" w:hAnsi="Calibri"/>
          <w:b/>
          <w:bCs/>
          <w:color w:val="2E5AAC"/>
          <w:sz w:val="26"/>
          <w:szCs w:val="26"/>
        </w:rPr>
        <w:t xml:space="preserve">A2. AI system inventory</w:t>
      </w:r>
    </w:p>
    <w:p>
      <w:pPr>
        <w:spacing w:after="110"/>
      </w:pPr>
      <w:r>
        <w:rPr>
          <w:rFonts w:ascii="Calibri" w:cs="Calibri" w:eastAsia="Calibri" w:hAnsi="Calibri"/>
          <w:color w:val="333A45"/>
          <w:sz w:val="21"/>
          <w:szCs w:val="21"/>
        </w:rPr>
        <w:t xml:space="preserve">A2.1 Every AI system used or deployed by [ORGANISATION] - bought, built, or embedded in other software - must be recorded in the AI system inventory before use. The record states: business owner; purpose; risk level (policy Section 5); data categories processed; lawful ground and, where relied on, the form and date of consent; supplier and underlying model where known; the point of human oversight; processing locations and the transfer basis; and the next review date.</w:t>
      </w:r>
    </w:p>
    <w:p>
      <w:pPr>
        <w:spacing w:after="110"/>
      </w:pPr>
      <w:r>
        <w:rPr>
          <w:rFonts w:ascii="Calibri" w:cs="Calibri" w:eastAsia="Calibri" w:hAnsi="Calibri"/>
          <w:color w:val="333A45"/>
          <w:sz w:val="21"/>
          <w:szCs w:val="21"/>
        </w:rPr>
        <w:t xml:space="preserve">A2.2 An AI system not in the inventory is treated as an unapproved tool under policy Section 3. The inventory is reviewed [quarterly] and material changes to a recorded system reopen its approval </w:t>
      </w:r>
      <w:r>
        <w:rPr>
          <w:rFonts w:ascii="Calibri" w:cs="Calibri" w:eastAsia="Calibri" w:hAnsi="Calibri"/>
          <w:b/>
          <w:bCs/>
          <w:color w:val="333A45"/>
          <w:sz w:val="21"/>
          <w:szCs w:val="21"/>
        </w:rPr>
        <w:t xml:space="preserve">and</w:t>
      </w:r>
      <w:r>
        <w:rPr>
          <w:rFonts w:ascii="Calibri" w:cs="Calibri" w:eastAsia="Calibri" w:hAnsi="Calibri"/>
          <w:color w:val="333A45"/>
          <w:sz w:val="21"/>
          <w:szCs w:val="21"/>
        </w:rPr>
        <w:t xml:space="preserve"> trigger the change-notification assessment in A2A.4.</w:t>
      </w:r>
    </w:p>
    <w:p>
      <w:pPr>
        <w:keepNext/>
        <w:pBdr>
          <w:bottom w:val="single" w:color="9DB9E8" w:sz="4" w:space="3"/>
        </w:pBdr>
        <w:spacing w:after="100" w:before="260"/>
      </w:pPr>
      <w:r>
        <w:rPr>
          <w:rFonts w:ascii="Calibri" w:cs="Calibri" w:eastAsia="Calibri" w:hAnsi="Calibri"/>
          <w:b/>
          <w:bCs/>
          <w:color w:val="2E5AAC"/>
          <w:sz w:val="26"/>
          <w:szCs w:val="26"/>
        </w:rPr>
        <w:t xml:space="preserve">A2A. Regulatory filings register</w:t>
      </w:r>
    </w:p>
    <w:p>
      <w:pPr>
        <w:spacing w:after="110"/>
      </w:pPr>
      <w:r>
        <w:rPr>
          <w:rFonts w:ascii="Calibri" w:cs="Calibri" w:eastAsia="Calibri" w:hAnsi="Calibri"/>
          <w:b/>
          <w:bCs/>
          <w:color w:val="333A45"/>
          <w:sz w:val="21"/>
          <w:szCs w:val="21"/>
        </w:rPr>
        <w:t xml:space="preserve">This section exists because Bahraini law gates deployment on prior notice and, for some processing, on prior written permission. Governing AI as a portfolio here means governing the filings, not only the systems.</w:t>
      </w:r>
    </w:p>
    <w:p>
      <w:pPr>
        <w:spacing w:after="110"/>
      </w:pPr>
      <w:r>
        <w:rPr>
          <w:rFonts w:ascii="Calibri" w:cs="Calibri" w:eastAsia="Calibri" w:hAnsi="Calibri"/>
          <w:color w:val="333A45"/>
          <w:sz w:val="21"/>
          <w:szCs w:val="21"/>
        </w:rPr>
        <w:t xml:space="preserve">A2A.1 [ORGANISATION] maintains a Regulatory Filings Register alongside the AI system inventory. For every AI system that processes personal data it records: whether prior notice to the Authority is required or an exemption applies and which; the date notice was given; whether the processing falls in policy Section 4.2; the date any authorisation request was submitted; the decision and its date, or the date on which the statutory period expired without reply; and any conditions or time limits attached to an authorisation.</w:t>
      </w:r>
    </w:p>
    <w:p>
      <w:pPr>
        <w:spacing w:after="110"/>
      </w:pPr>
      <w:r>
        <w:rPr>
          <w:rFonts w:ascii="Calibri" w:cs="Calibri" w:eastAsia="Calibri" w:hAnsi="Calibri"/>
          <w:color w:val="333A45"/>
          <w:sz w:val="21"/>
          <w:szCs w:val="21"/>
        </w:rPr>
        <w:t xml:space="preserve">A2A.2 </w:t>
      </w:r>
      <w:r>
        <w:rPr>
          <w:rFonts w:ascii="Calibri" w:cs="Calibri" w:eastAsia="Calibri" w:hAnsi="Calibri"/>
          <w:b/>
          <w:bCs/>
          <w:color w:val="333A45"/>
          <w:sz w:val="21"/>
          <w:szCs w:val="21"/>
        </w:rPr>
        <w:t xml:space="preserve">No Level 4 system may enter production on an unanswered request.</w:t>
      </w:r>
      <w:r>
        <w:rPr>
          <w:rFonts w:ascii="Calibri" w:cs="Calibri" w:eastAsia="Calibri" w:hAnsi="Calibri"/>
          <w:color w:val="333A45"/>
          <w:sz w:val="21"/>
          <w:szCs w:val="21"/>
        </w:rPr>
        <w:t xml:space="preserve"> Silence past the statutory period is a refusal. A system in that position is recorded as refused and returns to the committee.</w:t>
      </w:r>
    </w:p>
    <w:p>
      <w:pPr>
        <w:spacing w:after="110"/>
      </w:pPr>
      <w:r>
        <w:rPr>
          <w:rFonts w:ascii="Calibri" w:cs="Calibri" w:eastAsia="Calibri" w:hAnsi="Calibri"/>
          <w:color w:val="333A45"/>
          <w:sz w:val="21"/>
          <w:szCs w:val="21"/>
        </w:rPr>
        <w:t xml:space="preserve">A2A.3 Authorisations that are conditional or time-limited carry a diary date. The owner is responsible for renewal before expiry; an expired authorisation stops the processing.</w:t>
      </w:r>
    </w:p>
    <w:p>
      <w:pPr>
        <w:spacing w:after="110"/>
      </w:pPr>
      <w:r>
        <w:rPr>
          <w:rFonts w:ascii="Calibri" w:cs="Calibri" w:eastAsia="Calibri" w:hAnsi="Calibri"/>
          <w:color w:val="333A45"/>
          <w:sz w:val="21"/>
          <w:szCs w:val="21"/>
        </w:rPr>
        <w:t xml:space="preserve">A2A.4 Material changes to notified or authorised information - purpose, data categories, recipients, transfer destinations, security measures - must be reported to the Authority within the statutory period. </w:t>
      </w:r>
      <w:r>
        <w:rPr>
          <w:rFonts w:ascii="Calibri" w:cs="Calibri" w:eastAsia="Calibri" w:hAnsi="Calibri"/>
          <w:b/>
          <w:bCs/>
          <w:color w:val="333A45"/>
          <w:sz w:val="21"/>
          <w:szCs w:val="21"/>
        </w:rPr>
        <w:t xml:space="preserve">Changing model, vendor, or hosting region is capable of being such a change</w:t>
      </w:r>
      <w:r>
        <w:rPr>
          <w:rFonts w:ascii="Calibri" w:cs="Calibri" w:eastAsia="Calibri" w:hAnsi="Calibri"/>
          <w:color w:val="333A45"/>
          <w:sz w:val="21"/>
          <w:szCs w:val="21"/>
        </w:rPr>
        <w:t xml:space="preserve">, and the assessment must be recorded even where the conclusion is that no filing is needed.</w:t>
      </w:r>
    </w:p>
    <w:p>
      <w:pPr>
        <w:spacing w:after="110"/>
      </w:pPr>
      <w:r>
        <w:rPr>
          <w:rFonts w:ascii="Calibri" w:cs="Calibri" w:eastAsia="Calibri" w:hAnsi="Calibri"/>
          <w:color w:val="333A45"/>
          <w:sz w:val="21"/>
          <w:szCs w:val="21"/>
        </w:rPr>
        <w:t xml:space="preserve">A2A.5 The committee reviews the register at every meeting. Any system operating without its filing position resolved is escalated to the accountable executive at A1.2 immediately, not at the next meeting.</w:t>
      </w:r>
    </w:p>
    <w:p>
      <w:pPr>
        <w:keepNext/>
        <w:pBdr>
          <w:bottom w:val="single" w:color="9DB9E8" w:sz="4" w:space="3"/>
        </w:pBdr>
        <w:spacing w:after="100" w:before="260"/>
      </w:pPr>
      <w:r>
        <w:rPr>
          <w:rFonts w:ascii="Calibri" w:cs="Calibri" w:eastAsia="Calibri" w:hAnsi="Calibri"/>
          <w:b/>
          <w:bCs/>
          <w:color w:val="2E5AAC"/>
          <w:sz w:val="26"/>
          <w:szCs w:val="26"/>
        </w:rPr>
        <w:t xml:space="preserve">A3. Lifecycle controls for systems the organisation builds or adapts</w:t>
      </w:r>
    </w:p>
    <w:p>
      <w:pPr>
        <w:spacing w:after="110"/>
      </w:pPr>
      <w:r>
        <w:rPr>
          <w:rFonts w:ascii="Calibri" w:cs="Calibri" w:eastAsia="Calibri" w:hAnsi="Calibri"/>
          <w:color w:val="333A45"/>
          <w:sz w:val="21"/>
          <w:szCs w:val="21"/>
        </w:rPr>
        <w:t xml:space="preserve">A3.1 Before deployment: documented purpose and success criteria; testing for accuracy, robustness, security, and bias (policy Section 16) proportionate to the risk level; the data protection impact assessment where policy Section 7.6 requires one, with the Data Protection Guardian's advice sought where designated; the regulatory filing position resolved under A2A; and sign-off by the business owner and, where personal data is involved, the data protection lead.</w:t>
      </w:r>
    </w:p>
    <w:p>
      <w:pPr>
        <w:spacing w:after="110"/>
      </w:pPr>
      <w:r>
        <w:rPr>
          <w:rFonts w:ascii="Calibri" w:cs="Calibri" w:eastAsia="Calibri" w:hAnsi="Calibri"/>
          <w:color w:val="333A45"/>
          <w:sz w:val="21"/>
          <w:szCs w:val="21"/>
        </w:rPr>
        <w:t xml:space="preserve">A3.2 In change: modifications with a material effect on behaviour - model, prompt, configuration, or training data changes - go through change management and re-testing proportionate to the change, and the A2A.4 assessment.</w:t>
      </w:r>
    </w:p>
    <w:p>
      <w:pPr>
        <w:spacing w:after="110"/>
      </w:pPr>
      <w:r>
        <w:rPr>
          <w:rFonts w:ascii="Calibri" w:cs="Calibri" w:eastAsia="Calibri" w:hAnsi="Calibri"/>
          <w:color w:val="333A45"/>
          <w:sz w:val="21"/>
          <w:szCs w:val="21"/>
        </w:rPr>
        <w:t xml:space="preserve">A3.3 In operation: deployed systems are monitored for degraded performance, drift, and misuse; agreed thresholds trigger review by the business owner.</w:t>
      </w:r>
    </w:p>
    <w:p>
      <w:pPr>
        <w:spacing w:after="110"/>
      </w:pPr>
      <w:r>
        <w:rPr>
          <w:rFonts w:ascii="Calibri" w:cs="Calibri" w:eastAsia="Calibri" w:hAnsi="Calibri"/>
          <w:color w:val="333A45"/>
          <w:sz w:val="21"/>
          <w:szCs w:val="21"/>
        </w:rPr>
        <w:t xml:space="preserve">A3.4 At retirement: a decommissioning step covering data disposal, dependent processes, closure of the inventory record, and notification to the Authority where the cessation changes information previously filed.</w:t>
      </w:r>
    </w:p>
    <w:p>
      <w:pPr>
        <w:spacing w:after="110"/>
      </w:pPr>
      <w:r>
        <w:rPr>
          <w:rFonts w:ascii="Calibri" w:cs="Calibri" w:eastAsia="Calibri" w:hAnsi="Calibri"/>
          <w:color w:val="333A45"/>
          <w:sz w:val="21"/>
          <w:szCs w:val="21"/>
        </w:rPr>
        <w:t xml:space="preserve">A3.5 Training data provenance is documented for any system [ORGANISATION] builds or fine-tunes: what personal data was used, on what ground, whether consent covered that use, and whether the training itself required notice or authorisation.</w:t>
      </w:r>
    </w:p>
    <w:p>
      <w:pPr>
        <w:keepNext/>
        <w:pBdr>
          <w:bottom w:val="single" w:color="9DB9E8" w:sz="4" w:space="3"/>
        </w:pBdr>
        <w:spacing w:after="100" w:before="260"/>
      </w:pPr>
      <w:r>
        <w:rPr>
          <w:rFonts w:ascii="Calibri" w:cs="Calibri" w:eastAsia="Calibri" w:hAnsi="Calibri"/>
          <w:b/>
          <w:bCs/>
          <w:color w:val="2E5AAC"/>
          <w:sz w:val="26"/>
          <w:szCs w:val="26"/>
        </w:rPr>
        <w:t xml:space="preserve">A4. Suppliers and supply chain</w:t>
      </w:r>
    </w:p>
    <w:p>
      <w:pPr>
        <w:spacing w:after="110"/>
      </w:pPr>
      <w:r>
        <w:rPr>
          <w:rFonts w:ascii="Calibri" w:cs="Calibri" w:eastAsia="Calibri" w:hAnsi="Calibri"/>
          <w:color w:val="333A45"/>
          <w:sz w:val="21"/>
          <w:szCs w:val="21"/>
        </w:rPr>
        <w:t xml:space="preserve">A4.1 No AI service is procured or renewed without the security and data protection review in policy Section 3, and a </w:t>
      </w:r>
      <w:r>
        <w:rPr>
          <w:rFonts w:ascii="Calibri" w:cs="Calibri" w:eastAsia="Calibri" w:hAnsi="Calibri"/>
          <w:b/>
          <w:bCs/>
          <w:color w:val="333A45"/>
          <w:sz w:val="21"/>
          <w:szCs w:val="21"/>
        </w:rPr>
        <w:t xml:space="preserve">written</w:t>
      </w:r>
      <w:r>
        <w:rPr>
          <w:rFonts w:ascii="Calibri" w:cs="Calibri" w:eastAsia="Calibri" w:hAnsi="Calibri"/>
          <w:color w:val="333A45"/>
          <w:sz w:val="21"/>
          <w:szCs w:val="21"/>
        </w:rPr>
        <w:t xml:space="preserve"> contract covering: processing only on [ORGANISATION]'s instructions; security and confidentiality obligations equivalent to those on [ORGANISATION]; no use of [ORGANISATION] data to train the supplier's models without express approval; breach notification to [ORGANISATION] fast enough to meet a clock that starts on discovery; transparency over sub-processors and material model changes; and audit and exit rights.</w:t>
      </w:r>
    </w:p>
    <w:p>
      <w:pPr>
        <w:spacing w:after="110"/>
      </w:pPr>
      <w:r>
        <w:rPr>
          <w:rFonts w:ascii="Calibri" w:cs="Calibri" w:eastAsia="Calibri" w:hAnsi="Calibri"/>
          <w:color w:val="333A45"/>
          <w:sz w:val="21"/>
          <w:szCs w:val="21"/>
        </w:rPr>
        <w:t xml:space="preserve">A4.2 Where the supplier processes personal data outside the Kingdom, the contract must additionally carry the transfer terms required by policy Section 8.4, and the transfer basis must be recorded in A2A.1 before go-live.</w:t>
      </w:r>
    </w:p>
    <w:p>
      <w:pPr>
        <w:spacing w:after="110"/>
      </w:pPr>
      <w:r>
        <w:rPr>
          <w:rFonts w:ascii="Calibri" w:cs="Calibri" w:eastAsia="Calibri" w:hAnsi="Calibri"/>
          <w:color w:val="333A45"/>
          <w:sz w:val="21"/>
          <w:szCs w:val="21"/>
        </w:rPr>
        <w:t xml:space="preserve">A4.3 [ORGANISATION] takes reasonable steps to satisfy itself that the supplier actually implements the technical and organisational measures required, rather than relying on the contract alone.</w:t>
      </w:r>
    </w:p>
    <w:p>
      <w:pPr>
        <w:spacing w:after="110"/>
      </w:pPr>
      <w:r>
        <w:rPr>
          <w:rFonts w:ascii="Calibri" w:cs="Calibri" w:eastAsia="Calibri" w:hAnsi="Calibri"/>
          <w:color w:val="333A45"/>
          <w:sz w:val="21"/>
          <w:szCs w:val="21"/>
        </w:rPr>
        <w:t xml:space="preserve">A4.4 Critical AI suppliers are reassessed at least annually. For any AI service the business critically depends on, an exit plan exists and concentration risk is reviewed by the committee.</w:t>
      </w:r>
    </w:p>
    <w:p>
      <w:pPr>
        <w:keepNext/>
        <w:pBdr>
          <w:bottom w:val="single" w:color="9DB9E8" w:sz="4" w:space="3"/>
        </w:pBdr>
        <w:spacing w:after="100" w:before="260"/>
      </w:pPr>
      <w:r>
        <w:rPr>
          <w:rFonts w:ascii="Calibri" w:cs="Calibri" w:eastAsia="Calibri" w:hAnsi="Calibri"/>
          <w:b/>
          <w:bCs/>
          <w:color w:val="2E5AAC"/>
          <w:sz w:val="26"/>
          <w:szCs w:val="26"/>
        </w:rPr>
        <w:t xml:space="preserve">A5. Exceptions</w:t>
      </w:r>
    </w:p>
    <w:p>
      <w:pPr>
        <w:spacing w:after="110"/>
      </w:pPr>
      <w:r>
        <w:rPr>
          <w:rFonts w:ascii="Calibri" w:cs="Calibri" w:eastAsia="Calibri" w:hAnsi="Calibri"/>
          <w:color w:val="333A45"/>
          <w:sz w:val="21"/>
          <w:szCs w:val="21"/>
        </w:rPr>
        <w:t xml:space="preserve">A5.1 Departures from the policy or this annex require a written exception approved by the annex owner, with the risk accepted in writing by a named senior owner. Exceptions are time-bound (maximum [6 months]), carry compensating controls, and are recorded in an exceptions register with their expiry dates. The committee reviews the register at every meeting; expired exceptions lapse automatically.</w:t>
      </w:r>
    </w:p>
    <w:p>
      <w:pPr>
        <w:spacing w:after="110"/>
      </w:pPr>
      <w:r>
        <w:rPr>
          <w:rFonts w:ascii="Calibri" w:cs="Calibri" w:eastAsia="Calibri" w:hAnsi="Calibri"/>
          <w:color w:val="333A45"/>
          <w:sz w:val="21"/>
          <w:szCs w:val="21"/>
        </w:rPr>
        <w:t xml:space="preserve">A5.2 </w:t>
      </w:r>
      <w:r>
        <w:rPr>
          <w:rFonts w:ascii="Calibri" w:cs="Calibri" w:eastAsia="Calibri" w:hAnsi="Calibri"/>
          <w:b/>
          <w:bCs/>
          <w:color w:val="333A45"/>
          <w:sz w:val="21"/>
          <w:szCs w:val="21"/>
        </w:rPr>
        <w:t xml:space="preserve">No exception may be granted against a statutory requirement.</w:t>
      </w:r>
      <w:r>
        <w:rPr>
          <w:rFonts w:ascii="Calibri" w:cs="Calibri" w:eastAsia="Calibri" w:hAnsi="Calibri"/>
          <w:color w:val="333A45"/>
          <w:sz w:val="21"/>
          <w:szCs w:val="21"/>
        </w:rPr>
        <w:t xml:space="preserve"> In particular, the committee cannot authorise processing that requires prior notice or prior written authorisation to proceed without it. Those are not risks the organisation is able to accept.</w:t>
      </w:r>
    </w:p>
    <w:p>
      <w:pPr>
        <w:keepNext/>
        <w:pBdr>
          <w:bottom w:val="single" w:color="9DB9E8" w:sz="4" w:space="3"/>
        </w:pBdr>
        <w:spacing w:after="100" w:before="260"/>
      </w:pPr>
      <w:r>
        <w:rPr>
          <w:rFonts w:ascii="Calibri" w:cs="Calibri" w:eastAsia="Calibri" w:hAnsi="Calibri"/>
          <w:b/>
          <w:bCs/>
          <w:color w:val="2E5AAC"/>
          <w:sz w:val="26"/>
          <w:szCs w:val="26"/>
        </w:rPr>
        <w:t xml:space="preserve">A6. Agentic AI</w:t>
      </w:r>
    </w:p>
    <w:p>
      <w:pPr>
        <w:spacing w:after="110"/>
      </w:pPr>
      <w:r>
        <w:rPr>
          <w:rFonts w:ascii="Calibri" w:cs="Calibri" w:eastAsia="Calibri" w:hAnsi="Calibri"/>
          <w:color w:val="333A45"/>
          <w:sz w:val="21"/>
          <w:szCs w:val="21"/>
        </w:rPr>
        <w:t xml:space="preserve">A6.1 AI agents - systems that plan and take actions with limited human prompting - operate under their own credentials with least-privilege access. A person's own credentials must never be given to an agent.</w:t>
      </w:r>
    </w:p>
    <w:p>
      <w:pPr>
        <w:spacing w:after="110"/>
      </w:pPr>
      <w:r>
        <w:rPr>
          <w:rFonts w:ascii="Calibri" w:cs="Calibri" w:eastAsia="Calibri" w:hAnsi="Calibri"/>
          <w:color w:val="333A45"/>
          <w:sz w:val="21"/>
          <w:szCs w:val="21"/>
        </w:rPr>
        <w:t xml:space="preserve">A6.2 Consequential actions - making payments, sending external communications, changing records about people, deploying code, or deleting data - require a human checkpoint before execution unless the committee has expressly approved autonomous operation for that action and system.</w:t>
      </w:r>
    </w:p>
    <w:p>
      <w:pPr>
        <w:spacing w:after="110"/>
      </w:pPr>
      <w:r>
        <w:rPr>
          <w:rFonts w:ascii="Calibri" w:cs="Calibri" w:eastAsia="Calibri" w:hAnsi="Calibri"/>
          <w:color w:val="333A45"/>
          <w:sz w:val="21"/>
          <w:szCs w:val="21"/>
        </w:rPr>
        <w:t xml:space="preserve">A6.3 An agent must not initiate processing that would require prior notice or authorisation, and must not transfer personal data outside the Kingdom, unless that specific behaviour has been filed and approved under A2A. An agent that can select its own tools or data sources is assessed for whether it can reach such processing at all.</w:t>
      </w:r>
    </w:p>
    <w:p>
      <w:pPr>
        <w:spacing w:after="110"/>
      </w:pPr>
      <w:r>
        <w:rPr>
          <w:rFonts w:ascii="Calibri" w:cs="Calibri" w:eastAsia="Calibri" w:hAnsi="Calibri"/>
          <w:color w:val="333A45"/>
          <w:sz w:val="21"/>
          <w:szCs w:val="21"/>
        </w:rPr>
        <w:t xml:space="preserve">A6.4 Agent activity is logged and attributable to a named human owner. Agent sessions are bounded in scope and duration, and every agent has a documented means of immediate suspension.</w:t>
      </w:r>
    </w:p>
    <w:p>
      <w:pPr>
        <w:spacing w:after="110"/>
      </w:pPr>
      <w:r>
        <w:rPr>
          <w:rFonts w:ascii="Calibri" w:cs="Calibri" w:eastAsia="Calibri" w:hAnsi="Calibri"/>
          <w:color w:val="333A45"/>
          <w:sz w:val="21"/>
          <w:szCs w:val="21"/>
        </w:rPr>
        <w:t xml:space="preserve">A6.5 Content an agent ingests from outside the organisation is treated as untrusted input (policy Section 12.3), including instructions embedded in that content.</w:t>
      </w:r>
    </w:p>
    <w:p>
      <w:pPr>
        <w:keepNext/>
        <w:pBdr>
          <w:bottom w:val="single" w:color="9DB9E8" w:sz="4" w:space="3"/>
        </w:pBdr>
        <w:spacing w:after="100" w:before="260"/>
      </w:pPr>
      <w:r>
        <w:rPr>
          <w:rFonts w:ascii="Calibri" w:cs="Calibri" w:eastAsia="Calibri" w:hAnsi="Calibri"/>
          <w:b/>
          <w:bCs/>
          <w:color w:val="2E5AAC"/>
          <w:sz w:val="26"/>
          <w:szCs w:val="26"/>
        </w:rPr>
        <w:t xml:space="preserve">A7. Individual rights operations</w:t>
      </w:r>
    </w:p>
    <w:p>
      <w:pPr>
        <w:spacing w:after="110"/>
      </w:pPr>
      <w:r>
        <w:rPr>
          <w:rFonts w:ascii="Calibri" w:cs="Calibri" w:eastAsia="Calibri" w:hAnsi="Calibri"/>
          <w:color w:val="333A45"/>
          <w:sz w:val="21"/>
          <w:szCs w:val="21"/>
        </w:rPr>
        <w:t xml:space="preserve">A7.1 [ORGANISATION] maintains a documented route by which a request from an individual - to be told what data is held, to have it rectified, blocked, or erased, or to object - is executed against every AI system in the inventory, including prompts, uploads, embeddings, caches, and logs.</w:t>
      </w:r>
    </w:p>
    <w:p>
      <w:pPr>
        <w:spacing w:after="110"/>
      </w:pPr>
      <w:r>
        <w:rPr>
          <w:rFonts w:ascii="Calibri" w:cs="Calibri" w:eastAsia="Calibri" w:hAnsi="Calibri"/>
          <w:color w:val="333A45"/>
          <w:sz w:val="21"/>
          <w:szCs w:val="21"/>
        </w:rPr>
        <w:t xml:space="preserve">A7.2 The statutory response periods for these requests are short and are measured in working days. Systems that cannot meet them are not approved for personal data.</w:t>
      </w:r>
    </w:p>
    <w:p>
      <w:pPr>
        <w:spacing w:after="110"/>
      </w:pPr>
      <w:r>
        <w:rPr>
          <w:rFonts w:ascii="Calibri" w:cs="Calibri" w:eastAsia="Calibri" w:hAnsi="Calibri"/>
          <w:color w:val="333A45"/>
          <w:sz w:val="21"/>
          <w:szCs w:val="21"/>
        </w:rPr>
        <w:t xml:space="preserve">A7.3 Where an individual exercises the right to have a solely automated decision reconsidered, the reconsideration is carried out by a person, free of charge, and the outcome is recorded together with the objection and the date.</w:t>
      </w:r>
    </w:p>
    <w:p>
      <w:pPr>
        <w:spacing w:after="110"/>
      </w:pPr>
      <w:r>
        <w:rPr>
          <w:rFonts w:ascii="Calibri" w:cs="Calibri" w:eastAsia="Calibri" w:hAnsi="Calibri"/>
          <w:color w:val="333A45"/>
          <w:sz w:val="21"/>
          <w:szCs w:val="21"/>
        </w:rPr>
        <w:t xml:space="preserve">A7.4 Where personal data is rectified, blocked, or erased on request, third parties to whom the data was disclosed are notified within the statutory period unless that proves impossible or unachievable. Suppliers of AI services are such third parties.</w:t>
      </w:r>
    </w:p>
    <w:p>
      <w:pPr>
        <w:keepNext/>
        <w:pBdr>
          <w:bottom w:val="single" w:color="9DB9E8" w:sz="4" w:space="3"/>
        </w:pBdr>
        <w:spacing w:after="100" w:before="260"/>
      </w:pPr>
      <w:r>
        <w:rPr>
          <w:rFonts w:ascii="Calibri" w:cs="Calibri" w:eastAsia="Calibri" w:hAnsi="Calibri"/>
          <w:b/>
          <w:bCs/>
          <w:color w:val="2E5AAC"/>
          <w:sz w:val="26"/>
          <w:szCs w:val="26"/>
        </w:rPr>
        <w:t xml:space="preserve">A8. Assurance and metrics</w:t>
      </w:r>
    </w:p>
    <w:p>
      <w:pPr>
        <w:spacing w:after="110"/>
      </w:pPr>
      <w:r>
        <w:rPr>
          <w:rFonts w:ascii="Calibri" w:cs="Calibri" w:eastAsia="Calibri" w:hAnsi="Calibri"/>
          <w:color w:val="333A45"/>
          <w:sz w:val="21"/>
          <w:szCs w:val="21"/>
        </w:rPr>
        <w:t xml:space="preserve">A8.1 The committee tracks agreed indicators, including: approved-tool adoption; unapproved-tool discoveries; </w:t>
      </w:r>
      <w:r>
        <w:rPr>
          <w:rFonts w:ascii="Calibri" w:cs="Calibri" w:eastAsia="Calibri" w:hAnsi="Calibri"/>
          <w:b/>
          <w:bCs/>
          <w:color w:val="333A45"/>
          <w:sz w:val="21"/>
          <w:szCs w:val="21"/>
        </w:rPr>
        <w:t xml:space="preserve">systems in production with an unresolved filing position, which should be zero</w:t>
      </w:r>
      <w:r>
        <w:rPr>
          <w:rFonts w:ascii="Calibri" w:cs="Calibri" w:eastAsia="Calibri" w:hAnsi="Calibri"/>
          <w:color w:val="333A45"/>
          <w:sz w:val="21"/>
          <w:szCs w:val="21"/>
        </w:rPr>
        <w:t xml:space="preserve">; authorisations approaching expiry; verification records for decision-bearing output; incidents and near misses; time from breach discovery to notification; exception count and age; and impact-assessment coverage for Level 3 and Level 4 uses.</w:t>
      </w:r>
    </w:p>
    <w:p>
      <w:pPr>
        <w:spacing w:after="110"/>
      </w:pPr>
      <w:r>
        <w:rPr>
          <w:rFonts w:ascii="Calibri" w:cs="Calibri" w:eastAsia="Calibri" w:hAnsi="Calibri"/>
          <w:color w:val="333A45"/>
          <w:sz w:val="21"/>
          <w:szCs w:val="21"/>
        </w:rPr>
        <w:t xml:space="preserve">A8.2 Internal audit reviews the AI governance programme at least [annually], including a sample test that filings in A2A match what systems actually do.</w:t>
      </w:r>
    </w:p>
    <w:p>
      <w:pPr>
        <w:spacing w:after="110"/>
      </w:pPr>
      <w:r>
        <w:rPr>
          <w:rFonts w:ascii="Calibri" w:cs="Calibri" w:eastAsia="Calibri" w:hAnsi="Calibri"/>
          <w:color w:val="333A45"/>
          <w:sz w:val="21"/>
          <w:szCs w:val="21"/>
        </w:rPr>
        <w:t xml:space="preserve">A8.3 The committee conducts a management review of the whole programme at least [annually]: policy and annex, inventory, filings register, metrics, incidents, supplier performance, and regulatory change, with documented actions.</w:t>
      </w:r>
    </w:p>
    <w:p>
      <w:pPr>
        <w:keepNext/>
        <w:pBdr>
          <w:bottom w:val="single" w:color="9DB9E8" w:sz="4" w:space="3"/>
        </w:pBdr>
        <w:spacing w:after="100" w:before="260"/>
      </w:pPr>
      <w:r>
        <w:rPr>
          <w:rFonts w:ascii="Calibri" w:cs="Calibri" w:eastAsia="Calibri" w:hAnsi="Calibri"/>
          <w:b/>
          <w:bCs/>
          <w:color w:val="2E5AAC"/>
          <w:sz w:val="26"/>
          <w:szCs w:val="26"/>
        </w:rPr>
        <w:t xml:space="preserve">A9. Complaints and speak-up</w:t>
      </w:r>
    </w:p>
    <w:p>
      <w:pPr>
        <w:spacing w:after="110"/>
      </w:pPr>
      <w:r>
        <w:rPr>
          <w:rFonts w:ascii="Calibri" w:cs="Calibri" w:eastAsia="Calibri" w:hAnsi="Calibri"/>
          <w:color w:val="333A45"/>
          <w:sz w:val="21"/>
          <w:szCs w:val="21"/>
        </w:rPr>
        <w:t xml:space="preserve">A9.1 Individuals can complain to [ORGANISATION] about the handling of their personal data, including by AI systems. [ORGANISATION] provides an accessible means of complaint, records it, takes appropriate steps to respond, and informs the complainant of the outcome. Individuals may also complain directly to the Authority, and doing so is not conditional on complaining to [ORGANISATION] first. [DATA PROTECTION GUARDIAN / privacy lead] owns this process.</w:t>
      </w:r>
    </w:p>
    <w:p>
      <w:pPr>
        <w:spacing w:after="110"/>
      </w:pPr>
      <w:r>
        <w:rPr>
          <w:rFonts w:ascii="Calibri" w:cs="Calibri" w:eastAsia="Calibri" w:hAnsi="Calibri"/>
          <w:color w:val="333A45"/>
          <w:sz w:val="21"/>
          <w:szCs w:val="21"/>
        </w:rPr>
        <w:t xml:space="preserve">A9.2 Staff can raise concerns about AI use - bias, safety, misuse, or pressure to bypass controls - outside their line management and without detriment, through [speak-up channel]. Concerns that processing is running without a required notification or authorisation are treated as urgent and routed to the data protection lead and the annex owner the same day.</w:t>
      </w:r>
    </w:p>
    <w:p>
      <w:pPr>
        <w:keepNext/>
        <w:pBdr>
          <w:bottom w:val="single" w:color="9DB9E8" w:sz="4" w:space="3"/>
        </w:pBdr>
        <w:spacing w:after="100" w:before="260"/>
      </w:pPr>
      <w:r>
        <w:rPr>
          <w:rFonts w:ascii="Calibri" w:cs="Calibri" w:eastAsia="Calibri" w:hAnsi="Calibri"/>
          <w:b/>
          <w:bCs/>
          <w:color w:val="2E5AAC"/>
          <w:sz w:val="26"/>
          <w:szCs w:val="26"/>
        </w:rPr>
        <w:t xml:space="preserve">A10. Sector overlay [regulated firms]</w:t>
      </w:r>
    </w:p>
    <w:p>
      <w:pPr>
        <w:spacing w:after="110"/>
      </w:pPr>
      <w:r>
        <w:rPr>
          <w:rFonts w:ascii="Calibri" w:cs="Calibri" w:eastAsia="Calibri" w:hAnsi="Calibri"/>
          <w:color w:val="333A45"/>
          <w:sz w:val="21"/>
          <w:szCs w:val="21"/>
        </w:rPr>
        <w:t xml:space="preserve">A10.1 Where [ORGANISATION] is regulated, the committee maps this annex to the sector's requirements and records the mapping in the inventory and risk register. Financial services firms should note that a separate duty to notify the Central Bank of Bahrain can arise alongside the data protection duties in this annex; that mapping must be verified with the firm's own regulatory advisers and is </w:t>
      </w:r>
      <w:r>
        <w:rPr>
          <w:rFonts w:ascii="Calibri" w:cs="Calibri" w:eastAsia="Calibri" w:hAnsi="Calibri"/>
          <w:b/>
          <w:bCs/>
          <w:color w:val="333A45"/>
          <w:sz w:val="21"/>
          <w:szCs w:val="21"/>
        </w:rPr>
        <w:t xml:space="preserve">not</w:t>
      </w:r>
      <w:r>
        <w:rPr>
          <w:rFonts w:ascii="Calibri" w:cs="Calibri" w:eastAsia="Calibri" w:hAnsi="Calibri"/>
          <w:color w:val="333A45"/>
          <w:sz w:val="21"/>
          <w:szCs w:val="21"/>
        </w:rPr>
        <w:t xml:space="preserve"> asserted here.</w:t>
      </w:r>
    </w:p>
    <w:p>
      <w:pPr>
        <w:spacing w:after="110"/>
      </w:pPr>
      <w:r>
        <w:rPr>
          <w:rFonts w:ascii="Calibri" w:cs="Calibri" w:eastAsia="Calibri" w:hAnsi="Calibri"/>
          <w:i/>
          <w:iCs/>
          <w:color w:val="5A6472"/>
          <w:sz w:val="19"/>
          <w:szCs w:val="19"/>
        </w:rPr>
        <w:t xml:space="preserve">This document is an educational policy template and does not constitute legal advice. It reflects obligations under the Bahraini personal data protection regime as held in the source corpus and must be verified against primary sources - including the authoritative Arabic texts published in the Official Gazette - and reviewed by the data protection lead or Bahraini-qualified legal counsel before adoption.</w:t>
      </w:r>
    </w:p>
    <w:sectPr>
      <w:footerReference w:type="default" r:id="rId7"/>
      <w:pgSz w:w="11906" w:h="16838" w:orient="portrait"/>
      <w:pgMar w:top="1240" w:right="1300" w:bottom="12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DB9E8" w:sz="4" w:space="4"/>
      </w:pBdr>
      <w:jc w:val="center"/>
    </w:pPr>
    <w:r>
      <w:rPr>
        <w:rFonts w:ascii="Calibri" w:cs="Calibri" w:eastAsia="Calibri" w:hAnsi="Calibri"/>
        <w:color w:val="5A6472"/>
        <w:sz w:val="16"/>
        <w:szCs w:val="16"/>
      </w:rPr>
      <w:t xml:space="preserve">AI Governance Enterprise Annex (Bahrain) - v1.0 - Internal   |   Page </w:t>
    </w:r>
    <w:r>
      <w:rPr>
        <w:rFonts w:ascii="Calibri" w:cs="Calibri" w:eastAsia="Calibri" w:hAnsi="Calibri"/>
        <w:color w:val="5A6472"/>
        <w:sz w:val="16"/>
        <w:szCs w:val="16"/>
      </w:rPr>
      <w:fldChar w:fldCharType="begin"/>
      <w:instrText xml:space="preserve">PAGE</w:instrText>
      <w:fldChar w:fldCharType="separate"/>
      <w:fldChar w:fldCharType="end"/>
    </w:r>
    <w:r>
      <w:rPr>
        <w:rFonts w:ascii="Calibri" w:cs="Calibri" w:eastAsia="Calibri" w:hAnsi="Calibri"/>
        <w:color w:val="5A6472"/>
        <w:sz w:val="16"/>
        <w:szCs w:val="16"/>
      </w:rPr>
      <w:t xml:space="preserve"> of </w:t>
    </w:r>
    <w:r>
      <w:rPr>
        <w:rFonts w:ascii="Calibri" w:cs="Calibri" w:eastAsia="Calibri" w:hAnsi="Calibri"/>
        <w:color w:val="5A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rPr>
        <w:color w:val="2E5AAC"/>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A4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Governance - Enterprise Annex - Kingdom of Bahrain</dc:title>
  <dc:creator>Narendra Karki</dc:creator>
  <cp:lastModifiedBy>Narendra Karki</cp:lastModifiedBy>
  <cp:revision>1</cp:revision>
  <dcterms:created xsi:type="dcterms:W3CDTF">2026-08-29T05:11:55.839Z</dcterms:created>
  <dcterms:modified xsi:type="dcterms:W3CDTF">2026-08-29T05:11:55.839Z</dcterms:modified>
</cp:coreProperties>
</file>

<file path=docProps/custom.xml><?xml version="1.0" encoding="utf-8"?>
<Properties xmlns="http://schemas.openxmlformats.org/officeDocument/2006/custom-properties" xmlns:vt="http://schemas.openxmlformats.org/officeDocument/2006/docPropsVTypes"/>
</file>