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AC" w:sz="12" w:space="6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Research note - UK AI Acceptable Use Policy (v1.0) and Enterprise Annex (v1.0)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Purpose: records the primary-source verification behind each obligation, per the project rule that article numbers live in the research record, not the artifact body. Educational, not legal advice.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Sources verified (revised/consolidated texts held in project files)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UK GDPR - Regulation (EU) 2016/679 as it forms part of UK law, revised text "up to date with all changes known to be in force on or before 21 August 2026" (legislation.gov.uk/eur/2016/679).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Data Protection Act 2018, revised text current to 9 July 2026 (legislation.gov.uk/ukpga/2018/12).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Data (Use and Access) Act 2025, c. 18 (legislation.gov.uk/ukpga/2025/18).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DUAA Commencement No. 6 and Transitional and Saving Provisions Regulations 2026 (SI 2026/82).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Equality Act 2010 (legislation.gov.uk/ukpga/2010/15).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Copyright, Designs and Patents Act 1988 (legislation.gov.uk/ukpga/1988/48).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ICO: Guidance on AI and data protection; DUAA overview for organisations; draft automated decision-making guidance (consultation opened March 2026 - WATCH ITEM, final guidance may adjust safeguard expectations).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Verification date: 27 August 2026.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Obligation -&gt; policy clause -&gt; source</w:t>
      </w:r>
    </w:p>
    <w:tbl>
      <w:tblPr>
        <w:tblW w:type="dxa" w:w="9000"/>
        <w:tblBorders>
          <w:top w:val="single" w:color="9DB9E8" w:sz="4"/>
          <w:left w:val="single" w:color="9DB9E8" w:sz="4"/>
          <w:bottom w:val="single" w:color="9DB9E8" w:sz="4"/>
          <w:right w:val="single" w:color="9DB9E8" w:sz="4"/>
          <w:insideH w:val="single" w:color="9DB9E8" w:sz="4"/>
          <w:insideV w:val="single" w:color="9DB9E8" w:sz="4"/>
        </w:tblBorders>
      </w:tblPr>
      <w:tblGrid>
        <w:gridCol w:w="3700"/>
        <w:gridCol w:w="1400"/>
        <w:gridCol w:w="3900"/>
      </w:tblGrid>
      <w:tr>
        <w:trPr>
          <w:tblHeader/>
        </w:trPr>
        <w:tc>
          <w:tcPr>
            <w:tcW w:type="dxa" w:w="3700"/>
            <w:shd w:fill="2E5AA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Obligation (as expressed in artifact)</w:t>
            </w:r>
          </w:p>
        </w:tc>
        <w:tc>
          <w:tcPr>
            <w:tcW w:type="dxa" w:w="1400"/>
            <w:shd w:fill="2E5AA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Clause</w:t>
            </w:r>
          </w:p>
        </w:tc>
        <w:tc>
          <w:tcPr>
            <w:tcW w:type="dxa" w:w="3900"/>
            <w:shd w:fill="2E5AA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and article (verified)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Lawful basis before processing personal data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6.1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UK GDPR Art 6</w:t>
            </w:r>
          </w:p>
        </w:tc>
      </w:tr>
      <w:tr>
        <w:trPr>
          <w:tblHeader w:val="false"/>
        </w:trPr>
        <w:tc>
          <w:tcPr>
            <w:tcW w:type="dxa" w:w="37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Purpose limitation; no training on customer/staff data without assessment</w:t>
            </w:r>
          </w:p>
        </w:tc>
        <w:tc>
          <w:tcPr>
            <w:tcW w:type="dxa" w:w="14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6.2</w:t>
            </w:r>
          </w:p>
        </w:tc>
        <w:tc>
          <w:tcPr>
            <w:tcW w:type="dxa" w:w="39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UK GDPR Art 5(1)(b)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Data minimisation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6.3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UK GDPR Art 5(1)(c)</w:t>
            </w:r>
          </w:p>
        </w:tc>
      </w:tr>
      <w:tr>
        <w:trPr>
          <w:tblHeader w:val="false"/>
        </w:trPr>
        <w:tc>
          <w:tcPr>
            <w:tcW w:type="dxa" w:w="37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DPIA before high-risk processing (large-scale, special category, profiling with significant effects, systematic monitoring)</w:t>
            </w:r>
          </w:p>
        </w:tc>
        <w:tc>
          <w:tcPr>
            <w:tcW w:type="dxa" w:w="14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6.4</w:t>
            </w:r>
          </w:p>
        </w:tc>
        <w:tc>
          <w:tcPr>
            <w:tcW w:type="dxa" w:w="39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UK GDPR Art 35; ICO DPIA high-risk criteria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Individuals' rights not defeated by tool choice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6.5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UK GDPR Arts 15-17</w:t>
            </w:r>
          </w:p>
        </w:tc>
      </w:tr>
      <w:tr>
        <w:trPr>
          <w:tblHeader w:val="false"/>
        </w:trPr>
        <w:tc>
          <w:tcPr>
            <w:tcW w:type="dxa" w:w="37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Special category data - additional condition</w:t>
            </w:r>
          </w:p>
        </w:tc>
        <w:tc>
          <w:tcPr>
            <w:tcW w:type="dxa" w:w="14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6.6</w:t>
            </w:r>
          </w:p>
        </w:tc>
        <w:tc>
          <w:tcPr>
            <w:tcW w:type="dxa" w:w="39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UK GDPR Art 9; DPA 2018 s10 and Sch 1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Transfers outside the UK only with safeguard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6.7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UK GDPR Arts 44-49; NOTE: DUAA replaced the adequacy mechanism with the "data protection test" - new Arts 45A-45B confirmed present in revised text</w:t>
            </w:r>
          </w:p>
        </w:tc>
      </w:tr>
      <w:tr>
        <w:trPr>
          <w:tblHeader w:val="false"/>
        </w:trPr>
        <w:tc>
          <w:tcPr>
            <w:tcW w:type="dxa" w:w="37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Breach notification "within a short statutory period"</w:t>
            </w:r>
          </w:p>
        </w:tc>
        <w:tc>
          <w:tcPr>
            <w:tcW w:type="dxa" w:w="14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6.9 / 11</w:t>
            </w:r>
          </w:p>
        </w:tc>
        <w:tc>
          <w:tcPr>
            <w:tcW w:type="dxa" w:w="39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UK GDPR Art 33 - 72 hours to ICO unless unlikely to result in risk (verified: "not later than 72 hours after having become aware"); Art 34 to individuals where high risk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Human review of significant decisions BEFORE effect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8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STRICTER THAN LAW, DELIBERATELY. UK GDPR Arts 22A-22D (inserted by DUAA, in force): solely-automated significant decisions are now generally permitted; Art 22B restricts them for special category data; Art 22C requires safeguards - inform the individual, enable representations, enable human intervention, enable contest. Policy exceeds this floor by requiring pre-decision meaningful review. Recorded as a conscious design choice.</w:t>
            </w:r>
          </w:p>
        </w:tc>
      </w:tr>
      <w:tr>
        <w:trPr>
          <w:tblHeader w:val="false"/>
        </w:trPr>
        <w:tc>
          <w:tcPr>
            <w:tcW w:type="dxa" w:w="37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Complaints: accessible means, acknowledge within 30 days, respond and inform outcome without undue delay</w:t>
            </w:r>
          </w:p>
        </w:tc>
        <w:tc>
          <w:tcPr>
            <w:tcW w:type="dxa" w:w="14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11; Annex A8.1</w:t>
            </w:r>
          </w:p>
        </w:tc>
        <w:tc>
          <w:tcPr>
            <w:tcW w:type="dxa" w:w="39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DPA 2018 s164A, inserted by DUAA s103 (verified verbatim: "acknowledge receipt of the complaint within the period of 30 days"); s164B (Commissioner notification) is regulation-dependent - not reflected in policy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Non-discrimination in AI-informed decisions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14; Annex A3.1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Equality Act 2010 (direct/indirect discrimination, ss13, 19; PSED s149 where applicable)</w:t>
            </w:r>
          </w:p>
        </w:tc>
      </w:tr>
      <w:tr>
        <w:trPr>
          <w:tblHeader w:val="false"/>
        </w:trPr>
        <w:tc>
          <w:tcPr>
            <w:tcW w:type="dxa" w:w="37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IP: no infringing content; confirm ownership/licensing</w:t>
            </w:r>
          </w:p>
        </w:tc>
        <w:tc>
          <w:tcPr>
            <w:tcW w:type="dxa" w:w="14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12.1</w:t>
            </w:r>
          </w:p>
        </w:tc>
        <w:tc>
          <w:tcPr>
            <w:tcW w:type="dxa" w:w="3900"/>
            <w:shd w:fill="EDF2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CDPA 1988 (note: s9(3) computer-generated works provision exists but authorship/ownership of AI output remains unsettled - hence "confirm before commercial use" rather than a stronger claim)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Monitoring proportionate with notification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Policy 15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A45"/>
                <w:sz w:val="19"/>
                <w:szCs w:val="19"/>
              </w:rPr>
              <w:t xml:space="preserve">UK GDPR Arts 5-6; ICO employment practices and monitoring guidance</w:t>
            </w:r>
          </w:p>
        </w:tc>
      </w:tr>
    </w:tbl>
    <w:p>
      <w:pPr>
        <w:spacing w:after="120"/>
      </w:pP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House standards that EXCEED or sit outside UK statute (flagged, kept knowingly)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Policy 13.1 (tell customers they are interacting with AI): no general UK statutory chatbot-disclosure duty. UK bases: misleading omissions under consumer protection law (DMCC Act 2024 unfair commercial practices) in some contexts; sector rules (e.g. FCA Consumer Duty). Kept as a house standard.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Policy 17.1 training: no UK statutory AI-literacy duty (that is an EU AI Act concept). Drafted without the EU term; kept as good practice.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Policy 8 pre-decision human review: stricter than Arts 22A-22D (above).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Annex provisions - basis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A1 (committee, accountable executive, three lines), A2 (inventory), A3 (lifecycle), A5 (exceptions), A6 (agentic AI), A7 (assurance): good-practice governance controls, not statutory duties; consistent with UK GDPR accountability (Art 5(2), Art 24) and with ISO/IEC 42001-style management review and NIST AI RMF Govern function. No article numbers claimed in body.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A4 (supplier terms): UK GDPR Art 28 processor contract duties underpin the DPA requirement; the AI-specific terms (no training on org data, model-change transparency, exit) are contractual good practice beyond statute.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A8.1: DPA 2018 s164A (above). A9: sector overlay is a pointer, not a mapping - each regulated mapping must be verified separately before publication.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Drafting decisions incorporated before the v1.0 release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1. Section 11 covers incidents and complaints; the complaints paragraph tracks DPA 2018 s164A. Section 16 includes complaints handling. 2. Section 17 avoids "AI literacy" (EU AI Act term) in favour of role-sufficient knowledge and skills.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Watch items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ICO final ADM guidance (consultation March 2026) - review Policy 8 note when published.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DUAA s164B complaints-volume notification regulations - none in force at verification date.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UK government position on AI and copyright (consultation outcome pending) - affects Policy 12.1 research note only.</w:t>
      </w:r>
    </w:p>
    <w:sectPr>
      <w:footerReference w:type="default" r:id="rId7"/>
      <w:pgSz w:w="11906" w:h="16838" w:orient="portrait"/>
      <w:pgMar w:top="1240" w:right="1300" w:bottom="12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DB9E8" w:sz="4" w:space="4"/>
      </w:pBdr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Research note - primary-source verification   |   Page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of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30"/>
      </w:pPr>
      <w:rPr>
        <w:color w:val="2E5AA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A4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Note - UK AI Policy Set</dc:title>
  <dc:creator>Narendra Karki</dc:creator>
  <cp:lastModifiedBy>Narendra Karki</cp:lastModifiedBy>
  <cp:revision>1</cp:revision>
  <dcterms:created xsi:type="dcterms:W3CDTF">2026-08-29T05:11:55.780Z</dcterms:created>
  <dcterms:modified xsi:type="dcterms:W3CDTF">2026-08-29T05:11:55.780Z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