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Source register - AI Risk Registers and Model Inventories walkthrough</w:t>
      </w:r>
    </w:p>
    <w:p>
      <w:pPr>
        <w:pStyle w:val="Author"/>
      </w:pPr>
      <w:r>
        <w:t xml:space="preserve">Narendra Karki</w:t>
      </w:r>
    </w:p>
    <w:p>
      <w:pPr>
        <w:pStyle w:val="FirstParagraph"/>
      </w:pPr>
      <w:r>
        <w:t xml:space="preserve">Every document supplied for, used in, required by, or deliberately not used in producing the walkthrough v1.0, its worked example and its research note.</w:t>
      </w:r>
    </w:p>
    <w:p>
      <w:pPr>
        <w:pStyle w:val="BodyText"/>
      </w:pPr>
      <w:r>
        <w:t xml:space="preserve">State as at</w:t>
      </w:r>
      <w:r>
        <w:t xml:space="preserve"> </w:t>
      </w:r>
      <w:r>
        <w:rPr>
          <w:bCs/>
          <w:b/>
        </w:rPr>
        <w:t xml:space="preserve">21 September 2026</w:t>
      </w:r>
      <w:r>
        <w:t xml:space="preserve">. Hashes are SHA-256 of the file as supplied, truncated to 16 characters.</w:t>
      </w:r>
    </w:p>
    <w:p>
      <w:r>
        <w:pict>
          <v:rect style="width:0;height:1.5pt" o:hralign="center" o:hrstd="t" o:hr="t"/>
        </w:pict>
      </w:r>
    </w:p>
    <w:bookmarkStart w:id="20" w:name="primary-law---held-and-cited"/>
    <w:p>
      <w:pPr>
        <w:pStyle w:val="Heading2"/>
      </w:pPr>
      <w:r>
        <w:t xml:space="preserve">1. Primary law - HELD AND CITED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Provisions cited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Regulation (EU) 2024/1689 - consolidated</w:t>
            </w:r>
            <w:r>
              <w:t xml:space="preserve"> </w:t>
            </w:r>
            <w:r>
              <w:t xml:space="preserve">(Artificial Intelligence Act)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02024R1689-20260727</w:t>
            </w:r>
            <w:r>
              <w:t xml:space="preserve">; consolidation stamp</w:t>
            </w:r>
            <w:r>
              <w:t xml:space="preserve"> </w:t>
            </w:r>
            <w:r>
              <w:rPr>
                <w:rStyle w:val="VerbatimChar"/>
              </w:rPr>
              <w:t xml:space="preserve">02024R1689 - EN - 27.07.2026 - 001.001</w:t>
            </w:r>
            <w:r>
              <w:t xml:space="preserve"> </w:t>
            </w:r>
            <w:r>
              <w:t xml:space="preserve">on every page; supplied as</w:t>
            </w:r>
            <w:r>
              <w:t xml:space="preserve"> </w:t>
            </w:r>
            <w:r>
              <w:rPr>
                <w:rStyle w:val="VerbatimChar"/>
              </w:rPr>
              <w:t xml:space="preserve">EU_AI_Act_consolidated_02024R1689-20260727.pdf</w:t>
            </w:r>
            <w:r>
              <w:t xml:space="preserve">, 151 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1ccd38d1c78482cf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Arts 2(1)(a)-(c), 2(8), 3(1)-(4), 3(11)-(13), 3(23), 3(49), 4(1), 5(1)(a)-(b), 6(2)-(4), 9(1)-(3), 9(5), 9(9)-(10), 12(1)-(2), 15(5), 16(c)-(e), (i)-(j), 17(1)-(2), 18(1), 25(1)-(2), 25(4), 26(1)-(2), 26(4)-(7), 26(9), 26(11), 27(1), 49(1)-(3), 50(1), 50(5), 71(1)-(2), 71(4), 72(1)-(3), 73(1)-(6), 113; Annex III points 4(a), 4(b), 5(b); Annex VIII Sections A and B</w:t>
            </w:r>
          </w:p>
        </w:tc>
      </w:tr>
    </w:tbl>
    <w:p>
      <w:pPr>
        <w:pStyle w:val="BodyText"/>
      </w:pPr>
      <w:r>
        <w:t xml:space="preserve">Read on 18 September 2026; Art 15(5) read on 21 September 2026 for R23 and R24. The file is byte-identical to the one read for Parts 2 and 3 (same hash).</w:t>
      </w:r>
    </w:p>
    <w:bookmarkEnd w:id="20"/>
    <w:bookmarkStart w:id="21" w:name="b.-framework-source---held-and-cited"/>
    <w:p>
      <w:pPr>
        <w:pStyle w:val="Heading2"/>
      </w:pPr>
      <w:r>
        <w:t xml:space="preserve">1b. Framework source - HELD AND CITED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NIST AI 100-1</w:t>
            </w:r>
            <w:r>
              <w:t xml:space="preserve">, Artificial Intelligence Risk Management Framework (AI RMF 1.0)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2023; 48 pp; PDF metadata title</w:t>
            </w:r>
            <w:r>
              <w:t xml:space="preserve"> </w:t>
            </w:r>
            <w:r>
              <w:rPr>
                <w:rStyle w:val="VerbatimChar"/>
              </w:rPr>
              <w:t xml:space="preserve">Artificial Intelligence Risk Management Framework (AI RMF 1.0)</w:t>
            </w:r>
            <w:r>
              <w:t xml:space="preserve">, author</w:t>
            </w:r>
            <w:r>
              <w:t xml:space="preserve"> </w:t>
            </w:r>
            <w:r>
              <w:rPr>
                <w:rStyle w:val="VerbatimChar"/>
              </w:rPr>
              <w:t xml:space="preserve">National Institute of Standards and Technology</w:t>
            </w:r>
            <w:r>
              <w:t xml:space="preserve">, created 24 January 2023; supplied as</w:t>
            </w:r>
            <w:r>
              <w:t xml:space="preserve"> </w:t>
            </w:r>
            <w:r>
              <w:rPr>
                <w:rStyle w:val="VerbatimChar"/>
              </w:rPr>
              <w:t xml:space="preserve">NIST.AI.100-1.pdf</w:t>
            </w:r>
            <w:r>
              <w:t xml:space="preserve"> </w:t>
            </w:r>
            <w:r>
              <w:t xml:space="preserve">(1,945,980 bytes)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1607a122bbdb6caf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sixteen subcategory texts in the research note’s framework mapping (GOVERN 1.5, 1.6, 1.7, 2.1, 6.1; MAP 1.1, 1.5, 4.1, 5.1; MEASURE 1.1, 3.1; MANAGE 1.2, 1.3, 2.4, 3.1, 4.1) and the Executive Summary quotation</w:t>
            </w:r>
          </w:p>
        </w:tc>
      </w:tr>
    </w:tbl>
    <w:p>
      <w:pPr>
        <w:pStyle w:val="BodyText"/>
      </w:pPr>
      <w:r>
        <w:t xml:space="preserve">Supplied by the author and held on 21 September 2026.</w:t>
      </w:r>
      <w:r>
        <w:t xml:space="preserve"> </w:t>
      </w:r>
      <w:r>
        <w:rPr>
          <w:bCs/>
          <w:b/>
        </w:rPr>
        <w:t xml:space="preserve">Gate closed:</w:t>
      </w:r>
      <w:r>
        <w:t xml:space="preserve"> </w:t>
      </w:r>
      <w:r>
        <w:t xml:space="preserve">each of the sixteen subcategory texts quoted in the research note was checked against the held file on 21 September 2026 and matches word for word; the Core table page references (GOVERN p. 22, MAP p. 26, MEASURE p. 29, MANAGE p. 32, printed numbering) are confirmed. No text in the research note changed as a result.</w:t>
      </w:r>
    </w:p>
    <w:bookmarkEnd w:id="21"/>
    <w:bookmarkStart w:id="22" w:name="a.-primary-law---not-re-held"/>
    <w:p>
      <w:pPr>
        <w:pStyle w:val="Heading2"/>
      </w:pPr>
      <w:r>
        <w:t xml:space="preserve">1a. Primary law - NOT RE-HELD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Regulation (EU) 2026/1744</w:t>
            </w:r>
            <w:r>
              <w:t xml:space="preserve"> </w:t>
            </w:r>
            <w:r>
              <w:t xml:space="preserve">(Digital Omnibus on 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OJ L 2026/1744, 24.7.2026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re-supplied. The consolidation’s</w:t>
            </w:r>
            <w:r>
              <w:t xml:space="preserve"> </w:t>
            </w:r>
            <w:r>
              <w:rPr>
                <w:rStyle w:val="VerbatimChar"/>
              </w:rPr>
              <w:t xml:space="preserve">M1</w:t>
            </w:r>
            <w:r>
              <w:t xml:space="preserve"> </w:t>
            </w:r>
            <w:r>
              <w:t xml:space="preserve">markers were relied on; the omnibus text was read for Part 2 from file</w:t>
            </w:r>
            <w:r>
              <w:t xml:space="preserve"> </w:t>
            </w:r>
            <w:r>
              <w:rPr>
                <w:rStyle w:val="VerbatimChar"/>
              </w:rPr>
              <w:t xml:space="preserve">21919e56c5d0d4e3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Regulation (EU) 2016/679</w:t>
            </w:r>
            <w:r>
              <w:t xml:space="preserve"> </w:t>
            </w:r>
            <w:r>
              <w:t xml:space="preserve">(GDPR), Arts 30 and 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EUR-Lex consolidated text CELEX</w:t>
            </w:r>
            <w:r>
              <w:t xml:space="preserve"> </w:t>
            </w:r>
            <w:r>
              <w:rPr>
                <w:rStyle w:val="VerbatimChar"/>
              </w:rPr>
              <w:t xml:space="preserve">02016R0679-20160504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through a text extraction from EUR-Lex on 18 September 2026; not held as a file. Cited as the inventory’s analogue only; no GDPR duty is stated as a rule in the artifact body</w:t>
            </w:r>
          </w:p>
        </w:tc>
      </w:tr>
    </w:tbl>
    <w:bookmarkEnd w:id="22"/>
    <w:bookmarkStart w:id="23" w:name="framework-sources---read-not-held"/>
    <w:p>
      <w:pPr>
        <w:pStyle w:val="Heading2"/>
      </w:pPr>
      <w:r>
        <w:t xml:space="preserve">2. Framework sources - READ, NOT HELD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ISO/IEC 42001:2023</w:t>
            </w:r>
            <w:r>
              <w:t xml:space="preserve"> </w:t>
            </w:r>
            <w:r>
              <w:t xml:space="preserve">Information technology - Artificial intelligence - Management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ed. 1, December 2023, 51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held (paid standard). Title, edition, date and page count confirmed from the ISO catalogue page on 18 September 2026. No clause or Annex A content is asserted anywhere in the artifact</w:t>
            </w:r>
          </w:p>
        </w:tc>
      </w:tr>
    </w:tbl>
    <w:bookmarkEnd w:id="23"/>
    <w:bookmarkStart w:id="24" w:name="X5ab421e39b58bc67a76e577acd4d9b1f072b027"/>
    <w:p>
      <w:pPr>
        <w:pStyle w:val="Heading2"/>
      </w:pPr>
      <w:r>
        <w:t xml:space="preserve">3. Existence and currency checks - WEB, not authority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 Algorithmic Transparency Recording Standard hub, GOV.UK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September 2026; latest update shown 8 May 2025; mandatory for government departments and arm’s-length bodies delivering public or frontline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note only, as a real-world example of a mandated public-sector inventory. Not cited in the artifact body</w:t>
            </w:r>
          </w:p>
        </w:tc>
      </w:tr>
    </w:tbl>
    <w:bookmarkEnd w:id="24"/>
    <w:bookmarkStart w:id="25" w:name="documents-produced-and-their-inputs"/>
    <w:p>
      <w:pPr>
        <w:pStyle w:val="Heading2"/>
      </w:pPr>
      <w:r>
        <w:t xml:space="preserve">4. Documents PRODUCED and their inputs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AI_Risk_Register_Walkthrough.md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AI Act positions verified against row 1, 18 Sep 2026; NIST positions verified against row 4, 21 Sep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AI_Risk_Register_Worked_Example.md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Tables transcribed from the Excel workbook’s sheets; summary counts re-derived 21 Sep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AI_Risk_Register_Research_Note.md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Citations with B/M1 markers, corrections, framework mapping, choices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AI_Risk_Register_Source_Register.md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register/AI_Risk_Register_and_Inventory.xlsx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single published record: six synthetic systems and twenty-four synthetic risks, a Read Me glossary, a Summary sheet, both records with colour-coded severity bands, and two blank templates with live score and band formulas. The banding is the worked example’s scale (section 2). SHA-256</w:t>
            </w:r>
            <w:r>
              <w:t xml:space="preserve"> </w:t>
            </w:r>
            <w:r>
              <w:rPr>
                <w:rStyle w:val="VerbatimChar"/>
              </w:rPr>
              <w:t xml:space="preserve">8009611e806410d0</w:t>
            </w:r>
            <w:r>
              <w:t xml:space="preserve"> </w:t>
            </w:r>
            <w:r>
              <w:t xml:space="preserve">(1.0 was built from separate CSV working files, since folded into this one file; 22 Sep 2026: the working-file references removed from the Read Me sheet, the author metadata corrected from a leftover</w:t>
            </w:r>
            <w:r>
              <w:t xml:space="preserve"> </w:t>
            </w:r>
            <w:r>
              <w:rPr>
                <w:rStyle w:val="VerbatimChar"/>
              </w:rPr>
              <w:t xml:space="preserve">openpyxl</w:t>
            </w:r>
            <w:r>
              <w:t xml:space="preserve"> </w:t>
            </w:r>
            <w:r>
              <w:t xml:space="preserve">creator tag to Narendra Karki, and the three rating columns re-stored as numbers rather than text after an independent formula check - every score and band was already evaluating correctly by text coercion, but numbers are what sorting, filtering and a user’s own edits need)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downloads/*.docx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 exports</w:t>
            </w:r>
          </w:p>
        </w:tc>
      </w:tr>
    </w:tbl>
    <w:bookmarkEnd w:id="25"/>
    <w:bookmarkStart w:id="26" w:name="Xefc64f398b693e266b8e46b2059fbd280a3fdb6"/>
    <w:p>
      <w:pPr>
        <w:pStyle w:val="Heading2"/>
      </w:pPr>
      <w:r>
        <w:t xml:space="preserve">5. HELD BUT NOT USED - outside this artifact’s scope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held, why not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UK GDPR, Data Protection Act 2018, Data (Use and Access) Act 2025; ICO guidance</w:t>
            </w:r>
            <w:r>
              <w:t xml:space="preserve"> </w:t>
            </w:r>
            <w:r>
              <w:t xml:space="preserve">(as supplied to the project)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Held for Part 1. The worked example’s group is UK-headquartered, and every UK duty that reaches its systems is pointed to through the Part 1 UK policy rather than restated here. The UK inventory analogue (the record of processing under UK GDPR Art 30) mirrors the EU one and is not separately stated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 1 policy sets</w:t>
            </w:r>
            <w:r>
              <w:t xml:space="preserve"> </w:t>
            </w:r>
            <w:r>
              <w:t xml:space="preserve">- UK, Bahrain, Saudi Arabia, UAE, India, Singapore, Australia, 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inventory row’s</w:t>
            </w:r>
            <w:r>
              <w:t xml:space="preserve"> </w:t>
            </w:r>
            <w:r>
              <w:t xml:space="preserve">“</w:t>
            </w:r>
            <w:r>
              <w:t xml:space="preserve">other laws</w:t>
            </w:r>
            <w:r>
              <w:t xml:space="preserve">”</w:t>
            </w:r>
            <w:r>
              <w:t xml:space="preserve"> </w:t>
            </w:r>
            <w:r>
              <w:t xml:space="preserve">field points to the relevant Part 1 policy rather than restating it. Nothing about those jurisdictions’ law is asserted here beyond the pointer. The Saudi set is published within its stated government-data scope</w:t>
            </w:r>
          </w:p>
        </w:tc>
      </w:tr>
    </w:tbl>
    <w:bookmarkEnd w:id="26"/>
    <w:bookmarkStart w:id="27" w:name="Xb13456286d48e6835e46b561bdfb7ee703fb7b5"/>
    <w:p>
      <w:pPr>
        <w:pStyle w:val="Heading2"/>
      </w:pPr>
      <w:r>
        <w:t xml:space="preserve">6. NOT HELD - the gaps that shape what this artifact can say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 is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ISO/IEC 42001:2023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as the AI management-system standard; nothing about its content is asserted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Commission guidelines under Art 6(5)</w:t>
            </w:r>
            <w:r>
              <w:t xml:space="preserve"> </w:t>
            </w:r>
            <w:r>
              <w:t xml:space="preserve">on high-risk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 of S2 and S6 rests on the Annex III text and the profiling rule alone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 72(3) post-market monitoring template</w:t>
            </w:r>
            <w:r>
              <w:t xml:space="preserve"> </w:t>
            </w:r>
            <w:r>
              <w:t xml:space="preserve">(due 2 September 2027)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Post-market monitoring described by its statutory content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EU consumer law on personalised-pricing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R15 is stated as unverified and its mitigation is</w:t>
            </w:r>
            <w:r>
              <w:t xml:space="preserve"> </w:t>
            </w:r>
            <w:r>
              <w:t xml:space="preserve">“</w:t>
            </w:r>
            <w:r>
              <w:t xml:space="preserve">legal verification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Any Commission guidance on Art 4 AI literacy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duty is stated from the Article alone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4 of the AI Governance Series - github.com/NarendraKarki/ai-governance. Educational, not legal advice.</w:t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val="1F4E79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1F4E79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1F4E79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1F4E79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val="1F4E79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Office Word</Application>
  <CharactersWithSpaces>583</CharactersWithSpaces>
  <Template>Normal.dotm</Template>
  <DocSecurity>0</DocSecurity>
  <TotalTime>0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register - AI Risk Registers and Model Inventories walkthrough</dc:title>
  <dc:creator>Narendra Karki</dc:creator>
  <cp:lastModifiedBy>Narendra Karki</cp:lastModifiedBy>
  <cp:keywords/>
  <dcterms:created xsi:type="dcterms:W3CDTF">2026-09-22T05:41:33Z</dcterms:created>
  <dcterms:modified xsi:type="dcterms:W3CDTF">2026-09-22T05:41:33Z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