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Source register - Canada AI policy set</w:t>
      </w:r>
    </w:p>
    <w:p>
      <w:pPr>
        <w:spacing w:after="120"/>
      </w:pPr>
      <w:r>
        <w:rPr>
          <w:b/>
          <w:bCs/>
        </w:rPr>
        <w:t xml:space="preserve">Built:</w:t>
      </w:r>
      <w:r>
        <w:t xml:space="preserve"> 3 September 2026</w:t>
      </w:r>
    </w:p>
    <w:p>
      <w:pPr>
        <w:spacing w:after="120"/>
      </w:pPr>
      <w:r>
        <w:rPr>
          <w:b/>
          <w:bCs/>
        </w:rPr>
        <w:t xml:space="preserve">Rule:</w:t>
      </w:r>
      <w:r>
        <w:t xml:space="preserve"> primary sources only - legislature, gazette or regulator. Web content may raise doubt; it never becomes authority. Nothing is asserted that is not held.</w:t>
      </w:r>
    </w:p>
    <w:p>
      <w:pPr>
        <w:pStyle w:val="Heading1"/>
        <w:spacing w:after="120" w:before="280"/>
      </w:pPr>
      <w:r>
        <w:rPr>
          <w:color w:val="2E74B5"/>
        </w:rPr>
        <w:t xml:space="preserve">1. Held - Tier 1: enacted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EEAF6" w:color="auto" w:val="clear"/>
            <w:tcMar>
              <w:top w:type="dxa" w:w="60"/>
              <w:left w:type="dxa" w:w="100"/>
              <w:bottom w:type="dxa" w:w="60"/>
              <w:right w:type="dxa" w:w="100"/>
            </w:tcMar>
          </w:tcPr>
          <w:p>
            <w:r>
              <w:rPr>
                <w:b/>
                <w:bCs/>
                <w:sz w:val="18"/>
                <w:szCs w:val="18"/>
              </w:rPr>
              <w:t xml:space="preserve">Instrument</w:t>
            </w:r>
          </w:p>
        </w:tc>
        <w:tc>
          <w:tcPr>
            <w:tcW w:type="dxa" w:w="1560"/>
            <w:shd w:fill="DEEAF6" w:color="auto" w:val="clear"/>
            <w:tcMar>
              <w:top w:type="dxa" w:w="60"/>
              <w:left w:type="dxa" w:w="100"/>
              <w:bottom w:type="dxa" w:w="60"/>
              <w:right w:type="dxa" w:w="100"/>
            </w:tcMar>
          </w:tcPr>
          <w:p>
            <w:r>
              <w:rPr>
                <w:b/>
                <w:bCs/>
                <w:sz w:val="18"/>
                <w:szCs w:val="18"/>
              </w:rPr>
              <w:t xml:space="preserve">Identifier</w:t>
            </w:r>
          </w:p>
        </w:tc>
        <w:tc>
          <w:tcPr>
            <w:tcW w:type="dxa" w:w="1560"/>
            <w:shd w:fill="DEEAF6" w:color="auto" w:val="clear"/>
            <w:tcMar>
              <w:top w:type="dxa" w:w="60"/>
              <w:left w:type="dxa" w:w="100"/>
              <w:bottom w:type="dxa" w:w="60"/>
              <w:right w:type="dxa" w:w="100"/>
            </w:tcMar>
          </w:tcPr>
          <w:p>
            <w:r>
              <w:rPr>
                <w:b/>
                <w:bCs/>
                <w:sz w:val="18"/>
                <w:szCs w:val="18"/>
              </w:rPr>
              <w:t xml:space="preserve">Version</w:t>
            </w:r>
          </w:p>
        </w:tc>
        <w:tc>
          <w:tcPr>
            <w:tcW w:type="dxa" w:w="1560"/>
            <w:shd w:fill="DEEAF6" w:color="auto" w:val="clear"/>
            <w:tcMar>
              <w:top w:type="dxa" w:w="60"/>
              <w:left w:type="dxa" w:w="100"/>
              <w:bottom w:type="dxa" w:w="60"/>
              <w:right w:type="dxa" w:w="100"/>
            </w:tcMar>
          </w:tcPr>
          <w:p>
            <w:r>
              <w:rPr>
                <w:b/>
                <w:bCs/>
                <w:sz w:val="18"/>
                <w:szCs w:val="18"/>
              </w:rPr>
              <w:t xml:space="preserve">Source</w:t>
            </w:r>
          </w:p>
        </w:tc>
        <w:tc>
          <w:tcPr>
            <w:tcW w:type="dxa" w:w="1560"/>
            <w:shd w:fill="DEEAF6" w:color="auto" w:val="clear"/>
            <w:tcMar>
              <w:top w:type="dxa" w:w="60"/>
              <w:left w:type="dxa" w:w="100"/>
              <w:bottom w:type="dxa" w:w="60"/>
              <w:right w:type="dxa" w:w="100"/>
            </w:tcMar>
          </w:tcPr>
          <w:p>
            <w:r>
              <w:rPr>
                <w:b/>
                <w:bCs/>
                <w:sz w:val="18"/>
                <w:szCs w:val="18"/>
              </w:rPr>
              <w:t xml:space="preserve">SHA-256 (16)</w:t>
            </w:r>
          </w:p>
        </w:tc>
        <w:tc>
          <w:tcPr>
            <w:tcW w:type="dxa" w:w="1560"/>
            <w:shd w:fill="DEEAF6" w:color="auto" w:val="clear"/>
            <w:tcMar>
              <w:top w:type="dxa" w:w="60"/>
              <w:left w:type="dxa" w:w="100"/>
              <w:bottom w:type="dxa" w:w="60"/>
              <w:right w:type="dxa" w:w="100"/>
            </w:tcMar>
          </w:tcPr>
          <w:p>
            <w:r>
              <w:rPr>
                <w:b/>
                <w:bCs/>
                <w:sz w:val="18"/>
                <w:szCs w:val="18"/>
              </w:rPr>
              <w:t xml:space="preserve">Read</w:t>
            </w:r>
          </w:p>
        </w:tc>
      </w:tr>
      <w:tr>
        <w:trPr>
          <w:tblHeader w:val="false"/>
        </w:trPr>
        <w:tc>
          <w:tcPr>
            <w:tcW w:type="dxa" w:w="1560"/>
            <w:tcMar>
              <w:top w:type="dxa" w:w="60"/>
              <w:left w:type="dxa" w:w="100"/>
              <w:bottom w:type="dxa" w:w="60"/>
              <w:right w:type="dxa" w:w="100"/>
            </w:tcMar>
          </w:tcPr>
          <w:p>
            <w:r>
              <w:rPr>
                <w:b w:val="false"/>
                <w:bCs w:val="false"/>
                <w:sz w:val="18"/>
                <w:szCs w:val="18"/>
              </w:rPr>
              <w:t xml:space="preserve">Personal Information Protection and Electronic Documents Act</w:t>
            </w:r>
          </w:p>
        </w:tc>
        <w:tc>
          <w:tcPr>
            <w:tcW w:type="dxa" w:w="1560"/>
            <w:tcMar>
              <w:top w:type="dxa" w:w="60"/>
              <w:left w:type="dxa" w:w="100"/>
              <w:bottom w:type="dxa" w:w="60"/>
              <w:right w:type="dxa" w:w="100"/>
            </w:tcMar>
          </w:tcPr>
          <w:p>
            <w:r>
              <w:rPr>
                <w:b w:val="false"/>
                <w:bCs w:val="false"/>
                <w:sz w:val="18"/>
                <w:szCs w:val="18"/>
              </w:rPr>
              <w:t xml:space="preserve">S.C. 2000, c. 5</w:t>
            </w:r>
          </w:p>
        </w:tc>
        <w:tc>
          <w:tcPr>
            <w:tcW w:type="dxa" w:w="1560"/>
            <w:tcMar>
              <w:top w:type="dxa" w:w="60"/>
              <w:left w:type="dxa" w:w="100"/>
              <w:bottom w:type="dxa" w:w="60"/>
              <w:right w:type="dxa" w:w="100"/>
            </w:tcMar>
          </w:tcPr>
          <w:p>
            <w:r>
              <w:rPr>
                <w:b w:val="false"/>
                <w:bCs w:val="false"/>
                <w:sz w:val="18"/>
                <w:szCs w:val="18"/>
              </w:rPr>
              <w:t xml:space="preserve">Consolidation current to 21 June 2026, last amended 4 March 2025</w:t>
            </w:r>
          </w:p>
        </w:tc>
        <w:tc>
          <w:tcPr>
            <w:tcW w:type="dxa" w:w="1560"/>
            <w:tcMar>
              <w:top w:type="dxa" w:w="60"/>
              <w:left w:type="dxa" w:w="100"/>
              <w:bottom w:type="dxa" w:w="60"/>
              <w:right w:type="dxa" w:w="100"/>
            </w:tcMar>
          </w:tcPr>
          <w:p>
            <w:r>
              <w:rPr>
                <w:b w:val="false"/>
                <w:bCs w:val="false"/>
                <w:sz w:val="18"/>
                <w:szCs w:val="18"/>
              </w:rPr>
              <w:t xml:space="preserve">Justice Laws Website (laws-lois.justice.gc.ca), Minister of Justice; published consolidations are evidence of the statute under the Legislation Revision and Consolidation Act s 31</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9105d903c34c709a</w:t>
            </w:r>
          </w:p>
        </w:tc>
        <w:tc>
          <w:tcPr>
            <w:tcW w:type="dxa" w:w="1560"/>
            <w:tcMar>
              <w:top w:type="dxa" w:w="60"/>
              <w:left w:type="dxa" w:w="100"/>
              <w:bottom w:type="dxa" w:w="60"/>
              <w:right w:type="dxa" w:w="100"/>
            </w:tcMar>
          </w:tcPr>
          <w:p>
            <w:r>
              <w:rPr>
                <w:b w:val="false"/>
                <w:bCs w:val="false"/>
                <w:sz w:val="18"/>
                <w:szCs w:val="18"/>
              </w:rPr>
              <w:t xml:space="preserve">ss 2, 4, 5, 6.1, 7(1), 8, 10.1, 10.3, 26, 28; Schedule 1 in full</w:t>
            </w:r>
          </w:p>
        </w:tc>
      </w:tr>
      <w:tr>
        <w:trPr>
          <w:tblHeader w:val="false"/>
        </w:trPr>
        <w:tc>
          <w:tcPr>
            <w:tcW w:type="dxa" w:w="1560"/>
            <w:tcMar>
              <w:top w:type="dxa" w:w="60"/>
              <w:left w:type="dxa" w:w="100"/>
              <w:bottom w:type="dxa" w:w="60"/>
              <w:right w:type="dxa" w:w="100"/>
            </w:tcMar>
          </w:tcPr>
          <w:p>
            <w:r>
              <w:rPr>
                <w:b w:val="false"/>
                <w:bCs w:val="false"/>
                <w:sz w:val="18"/>
                <w:szCs w:val="18"/>
              </w:rPr>
              <w:t xml:space="preserve">An Act to modernize legislative provisions as regards the protection of personal information (Law 25)</w:t>
            </w:r>
          </w:p>
        </w:tc>
        <w:tc>
          <w:tcPr>
            <w:tcW w:type="dxa" w:w="1560"/>
            <w:tcMar>
              <w:top w:type="dxa" w:w="60"/>
              <w:left w:type="dxa" w:w="100"/>
              <w:bottom w:type="dxa" w:w="60"/>
              <w:right w:type="dxa" w:w="100"/>
            </w:tcMar>
          </w:tcPr>
          <w:p>
            <w:r>
              <w:rPr>
                <w:b w:val="false"/>
                <w:bCs w:val="false"/>
                <w:sz w:val="18"/>
                <w:szCs w:val="18"/>
              </w:rPr>
              <w:t xml:space="preserve">S.Q. 2021, c. 25</w:t>
            </w:r>
          </w:p>
        </w:tc>
        <w:tc>
          <w:tcPr>
            <w:tcW w:type="dxa" w:w="1560"/>
            <w:tcMar>
              <w:top w:type="dxa" w:w="60"/>
              <w:left w:type="dxa" w:w="100"/>
              <w:bottom w:type="dxa" w:w="60"/>
              <w:right w:type="dxa" w:w="100"/>
            </w:tcMar>
          </w:tcPr>
          <w:p>
            <w:r>
              <w:rPr>
                <w:b w:val="false"/>
                <w:bCs w:val="false"/>
                <w:sz w:val="18"/>
                <w:szCs w:val="18"/>
              </w:rPr>
              <w:t xml:space="preserve">Annual statutes, English, assented 22 September 2021</w:t>
            </w:r>
          </w:p>
        </w:tc>
        <w:tc>
          <w:tcPr>
            <w:tcW w:type="dxa" w:w="1560"/>
            <w:tcMar>
              <w:top w:type="dxa" w:w="60"/>
              <w:left w:type="dxa" w:w="100"/>
              <w:bottom w:type="dxa" w:w="60"/>
              <w:right w:type="dxa" w:w="100"/>
            </w:tcMar>
          </w:tcPr>
          <w:p>
            <w:r>
              <w:rPr>
                <w:b w:val="false"/>
                <w:bCs w:val="false"/>
                <w:sz w:val="18"/>
                <w:szCs w:val="18"/>
              </w:rPr>
              <w:t xml:space="preserve">Publications du Québec (Éditeur officiel du Québec)</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d334679d66bc7dc2</w:t>
            </w:r>
          </w:p>
        </w:tc>
        <w:tc>
          <w:tcPr>
            <w:tcW w:type="dxa" w:w="1560"/>
            <w:tcMar>
              <w:top w:type="dxa" w:w="60"/>
              <w:left w:type="dxa" w:w="100"/>
              <w:bottom w:type="dxa" w:w="60"/>
              <w:right w:type="dxa" w:w="100"/>
            </w:tcMar>
          </w:tcPr>
          <w:p>
            <w:r>
              <w:rPr>
                <w:b w:val="false"/>
                <w:bCs w:val="false"/>
                <w:sz w:val="18"/>
                <w:szCs w:val="18"/>
              </w:rPr>
              <w:t xml:space="preserve">ss 100 to 119 (private-sector Act amendments), 150 to 161 (Commission powers, penalties), 175 (coming into force)</w:t>
            </w:r>
          </w:p>
        </w:tc>
      </w:tr>
    </w:tbl>
    <w:p>
      <w:pPr>
        <w:spacing w:after="120"/>
      </w:pPr>
    </w:p>
    <w:p>
      <w:pPr>
        <w:spacing w:after="120"/>
      </w:pPr>
      <w:r>
        <w:rPr>
          <w:b/>
          <w:bCs/>
        </w:rPr>
        <w:t xml:space="preserve">Authoritative status.</w:t>
      </w:r>
      <w:r>
        <w:t xml:space="preserve"> The PIPEDA consolidation is bilingual; the English column was extracted and read. Law 25 is held in the official English annual-statute text; Quebec statutes are enacted in both languages with equal authority.</w:t>
      </w:r>
    </w:p>
    <w:p>
      <w:pPr>
        <w:pStyle w:val="Heading1"/>
        <w:spacing w:after="120" w:before="280"/>
      </w:pPr>
      <w:r>
        <w:rPr>
          <w:color w:val="2E74B5"/>
        </w:rPr>
        <w:t xml:space="preserve">2. Held - Tier 2: regulator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EEAF6" w:color="auto" w:val="clear"/>
            <w:tcMar>
              <w:top w:type="dxa" w:w="60"/>
              <w:left w:type="dxa" w:w="100"/>
              <w:bottom w:type="dxa" w:w="60"/>
              <w:right w:type="dxa" w:w="100"/>
            </w:tcMar>
          </w:tcPr>
          <w:p>
            <w:r>
              <w:rPr>
                <w:b/>
                <w:bCs/>
                <w:sz w:val="18"/>
                <w:szCs w:val="18"/>
              </w:rPr>
              <w:t xml:space="preserve">Document</w:t>
            </w:r>
          </w:p>
        </w:tc>
        <w:tc>
          <w:tcPr>
            <w:tcW w:type="dxa" w:w="1872"/>
            <w:shd w:fill="DEEAF6" w:color="auto" w:val="clear"/>
            <w:tcMar>
              <w:top w:type="dxa" w:w="60"/>
              <w:left w:type="dxa" w:w="100"/>
              <w:bottom w:type="dxa" w:w="60"/>
              <w:right w:type="dxa" w:w="100"/>
            </w:tcMar>
          </w:tcPr>
          <w:p>
            <w:r>
              <w:rPr>
                <w:b/>
                <w:bCs/>
                <w:sz w:val="18"/>
                <w:szCs w:val="18"/>
              </w:rPr>
              <w:t xml:space="preserve">Publisher</w:t>
            </w:r>
          </w:p>
        </w:tc>
        <w:tc>
          <w:tcPr>
            <w:tcW w:type="dxa" w:w="1872"/>
            <w:shd w:fill="DEEAF6" w:color="auto" w:val="clear"/>
            <w:tcMar>
              <w:top w:type="dxa" w:w="60"/>
              <w:left w:type="dxa" w:w="100"/>
              <w:bottom w:type="dxa" w:w="60"/>
              <w:right w:type="dxa" w:w="100"/>
            </w:tcMar>
          </w:tcPr>
          <w:p>
            <w:r>
              <w:rPr>
                <w:b/>
                <w:bCs/>
                <w:sz w:val="18"/>
                <w:szCs w:val="18"/>
              </w:rPr>
              <w:t xml:space="preserve">Date</w:t>
            </w:r>
          </w:p>
        </w:tc>
        <w:tc>
          <w:tcPr>
            <w:tcW w:type="dxa" w:w="1872"/>
            <w:shd w:fill="DEEAF6" w:color="auto" w:val="clear"/>
            <w:tcMar>
              <w:top w:type="dxa" w:w="60"/>
              <w:left w:type="dxa" w:w="100"/>
              <w:bottom w:type="dxa" w:w="60"/>
              <w:right w:type="dxa" w:w="100"/>
            </w:tcMar>
          </w:tcPr>
          <w:p>
            <w:r>
              <w:rPr>
                <w:b/>
                <w:bCs/>
                <w:sz w:val="18"/>
                <w:szCs w:val="18"/>
              </w:rPr>
              <w:t xml:space="preserve">SHA-256 (16)</w:t>
            </w:r>
          </w:p>
        </w:tc>
        <w:tc>
          <w:tcPr>
            <w:tcW w:type="dxa" w:w="1872"/>
            <w:shd w:fill="DEEAF6" w:color="auto" w:val="clear"/>
            <w:tcMar>
              <w:top w:type="dxa" w:w="60"/>
              <w:left w:type="dxa" w:w="100"/>
              <w:bottom w:type="dxa" w:w="60"/>
              <w:right w:type="dxa" w:w="100"/>
            </w:tcMar>
          </w:tcPr>
          <w:p>
            <w:r>
              <w:rPr>
                <w:b/>
                <w:bCs/>
                <w:sz w:val="18"/>
                <w:szCs w:val="18"/>
              </w:rPr>
              <w:t xml:space="preserve">Role in the set</w:t>
            </w:r>
          </w:p>
        </w:tc>
      </w:tr>
      <w:tr>
        <w:trPr>
          <w:tblHeader w:val="false"/>
        </w:trPr>
        <w:tc>
          <w:tcPr>
            <w:tcW w:type="dxa" w:w="1872"/>
            <w:tcMar>
              <w:top w:type="dxa" w:w="60"/>
              <w:left w:type="dxa" w:w="100"/>
              <w:bottom w:type="dxa" w:w="60"/>
              <w:right w:type="dxa" w:w="100"/>
            </w:tcMar>
          </w:tcPr>
          <w:p>
            <w:r>
              <w:rPr>
                <w:b w:val="false"/>
                <w:bCs w:val="false"/>
                <w:sz w:val="18"/>
                <w:szCs w:val="18"/>
              </w:rPr>
              <w:t xml:space="preserve">Principles for responsible, trustworthy and privacy-protective generative AI technologies</w:t>
            </w:r>
          </w:p>
        </w:tc>
        <w:tc>
          <w:tcPr>
            <w:tcW w:type="dxa" w:w="1872"/>
            <w:tcMar>
              <w:top w:type="dxa" w:w="60"/>
              <w:left w:type="dxa" w:w="100"/>
              <w:bottom w:type="dxa" w:w="60"/>
              <w:right w:type="dxa" w:w="100"/>
            </w:tcMar>
          </w:tcPr>
          <w:p>
            <w:r>
              <w:rPr>
                <w:b w:val="false"/>
                <w:bCs w:val="false"/>
                <w:sz w:val="18"/>
                <w:szCs w:val="18"/>
              </w:rPr>
              <w:t xml:space="preserve">Office of the Privacy Commissioner of Canada, jointly with provincial and territorial privacy authorities</w:t>
            </w:r>
          </w:p>
        </w:tc>
        <w:tc>
          <w:tcPr>
            <w:tcW w:type="dxa" w:w="1872"/>
            <w:tcMar>
              <w:top w:type="dxa" w:w="60"/>
              <w:left w:type="dxa" w:w="100"/>
              <w:bottom w:type="dxa" w:w="60"/>
              <w:right w:type="dxa" w:w="100"/>
            </w:tcMar>
          </w:tcPr>
          <w:p>
            <w:r>
              <w:rPr>
                <w:b w:val="false"/>
                <w:bCs w:val="false"/>
                <w:sz w:val="18"/>
                <w:szCs w:val="18"/>
              </w:rPr>
              <w:t xml:space="preserve">7 December 2023</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c91451241bb3812d</w:t>
            </w:r>
          </w:p>
        </w:tc>
        <w:tc>
          <w:tcPr>
            <w:tcW w:type="dxa" w:w="1872"/>
            <w:tcMar>
              <w:top w:type="dxa" w:w="60"/>
              <w:left w:type="dxa" w:w="100"/>
              <w:bottom w:type="dxa" w:w="60"/>
              <w:right w:type="dxa" w:w="100"/>
            </w:tcMar>
          </w:tcPr>
          <w:p>
            <w:r>
              <w:rPr>
                <w:b w:val="false"/>
                <w:bCs w:val="false"/>
                <w:sz w:val="18"/>
                <w:szCs w:val="18"/>
              </w:rPr>
              <w:t xml:space="preserve">The regulators' reading of existing privacy law applied to generative AI: inference as collection, public data, no-go zones, necessity and proportionality, openness, accountability and challenge, safeguards; policy clauses 6, 7, 8, 9, 11, 13, 15, 17</w:t>
            </w:r>
          </w:p>
        </w:tc>
      </w:tr>
      <w:tr>
        <w:trPr>
          <w:tblHeader w:val="false"/>
        </w:trPr>
        <w:tc>
          <w:tcPr>
            <w:tcW w:type="dxa" w:w="1872"/>
            <w:tcMar>
              <w:top w:type="dxa" w:w="60"/>
              <w:left w:type="dxa" w:w="100"/>
              <w:bottom w:type="dxa" w:w="60"/>
              <w:right w:type="dxa" w:w="100"/>
            </w:tcMar>
          </w:tcPr>
          <w:p>
            <w:r>
              <w:rPr>
                <w:b w:val="false"/>
                <w:bCs w:val="false"/>
                <w:sz w:val="18"/>
                <w:szCs w:val="18"/>
              </w:rPr>
              <w:t xml:space="preserve">AI, privacy, and your business</w:t>
            </w:r>
          </w:p>
        </w:tc>
        <w:tc>
          <w:tcPr>
            <w:tcW w:type="dxa" w:w="1872"/>
            <w:tcMar>
              <w:top w:type="dxa" w:w="60"/>
              <w:left w:type="dxa" w:w="100"/>
              <w:bottom w:type="dxa" w:w="60"/>
              <w:right w:type="dxa" w:w="100"/>
            </w:tcMar>
          </w:tcPr>
          <w:p>
            <w:r>
              <w:rPr>
                <w:b w:val="false"/>
                <w:bCs w:val="false"/>
                <w:sz w:val="18"/>
                <w:szCs w:val="18"/>
              </w:rPr>
              <w:t xml:space="preserve">Office of the Privacy Commissioner of Canada</w:t>
            </w:r>
          </w:p>
        </w:tc>
        <w:tc>
          <w:tcPr>
            <w:tcW w:type="dxa" w:w="1872"/>
            <w:tcMar>
              <w:top w:type="dxa" w:w="60"/>
              <w:left w:type="dxa" w:w="100"/>
              <w:bottom w:type="dxa" w:w="60"/>
              <w:right w:type="dxa" w:w="100"/>
            </w:tcMar>
          </w:tcPr>
          <w:p>
            <w:r>
              <w:rPr>
                <w:b w:val="false"/>
                <w:bCs w:val="false"/>
                <w:sz w:val="18"/>
                <w:szCs w:val="18"/>
              </w:rPr>
              <w:t xml:space="preserve">Web page, retrieved 3 September 2026</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538f381b74ce4771</w:t>
            </w:r>
          </w:p>
        </w:tc>
        <w:tc>
          <w:tcPr>
            <w:tcW w:type="dxa" w:w="1872"/>
            <w:tcMar>
              <w:top w:type="dxa" w:w="60"/>
              <w:left w:type="dxa" w:w="100"/>
              <w:bottom w:type="dxa" w:w="60"/>
              <w:right w:type="dxa" w:w="100"/>
            </w:tcMar>
          </w:tcPr>
          <w:p>
            <w:r>
              <w:rPr>
                <w:b w:val="false"/>
                <w:bCs w:val="false"/>
                <w:sz w:val="18"/>
                <w:szCs w:val="18"/>
              </w:rPr>
              <w:t xml:space="preserve">Summary of the principles for organisations; confirms the seven headline expectations</w:t>
            </w:r>
          </w:p>
        </w:tc>
      </w:tr>
    </w:tbl>
    <w:p>
      <w:pPr>
        <w:spacing w:after="120"/>
      </w:pPr>
    </w:p>
    <w:p>
      <w:pPr>
        <w:spacing w:after="120"/>
      </w:pPr>
      <w:r>
        <w:rPr>
          <w:b/>
          <w:bCs/>
        </w:rPr>
        <w:t xml:space="preserve">Status.</w:t>
      </w:r>
      <w:r>
        <w:t xml:space="preserve"> The principles document states that "many of the considerations listed will be required for an organization to comply with applicable privacy law" while using "should" throughout, and that it does not bind investigations. The policy follows it as the operating interpretation and labels house standards where it goes further.</w:t>
      </w:r>
    </w:p>
    <w:p>
      <w:pPr>
        <w:pStyle w:val="Heading1"/>
        <w:spacing w:after="120" w:before="280"/>
      </w:pPr>
      <w:r>
        <w:rPr>
          <w:color w:val="2E74B5"/>
        </w:rPr>
        <w:t xml:space="preserve">3. Held - Tier 3: pending legislation (read, not relied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EEAF6" w:color="auto" w:val="clear"/>
            <w:tcMar>
              <w:top w:type="dxa" w:w="60"/>
              <w:left w:type="dxa" w:w="100"/>
              <w:bottom w:type="dxa" w:w="60"/>
              <w:right w:type="dxa" w:w="100"/>
            </w:tcMar>
          </w:tcPr>
          <w:p>
            <w:r>
              <w:rPr>
                <w:b/>
                <w:bCs/>
                <w:sz w:val="18"/>
                <w:szCs w:val="18"/>
              </w:rPr>
              <w:t xml:space="preserve">Document</w:t>
            </w:r>
          </w:p>
        </w:tc>
        <w:tc>
          <w:tcPr>
            <w:tcW w:type="dxa" w:w="1872"/>
            <w:shd w:fill="DEEAF6" w:color="auto" w:val="clear"/>
            <w:tcMar>
              <w:top w:type="dxa" w:w="60"/>
              <w:left w:type="dxa" w:w="100"/>
              <w:bottom w:type="dxa" w:w="60"/>
              <w:right w:type="dxa" w:w="100"/>
            </w:tcMar>
          </w:tcPr>
          <w:p>
            <w:r>
              <w:rPr>
                <w:b/>
                <w:bCs/>
                <w:sz w:val="18"/>
                <w:szCs w:val="18"/>
              </w:rPr>
              <w:t xml:space="preserve">Identifier</w:t>
            </w:r>
          </w:p>
        </w:tc>
        <w:tc>
          <w:tcPr>
            <w:tcW w:type="dxa" w:w="1872"/>
            <w:shd w:fill="DEEAF6" w:color="auto" w:val="clear"/>
            <w:tcMar>
              <w:top w:type="dxa" w:w="60"/>
              <w:left w:type="dxa" w:w="100"/>
              <w:bottom w:type="dxa" w:w="60"/>
              <w:right w:type="dxa" w:w="100"/>
            </w:tcMar>
          </w:tcPr>
          <w:p>
            <w:r>
              <w:rPr>
                <w:b/>
                <w:bCs/>
                <w:sz w:val="18"/>
                <w:szCs w:val="18"/>
              </w:rPr>
              <w:t xml:space="preserve">Version</w:t>
            </w:r>
          </w:p>
        </w:tc>
        <w:tc>
          <w:tcPr>
            <w:tcW w:type="dxa" w:w="1872"/>
            <w:shd w:fill="DEEAF6" w:color="auto" w:val="clear"/>
            <w:tcMar>
              <w:top w:type="dxa" w:w="60"/>
              <w:left w:type="dxa" w:w="100"/>
              <w:bottom w:type="dxa" w:w="60"/>
              <w:right w:type="dxa" w:w="100"/>
            </w:tcMar>
          </w:tcPr>
          <w:p>
            <w:r>
              <w:rPr>
                <w:b/>
                <w:bCs/>
                <w:sz w:val="18"/>
                <w:szCs w:val="18"/>
              </w:rPr>
              <w:t xml:space="preserve">SHA-256 (16)</w:t>
            </w:r>
          </w:p>
        </w:tc>
        <w:tc>
          <w:tcPr>
            <w:tcW w:type="dxa" w:w="1872"/>
            <w:shd w:fill="DEEAF6" w:color="auto" w:val="clear"/>
            <w:tcMar>
              <w:top w:type="dxa" w:w="60"/>
              <w:left w:type="dxa" w:w="100"/>
              <w:bottom w:type="dxa" w:w="60"/>
              <w:right w:type="dxa" w:w="100"/>
            </w:tcMar>
          </w:tcPr>
          <w:p>
            <w:r>
              <w:rPr>
                <w:b/>
                <w:bCs/>
                <w:sz w:val="18"/>
                <w:szCs w:val="18"/>
              </w:rPr>
              <w:t xml:space="preserve">Role in the set</w:t>
            </w:r>
          </w:p>
        </w:tc>
      </w:tr>
      <w:tr>
        <w:trPr>
          <w:tblHeader w:val="false"/>
        </w:trPr>
        <w:tc>
          <w:tcPr>
            <w:tcW w:type="dxa" w:w="1872"/>
            <w:tcMar>
              <w:top w:type="dxa" w:w="60"/>
              <w:left w:type="dxa" w:w="100"/>
              <w:bottom w:type="dxa" w:w="60"/>
              <w:right w:type="dxa" w:w="100"/>
            </w:tcMar>
          </w:tcPr>
          <w:p>
            <w:r>
              <w:rPr>
                <w:b w:val="false"/>
                <w:bCs w:val="false"/>
                <w:sz w:val="18"/>
                <w:szCs w:val="18"/>
              </w:rPr>
              <w:t xml:space="preserve">Bill C-36, An Act to enact the Protecting Privacy and Consumer Data Act, to amend the Personal Information Protection and Electronic Documents Act and to make amendments to other Acts</w:t>
            </w:r>
          </w:p>
        </w:tc>
        <w:tc>
          <w:tcPr>
            <w:tcW w:type="dxa" w:w="1872"/>
            <w:tcMar>
              <w:top w:type="dxa" w:w="60"/>
              <w:left w:type="dxa" w:w="100"/>
              <w:bottom w:type="dxa" w:w="60"/>
              <w:right w:type="dxa" w:w="100"/>
            </w:tcMar>
          </w:tcPr>
          <w:p>
            <w:r>
              <w:rPr>
                <w:b w:val="false"/>
                <w:bCs w:val="false"/>
                <w:sz w:val="18"/>
                <w:szCs w:val="18"/>
              </w:rPr>
              <w:t xml:space="preserve">45th Parliament, 1st session</w:t>
            </w:r>
          </w:p>
        </w:tc>
        <w:tc>
          <w:tcPr>
            <w:tcW w:type="dxa" w:w="1872"/>
            <w:tcMar>
              <w:top w:type="dxa" w:w="60"/>
              <w:left w:type="dxa" w:w="100"/>
              <w:bottom w:type="dxa" w:w="60"/>
              <w:right w:type="dxa" w:w="100"/>
            </w:tcMar>
          </w:tcPr>
          <w:p>
            <w:r>
              <w:rPr>
                <w:b w:val="false"/>
                <w:bCs w:val="false"/>
                <w:sz w:val="18"/>
                <w:szCs w:val="18"/>
              </w:rPr>
              <w:t xml:space="preserve">First reading, 15 June 2026, House of Commons</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8abb4286005e1da5</w:t>
            </w:r>
          </w:p>
        </w:tc>
        <w:tc>
          <w:tcPr>
            <w:tcW w:type="dxa" w:w="1872"/>
            <w:tcMar>
              <w:top w:type="dxa" w:w="60"/>
              <w:left w:type="dxa" w:w="100"/>
              <w:bottom w:type="dxa" w:w="60"/>
              <w:right w:type="dxa" w:w="100"/>
            </w:tcMar>
          </w:tcPr>
          <w:p>
            <w:r>
              <w:rPr>
                <w:b w:val="false"/>
                <w:bCs w:val="false"/>
                <w:sz w:val="18"/>
                <w:szCs w:val="18"/>
              </w:rPr>
              <w:t xml:space="preserve">Named at policy clauses 1.1 and 4.2 as pending; the automated-decision-system provisions described; annex A3 tracks progress. </w:t>
            </w:r>
            <w:r>
              <w:rPr>
                <w:b w:val="false"/>
                <w:bCs w:val="false"/>
                <w:sz w:val="18"/>
                <w:szCs w:val="18"/>
              </w:rPr>
              <w:t xml:space="preserve">Nothing in it is stated as a duty.</w:t>
            </w:r>
          </w:p>
        </w:tc>
      </w:tr>
    </w:tbl>
    <w:p>
      <w:pPr>
        <w:spacing w:after="120"/>
      </w:pPr>
    </w:p>
    <w:p>
      <w:pPr>
        <w:pStyle w:val="Heading1"/>
        <w:spacing w:after="120" w:before="280"/>
      </w:pPr>
      <w:r>
        <w:rPr>
          <w:color w:val="2E74B5"/>
        </w:rPr>
        <w:t xml:space="preserve">4. Not held at build - to be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Item</w:t>
            </w:r>
          </w:p>
        </w:tc>
        <w:tc>
          <w:tcPr>
            <w:tcW w:type="dxa" w:w="3120"/>
            <w:shd w:fill="DEEAF6" w:color="auto" w:val="clear"/>
            <w:tcMar>
              <w:top w:type="dxa" w:w="60"/>
              <w:left w:type="dxa" w:w="100"/>
              <w:bottom w:type="dxa" w:w="60"/>
              <w:right w:type="dxa" w:w="100"/>
            </w:tcMar>
          </w:tcPr>
          <w:p>
            <w:r>
              <w:rPr>
                <w:b/>
                <w:bCs/>
                <w:sz w:val="18"/>
                <w:szCs w:val="18"/>
              </w:rPr>
              <w:t xml:space="preserve">Reason</w:t>
            </w:r>
          </w:p>
        </w:tc>
        <w:tc>
          <w:tcPr>
            <w:tcW w:type="dxa" w:w="3120"/>
            <w:shd w:fill="DEEAF6" w:color="auto" w:val="clear"/>
            <w:tcMar>
              <w:top w:type="dxa" w:w="60"/>
              <w:left w:type="dxa" w:w="100"/>
              <w:bottom w:type="dxa" w:w="60"/>
              <w:right w:type="dxa" w:w="100"/>
            </w:tcMar>
          </w:tcPr>
          <w:p>
            <w:r>
              <w:rPr>
                <w:b/>
                <w:bCs/>
                <w:sz w:val="18"/>
                <w:szCs w:val="18"/>
              </w:rPr>
              <w:t xml:space="preserve">Status</w:t>
            </w:r>
          </w:p>
        </w:tc>
      </w:tr>
      <w:tr>
        <w:trPr>
          <w:tblHeader w:val="false"/>
        </w:trPr>
        <w:tc>
          <w:tcPr>
            <w:tcW w:type="dxa" w:w="3120"/>
            <w:tcMar>
              <w:top w:type="dxa" w:w="60"/>
              <w:left w:type="dxa" w:w="100"/>
              <w:bottom w:type="dxa" w:w="60"/>
              <w:right w:type="dxa" w:w="100"/>
            </w:tcMar>
          </w:tcPr>
          <w:p>
            <w:r>
              <w:rPr>
                <w:b w:val="false"/>
                <w:bCs w:val="false"/>
                <w:sz w:val="18"/>
                <w:szCs w:val="18"/>
              </w:rPr>
              <w:t xml:space="preserve">Act respecting the protection of personal information in the private sector, CQLR c P-39.1, consolidated</w:t>
            </w:r>
          </w:p>
        </w:tc>
        <w:tc>
          <w:tcPr>
            <w:tcW w:type="dxa" w:w="3120"/>
            <w:tcMar>
              <w:top w:type="dxa" w:w="60"/>
              <w:left w:type="dxa" w:w="100"/>
              <w:bottom w:type="dxa" w:w="60"/>
              <w:right w:type="dxa" w:w="100"/>
            </w:tcMar>
          </w:tcPr>
          <w:p>
            <w:r>
              <w:rPr>
                <w:b w:val="false"/>
                <w:bCs w:val="false"/>
                <w:sz w:val="18"/>
                <w:szCs w:val="18"/>
              </w:rPr>
              <w:t xml:space="preserve">Légis Québec returned HTTP 502 on 3 September 2026 from two locations; the set was built from the assented amending Act, which states the relied-on provisions in full</w:t>
            </w:r>
          </w:p>
        </w:tc>
        <w:tc>
          <w:tcPr>
            <w:tcW w:type="dxa" w:w="3120"/>
            <w:tcMar>
              <w:top w:type="dxa" w:w="60"/>
              <w:left w:type="dxa" w:w="100"/>
              <w:bottom w:type="dxa" w:w="60"/>
              <w:right w:type="dxa" w:w="100"/>
            </w:tcMar>
          </w:tcPr>
          <w:p>
            <w:r>
              <w:rPr>
                <w:b w:val="false"/>
                <w:bCs w:val="false"/>
                <w:sz w:val="18"/>
                <w:szCs w:val="18"/>
              </w:rPr>
              <w:t xml:space="preserve">Open: add the consolidation and its "updated to" date; check the relied-on sections for any amendment since 2021. Annex A3</w:t>
            </w:r>
          </w:p>
        </w:tc>
      </w:tr>
    </w:tbl>
    <w:p>
      <w:pPr>
        <w:spacing w:after="120"/>
      </w:pPr>
    </w:p>
    <w:p>
      <w:pPr>
        <w:pStyle w:val="Heading1"/>
        <w:spacing w:after="120" w:before="280"/>
      </w:pPr>
      <w:r>
        <w:rPr>
          <w:color w:val="2E74B5"/>
        </w:rPr>
        <w:t xml:space="preserve">5. Discarded at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Item</w:t>
            </w:r>
          </w:p>
        </w:tc>
        <w:tc>
          <w:tcPr>
            <w:tcW w:type="dxa" w:w="4680"/>
            <w:shd w:fill="DEEAF6" w:color="auto" w:val="clear"/>
            <w:tcMar>
              <w:top w:type="dxa" w:w="60"/>
              <w:left w:type="dxa" w:w="100"/>
              <w:bottom w:type="dxa" w:w="60"/>
              <w:right w:type="dxa" w:w="100"/>
            </w:tcMar>
          </w:tcPr>
          <w:p>
            <w:r>
              <w:rPr>
                <w:b/>
                <w:bCs/>
                <w:sz w:val="18"/>
                <w:szCs w:val="18"/>
              </w:rPr>
              <w:t xml:space="preserve">Reason</w:t>
            </w:r>
          </w:p>
        </w:tc>
      </w:tr>
      <w:tr>
        <w:trPr>
          <w:tblHeader w:val="false"/>
        </w:trPr>
        <w:tc>
          <w:tcPr>
            <w:tcW w:type="dxa" w:w="4680"/>
            <w:tcMar>
              <w:top w:type="dxa" w:w="60"/>
              <w:left w:type="dxa" w:w="100"/>
              <w:bottom w:type="dxa" w:w="60"/>
              <w:right w:type="dxa" w:w="100"/>
            </w:tcMar>
          </w:tcPr>
          <w:p>
            <w:r>
              <w:rPr>
                <w:b w:val="false"/>
                <w:bCs w:val="false"/>
                <w:sz w:val="18"/>
                <w:szCs w:val="18"/>
              </w:rPr>
              <w:t xml:space="preserve">Law-firm and commentary summaries of Bill C-36, Law 25 and the death of Bill C-27</w:t>
            </w:r>
          </w:p>
        </w:tc>
        <w:tc>
          <w:tcPr>
            <w:tcW w:type="dxa" w:w="4680"/>
            <w:tcMar>
              <w:top w:type="dxa" w:w="60"/>
              <w:left w:type="dxa" w:w="100"/>
              <w:bottom w:type="dxa" w:w="60"/>
              <w:right w:type="dxa" w:w="100"/>
            </w:tcMar>
          </w:tcPr>
          <w:p>
            <w:r>
              <w:rPr>
                <w:b w:val="false"/>
                <w:bCs w:val="false"/>
                <w:sz w:val="18"/>
                <w:szCs w:val="18"/>
              </w:rPr>
              <w:t xml:space="preserve">Used only to locate official pages and confirm dates to check. No content entered the set.</w:t>
            </w:r>
          </w:p>
        </w:tc>
      </w:tr>
      <w:tr>
        <w:trPr>
          <w:tblHeader w:val="false"/>
        </w:trPr>
        <w:tc>
          <w:tcPr>
            <w:tcW w:type="dxa" w:w="4680"/>
            <w:tcMar>
              <w:top w:type="dxa" w:w="60"/>
              <w:left w:type="dxa" w:w="100"/>
              <w:bottom w:type="dxa" w:w="60"/>
              <w:right w:type="dxa" w:w="100"/>
            </w:tcMar>
          </w:tcPr>
          <w:p>
            <w:r>
              <w:rPr>
                <w:b w:val="false"/>
                <w:bCs w:val="false"/>
                <w:sz w:val="18"/>
                <w:szCs w:val="18"/>
              </w:rPr>
              <w:t xml:space="preserve">Third-party consolidations of Quebec statutes</w:t>
            </w:r>
          </w:p>
        </w:tc>
        <w:tc>
          <w:tcPr>
            <w:tcW w:type="dxa" w:w="4680"/>
            <w:tcMar>
              <w:top w:type="dxa" w:w="60"/>
              <w:left w:type="dxa" w:w="100"/>
              <w:bottom w:type="dxa" w:w="60"/>
              <w:right w:type="dxa" w:w="100"/>
            </w:tcMar>
          </w:tcPr>
          <w:p>
            <w:r>
              <w:rPr>
                <w:b w:val="false"/>
                <w:bCs w:val="false"/>
                <w:sz w:val="18"/>
                <w:szCs w:val="18"/>
              </w:rPr>
              <w:t xml:space="preserve">Not a legislature, gazette or regulator source. Not used.</w:t>
            </w:r>
          </w:p>
        </w:tc>
      </w:tr>
    </w:tbl>
    <w:p>
      <w:pPr>
        <w:spacing w:after="120"/>
      </w:pPr>
    </w:p>
    <w:p>
      <w:pPr>
        <w:pStyle w:val="Heading1"/>
        <w:spacing w:after="120" w:before="280"/>
      </w:pPr>
      <w:r>
        <w:rPr>
          <w:color w:val="2E74B5"/>
        </w:rPr>
        <w:t xml:space="preserve">6. Named in the set, not held, not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Instrument or item</w:t>
            </w:r>
          </w:p>
        </w:tc>
        <w:tc>
          <w:tcPr>
            <w:tcW w:type="dxa" w:w="3120"/>
            <w:shd w:fill="DEEAF6" w:color="auto" w:val="clear"/>
            <w:tcMar>
              <w:top w:type="dxa" w:w="60"/>
              <w:left w:type="dxa" w:w="100"/>
              <w:bottom w:type="dxa" w:w="60"/>
              <w:right w:type="dxa" w:w="100"/>
            </w:tcMar>
          </w:tcPr>
          <w:p>
            <w:r>
              <w:rPr>
                <w:b/>
                <w:bCs/>
                <w:sz w:val="18"/>
                <w:szCs w:val="18"/>
              </w:rPr>
              <w:t xml:space="preserve">Why it matters</w:t>
            </w:r>
          </w:p>
        </w:tc>
        <w:tc>
          <w:tcPr>
            <w:tcW w:type="dxa" w:w="3120"/>
            <w:shd w:fill="DEEAF6" w:color="auto" w:val="clear"/>
            <w:tcMar>
              <w:top w:type="dxa" w:w="60"/>
              <w:left w:type="dxa" w:w="100"/>
              <w:bottom w:type="dxa" w:w="60"/>
              <w:right w:type="dxa" w:w="100"/>
            </w:tcMar>
          </w:tcPr>
          <w:p>
            <w:r>
              <w:rPr>
                <w:b/>
                <w:bCs/>
                <w:sz w:val="18"/>
                <w:szCs w:val="18"/>
              </w:rPr>
              <w:t xml:space="preserve">Status</w:t>
            </w:r>
          </w:p>
        </w:tc>
      </w:tr>
      <w:tr>
        <w:trPr>
          <w:tblHeader w:val="false"/>
        </w:trPr>
        <w:tc>
          <w:tcPr>
            <w:tcW w:type="dxa" w:w="3120"/>
            <w:tcMar>
              <w:top w:type="dxa" w:w="60"/>
              <w:left w:type="dxa" w:w="100"/>
              <w:bottom w:type="dxa" w:w="60"/>
              <w:right w:type="dxa" w:w="100"/>
            </w:tcMar>
          </w:tcPr>
          <w:p>
            <w:r>
              <w:rPr>
                <w:b w:val="false"/>
                <w:bCs w:val="false"/>
                <w:sz w:val="18"/>
                <w:szCs w:val="18"/>
              </w:rPr>
              <w:t xml:space="preserve">Regulations under PIPEDA: Breach of Security Safeguards Regulations; Regulations Specifying Publicly Available Information</w:t>
            </w:r>
          </w:p>
        </w:tc>
        <w:tc>
          <w:tcPr>
            <w:tcW w:type="dxa" w:w="3120"/>
            <w:tcMar>
              <w:top w:type="dxa" w:w="60"/>
              <w:left w:type="dxa" w:w="100"/>
              <w:bottom w:type="dxa" w:w="60"/>
              <w:right w:type="dxa" w:w="100"/>
            </w:tcMar>
          </w:tcPr>
          <w:p>
            <w:r>
              <w:rPr>
                <w:b w:val="false"/>
                <w:bCs w:val="false"/>
                <w:sz w:val="18"/>
                <w:szCs w:val="18"/>
              </w:rPr>
              <w:t xml:space="preserve">Report content, record retention; the scope of the publicly-available exception</w:t>
            </w:r>
          </w:p>
        </w:tc>
        <w:tc>
          <w:tcPr>
            <w:tcW w:type="dxa" w:w="3120"/>
            <w:tcMar>
              <w:top w:type="dxa" w:w="60"/>
              <w:left w:type="dxa" w:w="100"/>
              <w:bottom w:type="dxa" w:w="60"/>
              <w:right w:type="dxa" w:w="100"/>
            </w:tcMar>
          </w:tcPr>
          <w:p>
            <w:r>
              <w:rPr>
                <w:b w:val="false"/>
                <w:bCs w:val="false"/>
                <w:sz w:val="18"/>
                <w:szCs w:val="18"/>
              </w:rPr>
              <w:t xml:space="preserve">Not held; named at policy clauses 7.5, 22</w:t>
            </w:r>
          </w:p>
        </w:tc>
      </w:tr>
      <w:tr>
        <w:trPr>
          <w:tblHeader w:val="false"/>
        </w:trPr>
        <w:tc>
          <w:tcPr>
            <w:tcW w:type="dxa" w:w="3120"/>
            <w:tcMar>
              <w:top w:type="dxa" w:w="60"/>
              <w:left w:type="dxa" w:w="100"/>
              <w:bottom w:type="dxa" w:w="60"/>
              <w:right w:type="dxa" w:w="100"/>
            </w:tcMar>
          </w:tcPr>
          <w:p>
            <w:r>
              <w:rPr>
                <w:b w:val="false"/>
                <w:bCs w:val="false"/>
                <w:sz w:val="18"/>
                <w:szCs w:val="18"/>
              </w:rPr>
              <w:t xml:space="preserve">Regulations under the Quebec Act on confidentiality incidents (notice content, register content)</w:t>
            </w:r>
          </w:p>
        </w:tc>
        <w:tc>
          <w:tcPr>
            <w:tcW w:type="dxa" w:w="3120"/>
            <w:tcMar>
              <w:top w:type="dxa" w:w="60"/>
              <w:left w:type="dxa" w:w="100"/>
              <w:bottom w:type="dxa" w:w="60"/>
              <w:right w:type="dxa" w:w="100"/>
            </w:tcMar>
          </w:tcPr>
          <w:p>
            <w:r>
              <w:rPr>
                <w:b w:val="false"/>
                <w:bCs w:val="false"/>
                <w:sz w:val="18"/>
                <w:szCs w:val="18"/>
              </w:rPr>
              <w:t xml:space="preserve">Content and terms of notices and register</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Personal Information Protection Act (Alberta); Personal Information Protection Act (British Columbia)</w:t>
            </w:r>
          </w:p>
        </w:tc>
        <w:tc>
          <w:tcPr>
            <w:tcW w:type="dxa" w:w="3120"/>
            <w:tcMar>
              <w:top w:type="dxa" w:w="60"/>
              <w:left w:type="dxa" w:w="100"/>
              <w:bottom w:type="dxa" w:w="60"/>
              <w:right w:type="dxa" w:w="100"/>
            </w:tcMar>
          </w:tcPr>
          <w:p>
            <w:r>
              <w:rPr>
                <w:b w:val="false"/>
                <w:bCs w:val="false"/>
                <w:sz w:val="18"/>
                <w:szCs w:val="18"/>
              </w:rPr>
              <w:t xml:space="preserve">Substantially similar provincial legislation applying in place of PIPEDA within the province</w:t>
            </w:r>
          </w:p>
        </w:tc>
        <w:tc>
          <w:tcPr>
            <w:tcW w:type="dxa" w:w="3120"/>
            <w:tcMar>
              <w:top w:type="dxa" w:w="60"/>
              <w:left w:type="dxa" w:w="100"/>
              <w:bottom w:type="dxa" w:w="60"/>
              <w:right w:type="dxa" w:w="100"/>
            </w:tcMar>
          </w:tcPr>
          <w:p>
            <w:r>
              <w:rPr>
                <w:b w:val="false"/>
                <w:bCs w:val="false"/>
                <w:sz w:val="18"/>
                <w:szCs w:val="18"/>
              </w:rPr>
              <w:t xml:space="preserve">Not held; named at policy clauses 2.1.3, 22</w:t>
            </w:r>
          </w:p>
        </w:tc>
      </w:tr>
      <w:tr>
        <w:trPr>
          <w:tblHeader w:val="false"/>
        </w:trPr>
        <w:tc>
          <w:tcPr>
            <w:tcW w:type="dxa" w:w="3120"/>
            <w:tcMar>
              <w:top w:type="dxa" w:w="60"/>
              <w:left w:type="dxa" w:w="100"/>
              <w:bottom w:type="dxa" w:w="60"/>
              <w:right w:type="dxa" w:w="100"/>
            </w:tcMar>
          </w:tcPr>
          <w:p>
            <w:r>
              <w:rPr>
                <w:b w:val="false"/>
                <w:bCs w:val="false"/>
                <w:sz w:val="18"/>
                <w:szCs w:val="18"/>
              </w:rPr>
              <w:t xml:space="preserve">Provincial health-information Acts</w:t>
            </w:r>
          </w:p>
        </w:tc>
        <w:tc>
          <w:tcPr>
            <w:tcW w:type="dxa" w:w="3120"/>
            <w:tcMar>
              <w:top w:type="dxa" w:w="60"/>
              <w:left w:type="dxa" w:w="100"/>
              <w:bottom w:type="dxa" w:w="60"/>
              <w:right w:type="dxa" w:w="100"/>
            </w:tcMar>
          </w:tcPr>
          <w:p>
            <w:r>
              <w:rPr>
                <w:b w:val="false"/>
                <w:bCs w:val="false"/>
                <w:sz w:val="18"/>
                <w:szCs w:val="18"/>
              </w:rPr>
              <w:t xml:space="preserve">Health data in AI systems</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Canadian Human Rights Act and provincial human rights codes</w:t>
            </w:r>
          </w:p>
        </w:tc>
        <w:tc>
          <w:tcPr>
            <w:tcW w:type="dxa" w:w="3120"/>
            <w:tcMar>
              <w:top w:type="dxa" w:w="60"/>
              <w:left w:type="dxa" w:w="100"/>
              <w:bottom w:type="dxa" w:w="60"/>
              <w:right w:type="dxa" w:w="100"/>
            </w:tcMar>
          </w:tcPr>
          <w:p>
            <w:r>
              <w:rPr>
                <w:b w:val="false"/>
                <w:bCs w:val="false"/>
                <w:sz w:val="18"/>
                <w:szCs w:val="18"/>
              </w:rPr>
              <w:t xml:space="preserve">Discriminatory AI outcomes</w:t>
            </w:r>
          </w:p>
        </w:tc>
        <w:tc>
          <w:tcPr>
            <w:tcW w:type="dxa" w:w="3120"/>
            <w:tcMar>
              <w:top w:type="dxa" w:w="60"/>
              <w:left w:type="dxa" w:w="100"/>
              <w:bottom w:type="dxa" w:w="60"/>
              <w:right w:type="dxa" w:w="100"/>
            </w:tcMar>
          </w:tcPr>
          <w:p>
            <w:r>
              <w:rPr>
                <w:b w:val="false"/>
                <w:bCs w:val="false"/>
                <w:sz w:val="18"/>
                <w:szCs w:val="18"/>
              </w:rPr>
              <w:t xml:space="preserve">Not held; named at policy clauses 20.6, 22</w:t>
            </w:r>
          </w:p>
        </w:tc>
      </w:tr>
      <w:tr>
        <w:trPr>
          <w:tblHeader w:val="false"/>
        </w:trPr>
        <w:tc>
          <w:tcPr>
            <w:tcW w:type="dxa" w:w="3120"/>
            <w:tcMar>
              <w:top w:type="dxa" w:w="60"/>
              <w:left w:type="dxa" w:w="100"/>
              <w:bottom w:type="dxa" w:w="60"/>
              <w:right w:type="dxa" w:w="100"/>
            </w:tcMar>
          </w:tcPr>
          <w:p>
            <w:r>
              <w:rPr>
                <w:b w:val="false"/>
                <w:bCs w:val="false"/>
                <w:sz w:val="18"/>
                <w:szCs w:val="18"/>
              </w:rPr>
              <w:t xml:space="preserve">Consumer protection statutes</w:t>
            </w:r>
          </w:p>
        </w:tc>
        <w:tc>
          <w:tcPr>
            <w:tcW w:type="dxa" w:w="3120"/>
            <w:tcMar>
              <w:top w:type="dxa" w:w="60"/>
              <w:left w:type="dxa" w:w="100"/>
              <w:bottom w:type="dxa" w:w="60"/>
              <w:right w:type="dxa" w:w="100"/>
            </w:tcMar>
          </w:tcPr>
          <w:p>
            <w:r>
              <w:rPr>
                <w:b w:val="false"/>
                <w:bCs w:val="false"/>
                <w:sz w:val="18"/>
                <w:szCs w:val="18"/>
              </w:rPr>
              <w:t xml:space="preserve">Misleading statements about AI</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Treasury Board Directive on Automated Decision-Making; Guide on the use of generative AI; Guide on the Use of Agentic AI</w:t>
            </w:r>
          </w:p>
        </w:tc>
        <w:tc>
          <w:tcPr>
            <w:tcW w:type="dxa" w:w="3120"/>
            <w:tcMar>
              <w:top w:type="dxa" w:w="60"/>
              <w:left w:type="dxa" w:w="100"/>
              <w:bottom w:type="dxa" w:w="60"/>
              <w:right w:type="dxa" w:w="100"/>
            </w:tcMar>
          </w:tcPr>
          <w:p>
            <w:r>
              <w:rPr>
                <w:b w:val="false"/>
                <w:bCs w:val="false"/>
                <w:sz w:val="18"/>
                <w:szCs w:val="18"/>
              </w:rPr>
              <w:t xml:space="preserve">Bind federal institutions, not private organisations</w:t>
            </w:r>
          </w:p>
        </w:tc>
        <w:tc>
          <w:tcPr>
            <w:tcW w:type="dxa" w:w="3120"/>
            <w:tcMar>
              <w:top w:type="dxa" w:w="60"/>
              <w:left w:type="dxa" w:w="100"/>
              <w:bottom w:type="dxa" w:w="60"/>
              <w:right w:type="dxa" w:w="100"/>
            </w:tcMar>
          </w:tcPr>
          <w:p>
            <w:r>
              <w:rPr>
                <w:b w:val="false"/>
                <w:bCs w:val="false"/>
                <w:sz w:val="18"/>
                <w:szCs w:val="18"/>
              </w:rPr>
              <w:t xml:space="preserve">Not held; named at policy clause 22 for the avoidance of doubt</w:t>
            </w:r>
          </w:p>
        </w:tc>
      </w:tr>
      <w:tr>
        <w:trPr>
          <w:tblHeader w:val="false"/>
        </w:trPr>
        <w:tc>
          <w:tcPr>
            <w:tcW w:type="dxa" w:w="3120"/>
            <w:tcMar>
              <w:top w:type="dxa" w:w="60"/>
              <w:left w:type="dxa" w:w="100"/>
              <w:bottom w:type="dxa" w:w="60"/>
              <w:right w:type="dxa" w:w="100"/>
            </w:tcMar>
          </w:tcPr>
          <w:p>
            <w:r>
              <w:rPr>
                <w:b w:val="false"/>
                <w:bCs w:val="false"/>
                <w:sz w:val="18"/>
                <w:szCs w:val="18"/>
              </w:rPr>
              <w:t xml:space="preserve">Commission d'accès à l'information guidance on Law 25</w:t>
            </w:r>
          </w:p>
        </w:tc>
        <w:tc>
          <w:tcPr>
            <w:tcW w:type="dxa" w:w="3120"/>
            <w:tcMar>
              <w:top w:type="dxa" w:w="60"/>
              <w:left w:type="dxa" w:w="100"/>
              <w:bottom w:type="dxa" w:w="60"/>
              <w:right w:type="dxa" w:w="100"/>
            </w:tcMar>
          </w:tcPr>
          <w:p>
            <w:r>
              <w:rPr>
                <w:b w:val="false"/>
                <w:bCs w:val="false"/>
                <w:sz w:val="18"/>
                <w:szCs w:val="18"/>
              </w:rPr>
              <w:t xml:space="preserve">The Quebec regulator's reading</w:t>
            </w:r>
          </w:p>
        </w:tc>
        <w:tc>
          <w:tcPr>
            <w:tcW w:type="dxa" w:w="3120"/>
            <w:tcMar>
              <w:top w:type="dxa" w:w="60"/>
              <w:left w:type="dxa" w:w="100"/>
              <w:bottom w:type="dxa" w:w="60"/>
              <w:right w:type="dxa" w:w="100"/>
            </w:tcMar>
          </w:tcPr>
          <w:p>
            <w:r>
              <w:rPr>
                <w:b w:val="false"/>
                <w:bCs w:val="false"/>
                <w:sz w:val="18"/>
                <w:szCs w:val="18"/>
              </w:rPr>
              <w:t xml:space="preserve">Not held; annex A13</w:t>
            </w:r>
          </w:p>
        </w:tc>
      </w:tr>
      <w:tr>
        <w:trPr>
          <w:tblHeader w:val="false"/>
        </w:trPr>
        <w:tc>
          <w:tcPr>
            <w:tcW w:type="dxa" w:w="3120"/>
            <w:tcMar>
              <w:top w:type="dxa" w:w="60"/>
              <w:left w:type="dxa" w:w="100"/>
              <w:bottom w:type="dxa" w:w="60"/>
              <w:right w:type="dxa" w:w="100"/>
            </w:tcMar>
          </w:tcPr>
          <w:p>
            <w:r>
              <w:rPr>
                <w:b w:val="false"/>
                <w:bCs w:val="false"/>
                <w:sz w:val="18"/>
                <w:szCs w:val="18"/>
              </w:rPr>
              <w:t xml:space="preserve">Criminal Code; Copyright Act</w:t>
            </w:r>
          </w:p>
        </w:tc>
        <w:tc>
          <w:tcPr>
            <w:tcW w:type="dxa" w:w="3120"/>
            <w:tcMar>
              <w:top w:type="dxa" w:w="60"/>
              <w:left w:type="dxa" w:w="100"/>
              <w:bottom w:type="dxa" w:w="60"/>
              <w:right w:type="dxa" w:w="100"/>
            </w:tcMar>
          </w:tcPr>
          <w:p>
            <w:r>
              <w:rPr>
                <w:b w:val="false"/>
                <w:bCs w:val="false"/>
                <w:sz w:val="18"/>
                <w:szCs w:val="18"/>
              </w:rPr>
              <w:t xml:space="preserve">Deepfakes and abusive material; training and generated content</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bl>
    <w:p>
      <w:pPr>
        <w:spacing w:after="120"/>
      </w:pPr>
    </w:p>
    <w:p>
      <w:pPr>
        <w:pStyle w:val="Heading1"/>
        <w:spacing w:after="120" w:before="280"/>
      </w:pPr>
      <w:r>
        <w:rPr>
          <w:color w:val="2E74B5"/>
        </w:rPr>
        <w:t xml:space="preserve">7. Verification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Check</w:t>
            </w:r>
          </w:p>
        </w:tc>
        <w:tc>
          <w:tcPr>
            <w:tcW w:type="dxa" w:w="4680"/>
            <w:shd w:fill="DEEAF6" w:color="auto" w:val="clear"/>
            <w:tcMar>
              <w:top w:type="dxa" w:w="60"/>
              <w:left w:type="dxa" w:w="100"/>
              <w:bottom w:type="dxa" w:w="60"/>
              <w:right w:type="dxa" w:w="100"/>
            </w:tcMar>
          </w:tcPr>
          <w:p>
            <w:r>
              <w:rPr>
                <w:b/>
                <w:bCs/>
                <w:sz w:val="18"/>
                <w:szCs w:val="18"/>
              </w:rPr>
              <w:t xml:space="preserve">Result</w:t>
            </w:r>
          </w:p>
        </w:tc>
      </w:tr>
      <w:tr>
        <w:trPr>
          <w:tblHeader w:val="false"/>
        </w:trPr>
        <w:tc>
          <w:tcPr>
            <w:tcW w:type="dxa" w:w="4680"/>
            <w:tcMar>
              <w:top w:type="dxa" w:w="60"/>
              <w:left w:type="dxa" w:w="100"/>
              <w:bottom w:type="dxa" w:w="60"/>
              <w:right w:type="dxa" w:w="100"/>
            </w:tcMar>
          </w:tcPr>
          <w:p>
            <w:r>
              <w:rPr>
                <w:b w:val="false"/>
                <w:bCs w:val="false"/>
                <w:sz w:val="18"/>
                <w:szCs w:val="18"/>
              </w:rPr>
              <w:t xml:space="preserve">Every provision cited in the research note resolves to text read in the held instruments</w:t>
            </w:r>
          </w:p>
        </w:tc>
        <w:tc>
          <w:tcPr>
            <w:tcW w:type="dxa" w:w="4680"/>
            <w:tcMar>
              <w:top w:type="dxa" w:w="60"/>
              <w:left w:type="dxa" w:w="100"/>
              <w:bottom w:type="dxa" w:w="60"/>
              <w:right w:type="dxa" w:w="100"/>
            </w:tcMar>
          </w:tcPr>
          <w:p>
            <w:r>
              <w:rPr>
                <w:b w:val="false"/>
                <w:bCs w:val="false"/>
                <w:sz w:val="18"/>
                <w:szCs w:val="18"/>
              </w:rPr>
              <w:t xml:space="preserve">Complete, 3 September 2026</w:t>
            </w:r>
          </w:p>
        </w:tc>
      </w:tr>
      <w:tr>
        <w:trPr>
          <w:tblHeader w:val="false"/>
        </w:trPr>
        <w:tc>
          <w:tcPr>
            <w:tcW w:type="dxa" w:w="4680"/>
            <w:tcMar>
              <w:top w:type="dxa" w:w="60"/>
              <w:left w:type="dxa" w:w="100"/>
              <w:bottom w:type="dxa" w:w="60"/>
              <w:right w:type="dxa" w:w="100"/>
            </w:tcMar>
          </w:tcPr>
          <w:p>
            <w:r>
              <w:rPr>
                <w:b w:val="false"/>
                <w:bCs w:val="false"/>
                <w:sz w:val="18"/>
                <w:szCs w:val="18"/>
              </w:rPr>
              <w:t xml:space="preserve">Amending-section numbers in Law 25 checked against the annual statute (ss 103, 104, 107, 110, 111, 159, 160, 175)</w:t>
            </w:r>
          </w:p>
        </w:tc>
        <w:tc>
          <w:tcPr>
            <w:tcW w:type="dxa" w:w="4680"/>
            <w:tcMar>
              <w:top w:type="dxa" w:w="60"/>
              <w:left w:type="dxa" w:w="100"/>
              <w:bottom w:type="dxa" w:w="60"/>
              <w:right w:type="dxa" w:w="100"/>
            </w:tcMar>
          </w:tcPr>
          <w:p>
            <w:r>
              <w:rPr>
                <w:b w:val="false"/>
                <w:bCs w:val="false"/>
                <w:sz w:val="18"/>
                <w:szCs w:val="18"/>
              </w:rPr>
              <w:t xml:space="preserve">Agree</w:t>
            </w:r>
          </w:p>
        </w:tc>
      </w:tr>
      <w:tr>
        <w:trPr>
          <w:tblHeader w:val="false"/>
        </w:trPr>
        <w:tc>
          <w:tcPr>
            <w:tcW w:type="dxa" w:w="4680"/>
            <w:tcMar>
              <w:top w:type="dxa" w:w="60"/>
              <w:left w:type="dxa" w:w="100"/>
              <w:bottom w:type="dxa" w:w="60"/>
              <w:right w:type="dxa" w:w="100"/>
            </w:tcMar>
          </w:tcPr>
          <w:p>
            <w:r>
              <w:rPr>
                <w:b w:val="false"/>
                <w:bCs w:val="false"/>
                <w:sz w:val="18"/>
                <w:szCs w:val="18"/>
              </w:rPr>
              <w:t xml:space="preserve">Commencement dates checked against Law 25 s 175</w:t>
            </w:r>
          </w:p>
        </w:tc>
        <w:tc>
          <w:tcPr>
            <w:tcW w:type="dxa" w:w="4680"/>
            <w:tcMar>
              <w:top w:type="dxa" w:w="60"/>
              <w:left w:type="dxa" w:w="100"/>
              <w:bottom w:type="dxa" w:w="60"/>
              <w:right w:type="dxa" w:w="100"/>
            </w:tcMar>
          </w:tcPr>
          <w:p>
            <w:r>
              <w:rPr>
                <w:b w:val="false"/>
                <w:bCs w:val="false"/>
                <w:sz w:val="18"/>
                <w:szCs w:val="18"/>
              </w:rPr>
              <w:t xml:space="preserve">22 Sept 2022 (s 175(2)); 22 Sept 2023 (default); 22 Sept 2024 (s 175(3))</w:t>
            </w:r>
          </w:p>
        </w:tc>
      </w:tr>
      <w:tr>
        <w:trPr>
          <w:tblHeader w:val="false"/>
        </w:trPr>
        <w:tc>
          <w:tcPr>
            <w:tcW w:type="dxa" w:w="4680"/>
            <w:tcMar>
              <w:top w:type="dxa" w:w="60"/>
              <w:left w:type="dxa" w:w="100"/>
              <w:bottom w:type="dxa" w:w="60"/>
              <w:right w:type="dxa" w:w="100"/>
            </w:tcMar>
          </w:tcPr>
          <w:p>
            <w:r>
              <w:rPr>
                <w:b w:val="false"/>
                <w:bCs w:val="false"/>
                <w:sz w:val="18"/>
                <w:szCs w:val="18"/>
              </w:rPr>
              <w:t xml:space="preserve">Bill C-36 status checked against the bill's own front matter</w:t>
            </w:r>
          </w:p>
        </w:tc>
        <w:tc>
          <w:tcPr>
            <w:tcW w:type="dxa" w:w="4680"/>
            <w:tcMar>
              <w:top w:type="dxa" w:w="60"/>
              <w:left w:type="dxa" w:w="100"/>
              <w:bottom w:type="dxa" w:w="60"/>
              <w:right w:type="dxa" w:w="100"/>
            </w:tcMar>
          </w:tcPr>
          <w:p>
            <w:r>
              <w:rPr>
                <w:b w:val="false"/>
                <w:bCs w:val="false"/>
                <w:sz w:val="18"/>
                <w:szCs w:val="18"/>
              </w:rPr>
              <w:t xml:space="preserve">First reading 15 June 2026; the set asserts no later stage</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provision identifiers</w:t>
            </w:r>
          </w:p>
        </w:tc>
        <w:tc>
          <w:tcPr>
            <w:tcW w:type="dxa" w:w="4680"/>
            <w:tcMar>
              <w:top w:type="dxa" w:w="60"/>
              <w:left w:type="dxa" w:w="100"/>
              <w:bottom w:type="dxa" w:w="60"/>
              <w:right w:type="dxa" w:w="100"/>
            </w:tcMar>
          </w:tcPr>
          <w:p>
            <w:r>
              <w:rPr>
                <w:b w:val="false"/>
                <w:bCs w:val="false"/>
                <w:sz w:val="18"/>
                <w:szCs w:val="18"/>
              </w:rPr>
              <w:t xml:space="preserve">None present</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cross-jurisdiction comparison</w:t>
            </w:r>
          </w:p>
        </w:tc>
        <w:tc>
          <w:tcPr>
            <w:tcW w:type="dxa" w:w="4680"/>
            <w:tcMar>
              <w:top w:type="dxa" w:w="60"/>
              <w:left w:type="dxa" w:w="100"/>
              <w:bottom w:type="dxa" w:w="60"/>
              <w:right w:type="dxa" w:w="100"/>
            </w:tcMar>
          </w:tcPr>
          <w:p>
            <w:r>
              <w:rPr>
                <w:b w:val="false"/>
                <w:bCs w:val="false"/>
                <w:sz w:val="18"/>
                <w:szCs w:val="18"/>
              </w:rPr>
              <w:t xml:space="preserve">None</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em dashes</w:t>
            </w:r>
          </w:p>
        </w:tc>
        <w:tc>
          <w:tcPr>
            <w:tcW w:type="dxa" w:w="4680"/>
            <w:tcMar>
              <w:top w:type="dxa" w:w="60"/>
              <w:left w:type="dxa" w:w="100"/>
              <w:bottom w:type="dxa" w:w="60"/>
              <w:right w:type="dxa" w:w="100"/>
            </w:tcMar>
          </w:tcPr>
          <w:p>
            <w:r>
              <w:rPr>
                <w:b w:val="false"/>
                <w:bCs w:val="false"/>
                <w:sz w:val="18"/>
                <w:szCs w:val="18"/>
              </w:rPr>
              <w:t xml:space="preserve">None</w:t>
            </w:r>
          </w:p>
        </w:tc>
      </w:tr>
      <w:tr>
        <w:trPr>
          <w:tblHeader w:val="false"/>
        </w:trPr>
        <w:tc>
          <w:tcPr>
            <w:tcW w:type="dxa" w:w="4680"/>
            <w:tcMar>
              <w:top w:type="dxa" w:w="60"/>
              <w:left w:type="dxa" w:w="100"/>
              <w:bottom w:type="dxa" w:w="60"/>
              <w:right w:type="dxa" w:w="100"/>
            </w:tcMar>
          </w:tcPr>
          <w:p>
            <w:r>
              <w:rPr>
                <w:b w:val="false"/>
                <w:bCs w:val="false"/>
                <w:sz w:val="18"/>
                <w:szCs w:val="18"/>
              </w:rPr>
              <w:t xml:space="preserve">Internal cross-references written as "clause N"</w:t>
            </w:r>
          </w:p>
        </w:tc>
        <w:tc>
          <w:tcPr>
            <w:tcW w:type="dxa" w:w="4680"/>
            <w:tcMar>
              <w:top w:type="dxa" w:w="60"/>
              <w:left w:type="dxa" w:w="100"/>
              <w:bottom w:type="dxa" w:w="60"/>
              <w:right w:type="dxa" w:w="100"/>
            </w:tcMar>
          </w:tcPr>
          <w:p>
            <w:r>
              <w:rPr>
                <w:b w:val="false"/>
                <w:bCs w:val="false"/>
                <w:sz w:val="18"/>
                <w:szCs w:val="18"/>
              </w:rPr>
              <w:t xml:space="preserve">Yes, throughout</w:t>
            </w:r>
          </w:p>
        </w:tc>
      </w:tr>
      <w:tr>
        <w:trPr>
          <w:tblHeader w:val="false"/>
        </w:trPr>
        <w:tc>
          <w:tcPr>
            <w:tcW w:type="dxa" w:w="4680"/>
            <w:tcMar>
              <w:top w:type="dxa" w:w="60"/>
              <w:left w:type="dxa" w:w="100"/>
              <w:bottom w:type="dxa" w:w="60"/>
              <w:right w:type="dxa" w:w="100"/>
            </w:tcMar>
          </w:tcPr>
          <w:p>
            <w:r>
              <w:rPr>
                <w:b w:val="false"/>
                <w:bCs w:val="false"/>
                <w:sz w:val="18"/>
                <w:szCs w:val="18"/>
              </w:rPr>
              <w:t xml:space="preserve">Run through the Data Privacy platform verification pipeline</w:t>
            </w:r>
          </w:p>
        </w:tc>
        <w:tc>
          <w:tcPr>
            <w:tcW w:type="dxa" w:w="4680"/>
            <w:tcMar>
              <w:top w:type="dxa" w:w="60"/>
              <w:left w:type="dxa" w:w="100"/>
              <w:bottom w:type="dxa" w:w="60"/>
              <w:right w:type="dxa" w:w="100"/>
            </w:tcMar>
          </w:tcPr>
          <w:p>
            <w:r>
              <w:rPr>
                <w:b w:val="false"/>
                <w:bCs w:val="false"/>
                <w:sz w:val="18"/>
                <w:szCs w:val="18"/>
              </w:rPr>
              <w:t xml:space="preserve">Not possible: Canada is not a platform jurisdiction. Recorded as an open item for the platform, not for the set</w:t>
            </w:r>
          </w:p>
        </w:tc>
      </w:tr>
    </w:tbl>
    <w:p>
      <w:pPr>
        <w:spacing w:after="120"/>
      </w:pPr>
    </w:p>
    <w:p>
      <w:pPr>
        <w:spacing w:after="120"/>
      </w:pPr>
      <w:r>
        <w:rPr>
          <w:i/>
          <w:iCs/>
          <w:color w:val="666666"/>
        </w:rPr>
        <w:t xml:space="preserve">Educational, not legal advice. No provision has been reviewed by qualified counsel.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Source register - Canada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2026-09-03T18:24:35.861Z</dcterms:created>
  <dcterms:modified xsi:type="dcterms:W3CDTF">2026-09-03T18:24:35.861Z</dcterms:modified>
</cp:coreProperties>
</file>

<file path=docProps/custom.xml><?xml version="1.0" encoding="utf-8"?>
<Properties xmlns="http://schemas.openxmlformats.org/officeDocument/2006/custom-properties" xmlns:vt="http://schemas.openxmlformats.org/officeDocument/2006/docPropsVTypes"/>
</file>