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AI Governance - Enterprise Annex - Japan</w:t>
      </w:r>
    </w:p>
    <w:p>
      <w:pPr>
        <w:pStyle w:val="Heading2"/>
        <w:spacing w:after="100" w:before="200"/>
      </w:pPr>
      <w:r>
        <w:rPr>
          <w:color w:val="2E74B5"/>
        </w:rPr>
        <w:t xml:space="preserve">Operating the APPI duties, the cessation right and the AI Guidelines principles across the AI portfolio</w:t>
      </w:r>
    </w:p>
    <w:p>
      <w:pPr>
        <w:spacing w:after="120"/>
      </w:pPr>
      <w:r>
        <w:rPr>
          <w:b/>
          <w:bCs/>
        </w:rPr>
        <w:t xml:space="preserve">Organisation:</w:t>
      </w:r>
      <w:r>
        <w:t xml:space="preserve"> [ORGANISATION]</w:t>
      </w:r>
    </w:p>
    <w:p>
      <w:pPr>
        <w:spacing w:after="120"/>
      </w:pPr>
      <w:r>
        <w:rPr>
          <w:b/>
          <w:bCs/>
        </w:rPr>
        <w:t xml:space="preserve">Effective date:</w:t>
      </w:r>
      <w:r>
        <w:t xml:space="preserve"> [DATE] </w:t>
      </w:r>
      <w:r>
        <w:rPr>
          <w:b/>
          <w:bCs/>
        </w:rPr>
        <w:t xml:space="preserve">Version:</w:t>
      </w:r>
      <w:r>
        <w:t xml:space="preserve"> 1.0</w:t>
      </w:r>
    </w:p>
    <w:p>
      <w:pPr>
        <w:spacing w:after="120"/>
      </w:pPr>
      <w:r>
        <w:rPr>
          <w:b/>
          <w:bCs/>
        </w:rPr>
        <w:t xml:space="preserve">Owner:</w:t>
      </w:r>
      <w:r>
        <w:t xml:space="preserve"> [Accountable executive for AI] </w:t>
      </w:r>
      <w:r>
        <w:rPr>
          <w:b/>
          <w:bCs/>
        </w:rPr>
        <w:t xml:space="preserve">Privacy lead:</w:t>
      </w:r>
      <w:r>
        <w:t xml:space="preserve"> [Privacy Protection Officer]</w:t>
      </w:r>
    </w:p>
    <w:p>
      <w:pPr>
        <w:spacing w:after="120"/>
      </w:pPr>
      <w:r>
        <w:rPr>
          <w:b/>
          <w:bCs/>
        </w:rPr>
        <w:t xml:space="preserve">Classification:</w:t>
      </w:r>
      <w:r>
        <w:t xml:space="preserve"> Internal</w:t>
      </w:r>
    </w:p>
    <w:p>
      <w:pPr>
        <w:spacing w:after="120"/>
      </w:pPr>
      <w:r>
        <w:rPr>
          <w:b/>
          <w:bCs/>
        </w:rPr>
        <w:t xml:space="preserve">Companion to:</w:t>
      </w:r>
      <w:r>
        <w:t xml:space="preserve"> Artificial Intelligence Acceptable Use Policy - Japan (policy clause references below are to that document)</w:t>
      </w:r>
    </w:p>
    <w:p>
      <w:pPr>
        <w:pStyle w:val="Heading1"/>
        <w:spacing w:after="120" w:before="280"/>
      </w:pPr>
      <w:r>
        <w:rPr>
          <w:color w:val="2E74B5"/>
        </w:rPr>
        <w:t xml:space="preserve">A1. Governance structure and accountability</w:t>
      </w:r>
    </w:p>
    <w:p>
      <w:pPr>
        <w:spacing w:after="120"/>
      </w:pPr>
      <w:r>
        <w:t xml:space="preserve">A1.1 [ORGANISATION] is responsible under the APPI for the personal information it handles, including where an entrusted processor handles it. A Privacy Protection Officer is designated and gives effect to the Act through internal rules; this policy and annex are those rules for AI. The role maps to the accountability principle in the AI Guidelines.</w:t>
      </w:r>
    </w:p>
    <w:p>
      <w:pPr>
        <w:spacing w:after="120"/>
      </w:pPr>
      <w:r>
        <w:t xml:space="preserve">A1.2 The </w:t>
      </w:r>
      <w:r>
        <w:rPr>
          <w:b/>
          <w:bCs/>
        </w:rPr>
        <w:t xml:space="preserve">AI Governance Committee</w:t>
      </w:r>
      <w:r>
        <w:t xml:space="preserve"> comprises the accountable executive (chair), the Privacy Protection Officer, the CISO, [Legal], [Risk] and the business owners of Level 3 and Level 4 systems. It approves Level 4 uses, owns the policy and this annex, reviews the AI register quarterly, receives the monitoring and incident reports at A9, and reviews approval and override rates.</w:t>
      </w:r>
    </w:p>
    <w:p>
      <w:pPr>
        <w:spacing w:after="120"/>
      </w:pPr>
      <w:r>
        <w:t xml:space="preserve">A1.3 The </w:t>
      </w:r>
      <w:r>
        <w:rPr>
          <w:b/>
          <w:bCs/>
        </w:rPr>
        <w:t xml:space="preserve">Privacy Protection Officer</w:t>
      </w:r>
      <w:r>
        <w:t xml:space="preserve"> approves Level 3 uses, owns purpose-of-use and risk assessments, holds the clause 12 determinations, handles disclosure, correction and cessation requests, and manages incident reporting to the Personal Information Protection Commission.</w:t>
      </w:r>
    </w:p>
    <w:p>
      <w:pPr>
        <w:spacing w:after="120"/>
      </w:pPr>
      <w:r>
        <w:t xml:space="preserve">A1.4 Every AI system has a </w:t>
      </w:r>
      <w:r>
        <w:rPr>
          <w:b/>
          <w:bCs/>
        </w:rPr>
        <w:t xml:space="preserve">named accountable person</w:t>
      </w:r>
      <w:r>
        <w:t xml:space="preserve"> who owns its register entry, assessments, testing and monitoring, and knows whether the system is a developer, provider or business-user role for the purposes of the guidelines.</w:t>
      </w:r>
    </w:p>
    <w:p>
      <w:pPr>
        <w:spacing w:after="120"/>
      </w:pPr>
      <w:r>
        <w:t xml:space="preserve">A1.5 The AI Guidelines' governance expectation - build AI governance that identifies, assesses, mitigates and monitors AI risk across the lifecycle, and revisits it as the technology and the rules change - is the frame for this annex.</w:t>
      </w:r>
    </w:p>
    <w:p>
      <w:pPr>
        <w:pStyle w:val="Heading1"/>
        <w:spacing w:after="120" w:before="280"/>
      </w:pPr>
      <w:r>
        <w:rPr>
          <w:color w:val="2E74B5"/>
        </w:rPr>
        <w:t xml:space="preserve">A2. AI system inventory: the register</w:t>
      </w:r>
    </w:p>
    <w:p>
      <w:pPr>
        <w:spacing w:after="120"/>
      </w:pPr>
      <w:r>
        <w:t xml:space="preserve">A2.1 The AI register lists every AI system in use or under evaluation, including AI embedded in procured products and AI features enabled in approved products.</w:t>
      </w:r>
    </w:p>
    <w:p>
      <w:pPr>
        <w:spacing w:after="120"/>
      </w:pPr>
      <w:r>
        <w:t xml:space="preserve">A2.2 Each entry records: system and supplier; purpose of use, notified or announced as required; business owner and accountable person; level of use; the personal information handled and whether it is sensitive personal information; whether the supplier is an </w:t>
      </w:r>
      <w:r>
        <w:rPr>
          <w:b/>
          <w:bCs/>
        </w:rPr>
        <w:t xml:space="preserve">entrusted processor</w:t>
      </w:r>
      <w:r>
        <w:t xml:space="preserve"> under supervision or a </w:t>
      </w:r>
      <w:r>
        <w:rPr>
          <w:b/>
          <w:bCs/>
        </w:rPr>
        <w:t xml:space="preserve">third party</w:t>
      </w:r>
      <w:r>
        <w:t xml:space="preserve">; whether personal data is provided outside Japan and the basis; whether the system identifies, locates or profiles people from biometric features; the clause 12 determination, including whether the handling could be likely to harm the person's rights or interests; the risk assessment; testing and monitoring; retention periods for prompts, outputs and training data; and the guidelines role (developer, provider, business user).</w:t>
      </w:r>
    </w:p>
    <w:p>
      <w:pPr>
        <w:spacing w:after="120"/>
      </w:pPr>
      <w:r>
        <w:t xml:space="preserve">A2.3 The register is the source of the public handling statement (policy clause 8.1) and of the quarterly review. Material changes reopen approval.</w:t>
      </w:r>
    </w:p>
    <w:p>
      <w:pPr>
        <w:pStyle w:val="Heading1"/>
        <w:spacing w:after="120" w:before="280"/>
      </w:pPr>
      <w:r>
        <w:rPr>
          <w:color w:val="2E74B5"/>
        </w:rPr>
        <w:t xml:space="preserve">A3. Amendment-readiness register</w:t>
      </w:r>
    </w:p>
    <w:p>
      <w:pPr>
        <w:spacing w:after="120"/>
      </w:pPr>
      <w:r>
        <w:t xml:space="preserve">A3.1 The set relies on nothing in the 2026 APPI amendment. This register tracks it and the subordinate rules applied by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EEAF6" w:color="auto" w:val="clear"/>
            <w:tcMar>
              <w:top w:type="dxa" w:w="60"/>
              <w:left w:type="dxa" w:w="100"/>
              <w:bottom w:type="dxa" w:w="60"/>
              <w:right w:type="dxa" w:w="100"/>
            </w:tcMar>
          </w:tcPr>
          <w:p>
            <w:r>
              <w:rPr>
                <w:b/>
                <w:bCs/>
                <w:sz w:val="18"/>
                <w:szCs w:val="18"/>
              </w:rPr>
              <w:t xml:space="preserve">Item</w:t>
            </w:r>
          </w:p>
        </w:tc>
        <w:tc>
          <w:tcPr>
            <w:tcW w:type="dxa" w:w="2340"/>
            <w:shd w:fill="DEEAF6" w:color="auto" w:val="clear"/>
            <w:tcMar>
              <w:top w:type="dxa" w:w="60"/>
              <w:left w:type="dxa" w:w="100"/>
              <w:bottom w:type="dxa" w:w="60"/>
              <w:right w:type="dxa" w:w="100"/>
            </w:tcMar>
          </w:tcPr>
          <w:p>
            <w:r>
              <w:rPr>
                <w:b/>
                <w:bCs/>
                <w:sz w:val="18"/>
                <w:szCs w:val="18"/>
              </w:rPr>
              <w:t xml:space="preserve">Source</w:t>
            </w:r>
          </w:p>
        </w:tc>
        <w:tc>
          <w:tcPr>
            <w:tcW w:type="dxa" w:w="2340"/>
            <w:shd w:fill="DEEAF6" w:color="auto" w:val="clear"/>
            <w:tcMar>
              <w:top w:type="dxa" w:w="60"/>
              <w:left w:type="dxa" w:w="100"/>
              <w:bottom w:type="dxa" w:w="60"/>
              <w:right w:type="dxa" w:w="100"/>
            </w:tcMar>
          </w:tcPr>
          <w:p>
            <w:r>
              <w:rPr>
                <w:b/>
                <w:bCs/>
                <w:sz w:val="18"/>
                <w:szCs w:val="18"/>
              </w:rPr>
              <w:t xml:space="preserve">Status</w:t>
            </w:r>
          </w:p>
        </w:tc>
        <w:tc>
          <w:tcPr>
            <w:tcW w:type="dxa" w:w="2340"/>
            <w:shd w:fill="DEEAF6" w:color="auto" w:val="clear"/>
            <w:tcMar>
              <w:top w:type="dxa" w:w="60"/>
              <w:left w:type="dxa" w:w="100"/>
              <w:bottom w:type="dxa" w:w="60"/>
              <w:right w:type="dxa" w:w="100"/>
            </w:tcMar>
          </w:tcPr>
          <w:p>
            <w:r>
              <w:rPr>
                <w:b/>
                <w:bCs/>
                <w:sz w:val="18"/>
                <w:szCs w:val="18"/>
              </w:rPr>
              <w:t xml:space="preserve">Owner</w:t>
            </w:r>
          </w:p>
        </w:tc>
      </w:tr>
      <w:tr>
        <w:trPr>
          <w:tblHeader w:val="false"/>
        </w:trPr>
        <w:tc>
          <w:tcPr>
            <w:tcW w:type="dxa" w:w="2340"/>
            <w:tcMar>
              <w:top w:type="dxa" w:w="60"/>
              <w:left w:type="dxa" w:w="100"/>
              <w:bottom w:type="dxa" w:w="60"/>
              <w:right w:type="dxa" w:w="100"/>
            </w:tcMar>
          </w:tcPr>
          <w:p>
            <w:r>
              <w:rPr>
                <w:b w:val="false"/>
                <w:bCs w:val="false"/>
                <w:sz w:val="18"/>
                <w:szCs w:val="18"/>
              </w:rPr>
              <w:t xml:space="preserve">2026 APPI amendment: Diet submission, passage, promulgation, effective date</w:t>
            </w:r>
          </w:p>
        </w:tc>
        <w:tc>
          <w:tcPr>
            <w:tcW w:type="dxa" w:w="2340"/>
            <w:tcMar>
              <w:top w:type="dxa" w:w="60"/>
              <w:left w:type="dxa" w:w="100"/>
              <w:bottom w:type="dxa" w:w="60"/>
              <w:right w:type="dxa" w:w="100"/>
            </w:tcMar>
          </w:tcPr>
          <w:p>
            <w:r>
              <w:rPr>
                <w:b w:val="false"/>
                <w:bCs w:val="false"/>
                <w:sz w:val="18"/>
                <w:szCs w:val="18"/>
              </w:rPr>
              <w:t xml:space="preserve">PPC triennial-review reform policy, Jan 2026 (submission expected spring 2026; effect ~2 years after passage)</w:t>
            </w:r>
          </w:p>
        </w:tc>
        <w:tc>
          <w:tcPr>
            <w:tcW w:type="dxa" w:w="2340"/>
            <w:tcMar>
              <w:top w:type="dxa" w:w="60"/>
              <w:left w:type="dxa" w:w="100"/>
              <w:bottom w:type="dxa" w:w="60"/>
              <w:right w:type="dxa" w:w="100"/>
            </w:tcMar>
          </w:tcPr>
          <w:p>
            <w:r>
              <w:rPr>
                <w:b w:val="false"/>
                <w:bCs w:val="false"/>
                <w:sz w:val="18"/>
                <w:szCs w:val="18"/>
              </w:rPr>
              <w:t xml:space="preserve">Monitored</w:t>
            </w:r>
          </w:p>
        </w:tc>
        <w:tc>
          <w:tcPr>
            <w:tcW w:type="dxa" w:w="2340"/>
            <w:tcMar>
              <w:top w:type="dxa" w:w="60"/>
              <w:left w:type="dxa" w:w="100"/>
              <w:bottom w:type="dxa" w:w="60"/>
              <w:right w:type="dxa" w:w="100"/>
            </w:tcMar>
          </w:tcPr>
          <w:p>
            <w:r>
              <w:rPr>
                <w:b w:val="false"/>
                <w:bCs w:val="false"/>
                <w:sz w:val="18"/>
                <w:szCs w:val="18"/>
              </w:rPr>
              <w:t xml:space="preserve">[Legal]</w:t>
            </w:r>
          </w:p>
        </w:tc>
      </w:tr>
      <w:tr>
        <w:trPr>
          <w:tblHeader w:val="false"/>
        </w:trPr>
        <w:tc>
          <w:tcPr>
            <w:tcW w:type="dxa" w:w="2340"/>
            <w:tcMar>
              <w:top w:type="dxa" w:w="60"/>
              <w:left w:type="dxa" w:w="100"/>
              <w:bottom w:type="dxa" w:w="60"/>
              <w:right w:type="dxa" w:w="100"/>
            </w:tcMar>
          </w:tcPr>
          <w:p>
            <w:r>
              <w:rPr>
                <w:b w:val="false"/>
                <w:bCs w:val="false"/>
                <w:sz w:val="18"/>
                <w:szCs w:val="18"/>
              </w:rPr>
              <w:t xml:space="preserve">If enacted: statistics/AI-development consent exception; under-16 rules with best-interests provision; facial-feature-data duties and opt-out prohibition; low-risk breach notice relaxation; targeting-information prohibition; administrative monetary penalties</w:t>
            </w:r>
          </w:p>
        </w:tc>
        <w:tc>
          <w:tcPr>
            <w:tcW w:type="dxa" w:w="2340"/>
            <w:tcMar>
              <w:top w:type="dxa" w:w="60"/>
              <w:left w:type="dxa" w:w="100"/>
              <w:bottom w:type="dxa" w:w="60"/>
              <w:right w:type="dxa" w:w="100"/>
            </w:tcMar>
          </w:tcPr>
          <w:p>
            <w:r>
              <w:rPr>
                <w:b w:val="false"/>
                <w:bCs w:val="false"/>
                <w:sz w:val="18"/>
                <w:szCs w:val="18"/>
              </w:rPr>
              <w:t xml:space="preserve">PPC reform policy</w:t>
            </w:r>
          </w:p>
        </w:tc>
        <w:tc>
          <w:tcPr>
            <w:tcW w:type="dxa" w:w="2340"/>
            <w:tcMar>
              <w:top w:type="dxa" w:w="60"/>
              <w:left w:type="dxa" w:w="100"/>
              <w:bottom w:type="dxa" w:w="60"/>
              <w:right w:type="dxa" w:w="100"/>
            </w:tcMar>
          </w:tcPr>
          <w:p>
            <w:r>
              <w:rPr>
                <w:b w:val="false"/>
                <w:bCs w:val="false"/>
                <w:sz w:val="18"/>
                <w:szCs w:val="18"/>
              </w:rPr>
              <w:t xml:space="preserve">Pending</w:t>
            </w:r>
          </w:p>
        </w:tc>
        <w:tc>
          <w:tcPr>
            <w:tcW w:type="dxa" w:w="2340"/>
            <w:tcMar>
              <w:top w:type="dxa" w:w="60"/>
              <w:left w:type="dxa" w:w="100"/>
              <w:bottom w:type="dxa" w:w="60"/>
              <w:right w:type="dxa" w:w="100"/>
            </w:tcMar>
          </w:tcPr>
          <w:p>
            <w:r>
              <w:rPr>
                <w:b w:val="false"/>
                <w:bCs w:val="false"/>
                <w:sz w:val="18"/>
                <w:szCs w:val="18"/>
              </w:rPr>
              <w:t xml:space="preserve">Privacy Protection Officer</w:t>
            </w:r>
          </w:p>
        </w:tc>
      </w:tr>
      <w:tr>
        <w:trPr>
          <w:tblHeader w:val="false"/>
        </w:trPr>
        <w:tc>
          <w:tcPr>
            <w:tcW w:type="dxa" w:w="2340"/>
            <w:tcMar>
              <w:top w:type="dxa" w:w="60"/>
              <w:left w:type="dxa" w:w="100"/>
              <w:bottom w:type="dxa" w:w="60"/>
              <w:right w:type="dxa" w:w="100"/>
            </w:tcMar>
          </w:tcPr>
          <w:p>
            <w:r>
              <w:rPr>
                <w:b w:val="false"/>
                <w:bCs w:val="false"/>
                <w:sz w:val="18"/>
                <w:szCs w:val="18"/>
              </w:rPr>
              <w:t xml:space="preserve">Cabinet Order and PPC Enforcement Rules: leak-report content and timing, opt-out filing particulars, equivalent-measures standard, disclosure procedure</w:t>
            </w:r>
          </w:p>
        </w:tc>
        <w:tc>
          <w:tcPr>
            <w:tcW w:type="dxa" w:w="2340"/>
            <w:tcMar>
              <w:top w:type="dxa" w:w="60"/>
              <w:left w:type="dxa" w:w="100"/>
              <w:bottom w:type="dxa" w:w="60"/>
              <w:right w:type="dxa" w:w="100"/>
            </w:tcMar>
          </w:tcPr>
          <w:p>
            <w:r>
              <w:rPr>
                <w:b w:val="false"/>
                <w:bCs w:val="false"/>
                <w:sz w:val="18"/>
                <w:szCs w:val="18"/>
              </w:rPr>
              <w:t xml:space="preserve">APPI subordinate legislation (held)</w:t>
            </w:r>
          </w:p>
        </w:tc>
        <w:tc>
          <w:tcPr>
            <w:tcW w:type="dxa" w:w="2340"/>
            <w:tcMar>
              <w:top w:type="dxa" w:w="60"/>
              <w:left w:type="dxa" w:w="100"/>
              <w:bottom w:type="dxa" w:w="60"/>
              <w:right w:type="dxa" w:w="100"/>
            </w:tcMar>
          </w:tcPr>
          <w:p>
            <w:r>
              <w:rPr>
                <w:b w:val="false"/>
                <w:bCs w:val="false"/>
                <w:sz w:val="18"/>
                <w:szCs w:val="18"/>
              </w:rPr>
              <w:t xml:space="preserve">Applied by reference; confirm current versions</w:t>
            </w:r>
          </w:p>
        </w:tc>
        <w:tc>
          <w:tcPr>
            <w:tcW w:type="dxa" w:w="2340"/>
            <w:tcMar>
              <w:top w:type="dxa" w:w="60"/>
              <w:left w:type="dxa" w:w="100"/>
              <w:bottom w:type="dxa" w:w="60"/>
              <w:right w:type="dxa" w:w="100"/>
            </w:tcMar>
          </w:tcPr>
          <w:p>
            <w:r>
              <w:rPr>
                <w:b w:val="false"/>
                <w:bCs w:val="false"/>
                <w:sz w:val="18"/>
                <w:szCs w:val="18"/>
              </w:rPr>
              <w:t xml:space="preserve">Privacy Protection Officer</w:t>
            </w:r>
          </w:p>
        </w:tc>
      </w:tr>
      <w:tr>
        <w:trPr>
          <w:tblHeader w:val="false"/>
        </w:trPr>
        <w:tc>
          <w:tcPr>
            <w:tcW w:type="dxa" w:w="2340"/>
            <w:tcMar>
              <w:top w:type="dxa" w:w="60"/>
              <w:left w:type="dxa" w:w="100"/>
              <w:bottom w:type="dxa" w:w="60"/>
              <w:right w:type="dxa" w:w="100"/>
            </w:tcMar>
          </w:tcPr>
          <w:p>
            <w:r>
              <w:rPr>
                <w:b w:val="false"/>
                <w:bCs w:val="false"/>
                <w:sz w:val="18"/>
                <w:szCs w:val="18"/>
              </w:rPr>
              <w:t xml:space="preserve">AI Guidelines for Business: successor versions</w:t>
            </w:r>
          </w:p>
        </w:tc>
        <w:tc>
          <w:tcPr>
            <w:tcW w:type="dxa" w:w="2340"/>
            <w:tcMar>
              <w:top w:type="dxa" w:w="60"/>
              <w:left w:type="dxa" w:w="100"/>
              <w:bottom w:type="dxa" w:w="60"/>
              <w:right w:type="dxa" w:w="100"/>
            </w:tcMar>
          </w:tcPr>
          <w:p>
            <w:r>
              <w:rPr>
                <w:b w:val="false"/>
                <w:bCs w:val="false"/>
                <w:sz w:val="18"/>
                <w:szCs w:val="18"/>
              </w:rPr>
              <w:t xml:space="preserve">METI / MIC</w:t>
            </w:r>
          </w:p>
        </w:tc>
        <w:tc>
          <w:tcPr>
            <w:tcW w:type="dxa" w:w="2340"/>
            <w:tcMar>
              <w:top w:type="dxa" w:w="60"/>
              <w:left w:type="dxa" w:w="100"/>
              <w:bottom w:type="dxa" w:w="60"/>
              <w:right w:type="dxa" w:w="100"/>
            </w:tcMar>
          </w:tcPr>
          <w:p>
            <w:r>
              <w:rPr>
                <w:b w:val="false"/>
                <w:bCs w:val="false"/>
                <w:sz w:val="18"/>
                <w:szCs w:val="18"/>
              </w:rPr>
              <w:t xml:space="preserve">Monitored</w:t>
            </w:r>
          </w:p>
        </w:tc>
        <w:tc>
          <w:tcPr>
            <w:tcW w:type="dxa" w:w="2340"/>
            <w:tcMar>
              <w:top w:type="dxa" w:w="60"/>
              <w:left w:type="dxa" w:w="100"/>
              <w:bottom w:type="dxa" w:w="60"/>
              <w:right w:type="dxa" w:w="100"/>
            </w:tcMar>
          </w:tcPr>
          <w:p>
            <w:r>
              <w:rPr>
                <w:b w:val="false"/>
                <w:bCs w:val="false"/>
                <w:sz w:val="18"/>
                <w:szCs w:val="18"/>
              </w:rPr>
              <w:t xml:space="preserve">[Legal]</w:t>
            </w:r>
          </w:p>
        </w:tc>
      </w:tr>
    </w:tbl>
    <w:p>
      <w:pPr>
        <w:spacing w:after="120"/>
      </w:pPr>
    </w:p>
    <w:p>
      <w:pPr>
        <w:pStyle w:val="Heading1"/>
        <w:spacing w:after="120" w:before="280"/>
      </w:pPr>
      <w:r>
        <w:rPr>
          <w:color w:val="2E74B5"/>
        </w:rPr>
        <w:t xml:space="preserve">A4. The determination in operation</w:t>
      </w:r>
    </w:p>
    <w:p>
      <w:pPr>
        <w:spacing w:after="120"/>
      </w:pPr>
      <w:r>
        <w:t xml:space="preserve">A4.1 For every system bearing on a decision about a person, the accountable person records the two-part determination at policy clause 12: significant effect (Level 4 controls), and whether the handling could be likely to harm the person's rights or interests (cessation right engageable).</w:t>
      </w:r>
    </w:p>
    <w:p>
      <w:pPr>
        <w:spacing w:after="120"/>
      </w:pPr>
      <w:r>
        <w:t xml:space="preserve">A4.2 </w:t>
      </w:r>
      <w:r>
        <w:rPr>
          <w:b/>
          <w:bCs/>
        </w:rPr>
        <w:t xml:space="preserve">Worked entries</w:t>
      </w:r>
      <w:r>
        <w:t xml:space="preserv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EEAF6" w:color="auto" w:val="clear"/>
            <w:tcMar>
              <w:top w:type="dxa" w:w="60"/>
              <w:left w:type="dxa" w:w="100"/>
              <w:bottom w:type="dxa" w:w="60"/>
              <w:right w:type="dxa" w:w="100"/>
            </w:tcMar>
          </w:tcPr>
          <w:p>
            <w:r>
              <w:rPr>
                <w:b/>
                <w:bCs/>
                <w:sz w:val="18"/>
                <w:szCs w:val="18"/>
              </w:rPr>
              <w:t xml:space="preserve">System and use</w:t>
            </w:r>
          </w:p>
        </w:tc>
        <w:tc>
          <w:tcPr>
            <w:tcW w:type="dxa" w:w="2340"/>
            <w:shd w:fill="DEEAF6" w:color="auto" w:val="clear"/>
            <w:tcMar>
              <w:top w:type="dxa" w:w="60"/>
              <w:left w:type="dxa" w:w="100"/>
              <w:bottom w:type="dxa" w:w="60"/>
              <w:right w:type="dxa" w:w="100"/>
            </w:tcMar>
          </w:tcPr>
          <w:p>
            <w:r>
              <w:rPr>
                <w:b/>
                <w:bCs/>
                <w:sz w:val="18"/>
                <w:szCs w:val="18"/>
              </w:rPr>
              <w:t xml:space="preserve">Significant effect?</w:t>
            </w:r>
          </w:p>
        </w:tc>
        <w:tc>
          <w:tcPr>
            <w:tcW w:type="dxa" w:w="2340"/>
            <w:shd w:fill="DEEAF6" w:color="auto" w:val="clear"/>
            <w:tcMar>
              <w:top w:type="dxa" w:w="60"/>
              <w:left w:type="dxa" w:w="100"/>
              <w:bottom w:type="dxa" w:w="60"/>
              <w:right w:type="dxa" w:w="100"/>
            </w:tcMar>
          </w:tcPr>
          <w:p>
            <w:r>
              <w:rPr>
                <w:b/>
                <w:bCs/>
                <w:sz w:val="18"/>
                <w:szCs w:val="18"/>
              </w:rPr>
              <w:t xml:space="preserve">Handling likely to harm rights or interests?</w:t>
            </w:r>
          </w:p>
        </w:tc>
        <w:tc>
          <w:tcPr>
            <w:tcW w:type="dxa" w:w="2340"/>
            <w:shd w:fill="DEEAF6" w:color="auto" w:val="clear"/>
            <w:tcMar>
              <w:top w:type="dxa" w:w="60"/>
              <w:left w:type="dxa" w:w="100"/>
              <w:bottom w:type="dxa" w:w="60"/>
              <w:right w:type="dxa" w:w="100"/>
            </w:tcMar>
          </w:tcPr>
          <w:p>
            <w:r>
              <w:rPr>
                <w:b/>
                <w:bCs/>
                <w:sz w:val="18"/>
                <w:szCs w:val="18"/>
              </w:rPr>
              <w:t xml:space="preserve">Outcome</w:t>
            </w:r>
          </w:p>
        </w:tc>
      </w:tr>
      <w:tr>
        <w:trPr>
          <w:tblHeader w:val="false"/>
        </w:trPr>
        <w:tc>
          <w:tcPr>
            <w:tcW w:type="dxa" w:w="2340"/>
            <w:tcMar>
              <w:top w:type="dxa" w:w="60"/>
              <w:left w:type="dxa" w:w="100"/>
              <w:bottom w:type="dxa" w:w="60"/>
              <w:right w:type="dxa" w:w="100"/>
            </w:tcMar>
          </w:tcPr>
          <w:p>
            <w:r>
              <w:rPr>
                <w:b w:val="false"/>
                <w:bCs w:val="false"/>
                <w:sz w:val="18"/>
                <w:szCs w:val="18"/>
              </w:rPr>
              <w:t xml:space="preserve">Credit model auto-approving below a threshold</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Possibly, if wrong</w:t>
            </w:r>
          </w:p>
        </w:tc>
        <w:tc>
          <w:tcPr>
            <w:tcW w:type="dxa" w:w="2340"/>
            <w:tcMar>
              <w:top w:type="dxa" w:w="60"/>
              <w:left w:type="dxa" w:w="100"/>
              <w:bottom w:type="dxa" w:w="60"/>
              <w:right w:type="dxa" w:w="100"/>
            </w:tcMar>
          </w:tcPr>
          <w:p>
            <w:r>
              <w:rPr>
                <w:b w:val="false"/>
                <w:bCs w:val="false"/>
                <w:sz w:val="18"/>
                <w:szCs w:val="18"/>
              </w:rPr>
              <w:t xml:space="preserve">Level 4; cessation right must be honourable; explanation as house standard</w:t>
            </w:r>
          </w:p>
        </w:tc>
      </w:tr>
      <w:tr>
        <w:trPr>
          <w:tblHeader w:val="false"/>
        </w:trPr>
        <w:tc>
          <w:tcPr>
            <w:tcW w:type="dxa" w:w="2340"/>
            <w:tcMar>
              <w:top w:type="dxa" w:w="60"/>
              <w:left w:type="dxa" w:w="100"/>
              <w:bottom w:type="dxa" w:w="60"/>
              <w:right w:type="dxa" w:w="100"/>
            </w:tcMar>
          </w:tcPr>
          <w:p>
            <w:r>
              <w:rPr>
                <w:b w:val="false"/>
                <w:bCs w:val="false"/>
                <w:sz w:val="18"/>
                <w:szCs w:val="18"/>
              </w:rPr>
              <w:t xml:space="preserve">Applicant screening ranking CVs for a recruiter</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Possibly</w:t>
            </w:r>
          </w:p>
        </w:tc>
        <w:tc>
          <w:tcPr>
            <w:tcW w:type="dxa" w:w="2340"/>
            <w:tcMar>
              <w:top w:type="dxa" w:w="60"/>
              <w:left w:type="dxa" w:w="100"/>
              <w:bottom w:type="dxa" w:w="60"/>
              <w:right w:type="dxa" w:w="100"/>
            </w:tcMar>
          </w:tcPr>
          <w:p>
            <w:r>
              <w:rPr>
                <w:b w:val="false"/>
                <w:bCs w:val="false"/>
                <w:sz w:val="18"/>
                <w:szCs w:val="18"/>
              </w:rPr>
              <w:t xml:space="preserve">Level 4; same</w:t>
            </w:r>
          </w:p>
        </w:tc>
      </w:tr>
      <w:tr>
        <w:trPr>
          <w:tblHeader w:val="false"/>
        </w:trPr>
        <w:tc>
          <w:tcPr>
            <w:tcW w:type="dxa" w:w="2340"/>
            <w:tcMar>
              <w:top w:type="dxa" w:w="60"/>
              <w:left w:type="dxa" w:w="100"/>
              <w:bottom w:type="dxa" w:w="60"/>
              <w:right w:type="dxa" w:w="100"/>
            </w:tcMar>
          </w:tcPr>
          <w:p>
            <w:r>
              <w:rPr>
                <w:b w:val="false"/>
                <w:bCs w:val="false"/>
                <w:sz w:val="18"/>
                <w:szCs w:val="18"/>
              </w:rPr>
              <w:t xml:space="preserve">Facial recognition identifying customers in-store</w:t>
            </w:r>
          </w:p>
        </w:tc>
        <w:tc>
          <w:tcPr>
            <w:tcW w:type="dxa" w:w="2340"/>
            <w:tcMar>
              <w:top w:type="dxa" w:w="60"/>
              <w:left w:type="dxa" w:w="100"/>
              <w:bottom w:type="dxa" w:w="60"/>
              <w:right w:type="dxa" w:w="100"/>
            </w:tcMar>
          </w:tcPr>
          <w:p>
            <w:r>
              <w:rPr>
                <w:b w:val="false"/>
                <w:bCs w:val="false"/>
                <w:sz w:val="18"/>
                <w:szCs w:val="18"/>
              </w:rPr>
              <w:t xml:space="preserve">Yes</w:t>
            </w:r>
          </w:p>
        </w:tc>
        <w:tc>
          <w:tcPr>
            <w:tcW w:type="dxa" w:w="2340"/>
            <w:tcMar>
              <w:top w:type="dxa" w:w="60"/>
              <w:left w:type="dxa" w:w="100"/>
              <w:bottom w:type="dxa" w:w="60"/>
              <w:right w:type="dxa" w:w="100"/>
            </w:tcMar>
          </w:tcPr>
          <w:p>
            <w:r>
              <w:rPr>
                <w:b w:val="false"/>
                <w:bCs w:val="false"/>
                <w:sz w:val="18"/>
                <w:szCs w:val="18"/>
              </w:rPr>
              <w:t xml:space="preserve">Yes - sensitive-tier identifiers</w:t>
            </w:r>
          </w:p>
        </w:tc>
        <w:tc>
          <w:tcPr>
            <w:tcW w:type="dxa" w:w="2340"/>
            <w:tcMar>
              <w:top w:type="dxa" w:w="60"/>
              <w:left w:type="dxa" w:w="100"/>
              <w:bottom w:type="dxa" w:w="60"/>
              <w:right w:type="dxa" w:w="100"/>
            </w:tcMar>
          </w:tcPr>
          <w:p>
            <w:r>
              <w:rPr>
                <w:b w:val="false"/>
                <w:bCs w:val="false"/>
                <w:sz w:val="18"/>
                <w:szCs w:val="18"/>
              </w:rPr>
              <w:t xml:space="preserve">Level 3/4; consent required; opt-out provision prohibited</w:t>
            </w:r>
          </w:p>
        </w:tc>
      </w:tr>
      <w:tr>
        <w:trPr>
          <w:tblHeader w:val="false"/>
        </w:trPr>
        <w:tc>
          <w:tcPr>
            <w:tcW w:type="dxa" w:w="2340"/>
            <w:tcMar>
              <w:top w:type="dxa" w:w="60"/>
              <w:left w:type="dxa" w:w="100"/>
              <w:bottom w:type="dxa" w:w="60"/>
              <w:right w:type="dxa" w:w="100"/>
            </w:tcMar>
          </w:tcPr>
          <w:p>
            <w:r>
              <w:rPr>
                <w:b w:val="false"/>
                <w:bCs w:val="false"/>
                <w:sz w:val="18"/>
                <w:szCs w:val="18"/>
              </w:rPr>
              <w:t xml:space="preserve">Chatbot answering product questions</w:t>
            </w:r>
          </w:p>
        </w:tc>
        <w:tc>
          <w:tcPr>
            <w:tcW w:type="dxa" w:w="2340"/>
            <w:tcMar>
              <w:top w:type="dxa" w:w="60"/>
              <w:left w:type="dxa" w:w="100"/>
              <w:bottom w:type="dxa" w:w="60"/>
              <w:right w:type="dxa" w:w="100"/>
            </w:tcMar>
          </w:tcPr>
          <w:p>
            <w:r>
              <w:rPr>
                <w:b w:val="false"/>
                <w:bCs w:val="false"/>
                <w:sz w:val="18"/>
                <w:szCs w:val="18"/>
              </w:rPr>
              <w:t xml:space="preserve">No</w:t>
            </w:r>
          </w:p>
        </w:tc>
        <w:tc>
          <w:tcPr>
            <w:tcW w:type="dxa" w:w="2340"/>
            <w:tcMar>
              <w:top w:type="dxa" w:w="60"/>
              <w:left w:type="dxa" w:w="100"/>
              <w:bottom w:type="dxa" w:w="60"/>
              <w:right w:type="dxa" w:w="100"/>
            </w:tcMar>
          </w:tcPr>
          <w:p>
            <w:r>
              <w:rPr>
                <w:b w:val="false"/>
                <w:bCs w:val="false"/>
                <w:sz w:val="18"/>
                <w:szCs w:val="18"/>
              </w:rPr>
              <w:t xml:space="preserve">No</w:t>
            </w:r>
          </w:p>
        </w:tc>
        <w:tc>
          <w:tcPr>
            <w:tcW w:type="dxa" w:w="2340"/>
            <w:tcMar>
              <w:top w:type="dxa" w:w="60"/>
              <w:left w:type="dxa" w:w="100"/>
              <w:bottom w:type="dxa" w:w="60"/>
              <w:right w:type="dxa" w:w="100"/>
            </w:tcMar>
          </w:tcPr>
          <w:p>
            <w:r>
              <w:rPr>
                <w:b w:val="false"/>
                <w:bCs w:val="false"/>
                <w:sz w:val="18"/>
                <w:szCs w:val="18"/>
              </w:rPr>
              <w:t xml:space="preserve">Customer-facing disclosure only</w:t>
            </w:r>
          </w:p>
        </w:tc>
      </w:tr>
    </w:tbl>
    <w:p>
      <w:pPr>
        <w:spacing w:after="120"/>
      </w:pPr>
    </w:p>
    <w:p>
      <w:pPr>
        <w:spacing w:after="120"/>
      </w:pPr>
      <w:r>
        <w:t xml:space="preserve">A4.3 The register records, for each system inside Level 4, how the person is told, the explanation template (personal data used, principal factors), the review route, and how a cessation request under policy clause 13.1 would be executed against that system's data store.</w:t>
      </w:r>
    </w:p>
    <w:p>
      <w:pPr>
        <w:pStyle w:val="Heading1"/>
        <w:spacing w:after="120" w:before="280"/>
      </w:pPr>
      <w:r>
        <w:rPr>
          <w:color w:val="2E74B5"/>
        </w:rPr>
        <w:t xml:space="preserve">A5. Purpose-of-use and risk assessments</w:t>
      </w:r>
    </w:p>
    <w:p>
      <w:pPr>
        <w:spacing w:after="120"/>
      </w:pPr>
      <w:r>
        <w:t xml:space="preserve">A5.1 Before any Level 3 or Level 4 use, any generation or inference of personal information, any biometric use, any scraping or acquisition, any fine-tuning, and any customer-facing AI, [ORGANISATION] confirms and records the specified purpose of use and whether the AI use is within it, and completes a privacy risk assessment.</w:t>
      </w:r>
    </w:p>
    <w:p>
      <w:pPr>
        <w:spacing w:after="120"/>
      </w:pPr>
      <w:r>
        <w:t xml:space="preserve">A5.2 The assessment addresses: the specified purpose and whether consent or a purpose change is needed; sensitivity and the consent basis for sensitive personal information; whether the system generates or infers personal information; security and the AI-specific threats; entrustment versus third-party provision; cross-border provision; retention and deletion; the cessation-right exposure; biometric and profiling functions; minors and vulnerable people; and, for Level 4, unfair-bias testing.</w:t>
      </w:r>
    </w:p>
    <w:p>
      <w:pPr>
        <w:spacing w:after="120"/>
      </w:pPr>
      <w:r>
        <w:t xml:space="preserve">A5.3 Where the assessment cannot establish a lawful basis for a use, it does not proceed until consent is obtained or the design changes.</w:t>
      </w:r>
    </w:p>
    <w:p>
      <w:pPr>
        <w:pStyle w:val="Heading1"/>
        <w:spacing w:after="120" w:before="280"/>
      </w:pPr>
      <w:r>
        <w:rPr>
          <w:color w:val="2E74B5"/>
        </w:rPr>
        <w:t xml:space="preserve">A6. Entrustment, third parties and cross-border transfers</w:t>
      </w:r>
    </w:p>
    <w:p>
      <w:pPr>
        <w:spacing w:after="120"/>
      </w:pPr>
      <w:r>
        <w:t xml:space="preserve">A6.1 For every AI supplier, [ORGANISATION] determines whether it is an </w:t>
      </w:r>
      <w:r>
        <w:rPr>
          <w:b/>
          <w:bCs/>
        </w:rPr>
        <w:t xml:space="preserve">entrusted processor</w:t>
      </w:r>
      <w:r>
        <w:t xml:space="preserve"> (handling personal data only on [ORGANISATION]'s instructions and for its purposes) or a </w:t>
      </w:r>
      <w:r>
        <w:rPr>
          <w:b/>
          <w:bCs/>
        </w:rPr>
        <w:t xml:space="preserve">third party</w:t>
      </w:r>
      <w:r>
        <w:t xml:space="preserve"> (able to use inputs or outputs for its own purposes). The determination is recorded and drives the legal basis: supervision for the former, consent or exception for the latter.</w:t>
      </w:r>
    </w:p>
    <w:p>
      <w:pPr>
        <w:spacing w:after="120"/>
      </w:pPr>
      <w:r>
        <w:t xml:space="preserve">A6.2 For an entrusted processor, the contract confines the data to [ORGANISATION]'s purposes, prohibits the supplier's own use including model training, requires security and deletion, and permits audit; [ORGANISATION] exercises necessary and adequate supervision.</w:t>
      </w:r>
    </w:p>
    <w:p>
      <w:pPr>
        <w:spacing w:after="120"/>
      </w:pPr>
      <w:r>
        <w:t xml:space="preserve">A6.3 </w:t>
      </w:r>
      <w:r>
        <w:rPr>
          <w:b/>
          <w:bCs/>
        </w:rPr>
        <w:t xml:space="preserve">Cross-border.</w:t>
      </w:r>
      <w:r>
        <w:t xml:space="preserve"> Before personal data is provided to a supplier in a foreign country, [ORGANISATION] establishes the basis: the country is one the Commission recognises; or the recipient maintains continuous equivalent measures under a compliant system, in which case [ORGANISATION] takes the steps the Rules require to ensure their continued implementation and to answer the person's enquiries; or the person's prior consent, informed by information about the foreign regime, is obtained. The basis is recorded in the register.</w:t>
      </w:r>
    </w:p>
    <w:p>
      <w:pPr>
        <w:spacing w:after="120"/>
      </w:pPr>
      <w:r>
        <w:t xml:space="preserve">A6.4 Suppliers are asked for the information the guidelines expect developers and providers to give: intended purpose and limitations, known failure cases, training-data provenance where relevant, and security testing.</w:t>
      </w:r>
    </w:p>
    <w:p>
      <w:pPr>
        <w:pStyle w:val="Heading1"/>
        <w:spacing w:after="120" w:before="280"/>
      </w:pPr>
      <w:r>
        <w:rPr>
          <w:color w:val="2E74B5"/>
        </w:rPr>
        <w:t xml:space="preserve">A7. Notice and public statements</w:t>
      </w:r>
    </w:p>
    <w:p>
      <w:pPr>
        <w:spacing w:after="120"/>
      </w:pPr>
      <w:r>
        <w:t xml:space="preserve">A7.1 [ORGANISATION]'s public statement of how it handles personal information covers AI uses, AI suppliers, and provision of personal data outside Japan, and is kept current.</w:t>
      </w:r>
    </w:p>
    <w:p>
      <w:pPr>
        <w:spacing w:after="120"/>
      </w:pPr>
      <w:r>
        <w:t xml:space="preserve">A7.2 Purposes of use are specified and, on acquisition, promptly notified or publicly announced; where personal information is acquired directly in writing, the purpose is expressly indicated at the point of acquisition.</w:t>
      </w:r>
    </w:p>
    <w:p>
      <w:pPr>
        <w:spacing w:after="120"/>
      </w:pPr>
      <w:r>
        <w:t xml:space="preserve">A7.3 Customer-facing AI systems carry the disclosure at policy clause 15.1.</w:t>
      </w:r>
    </w:p>
    <w:p>
      <w:pPr>
        <w:pStyle w:val="Heading1"/>
        <w:spacing w:after="120" w:before="280"/>
      </w:pPr>
      <w:r>
        <w:rPr>
          <w:color w:val="2E74B5"/>
        </w:rPr>
        <w:t xml:space="preserve">A8. Testing, monitoring and assurance</w:t>
      </w:r>
    </w:p>
    <w:p>
      <w:pPr>
        <w:spacing w:after="120"/>
      </w:pPr>
      <w:r>
        <w:t xml:space="preserve">A8.1 Systems are tested before approval for validity and reliability, inaccurate, biased and harmful outputs, surfacing of others' personal information, and the AI-specific threats (prompt injection, extraction, jailbreaking).</w:t>
      </w:r>
    </w:p>
    <w:p>
      <w:pPr>
        <w:spacing w:after="120"/>
      </w:pPr>
      <w:r>
        <w:t xml:space="preserve">A8.2 Level 4 systems are tested for unfair differential outcomes before deployment and at least [annually].</w:t>
      </w:r>
    </w:p>
    <w:p>
      <w:pPr>
        <w:spacing w:after="120"/>
      </w:pPr>
      <w:r>
        <w:t xml:space="preserve">A8.3 Monitoring after deployment is matched to the level, and includes, for Level 4, approval and override rates. Retrieval-augmented generation and similar measures are used where they reduce hallucination.</w:t>
      </w:r>
    </w:p>
    <w:p>
      <w:pPr>
        <w:spacing w:after="120"/>
      </w:pPr>
      <w:r>
        <w:t xml:space="preserve">A8.4 Human override points are documented for every system, and alternative pathways maintained so critical functions continue if a system fails or is withdrawn.</w:t>
      </w:r>
    </w:p>
    <w:p>
      <w:pPr>
        <w:pStyle w:val="Heading1"/>
        <w:spacing w:after="120" w:before="280"/>
      </w:pPr>
      <w:r>
        <w:rPr>
          <w:color w:val="2E74B5"/>
        </w:rPr>
        <w:t xml:space="preserve">A9. Incident response</w:t>
      </w:r>
    </w:p>
    <w:p>
      <w:pPr>
        <w:spacing w:after="120"/>
      </w:pPr>
      <w:r>
        <w:t xml:space="preserve">A9.1 The incident process at policy clause 20.5 is operated by [Security] with the Privacy Protection Officer. On any suspected leak, loss or damage of personal data involving an AI tool: containment; assessment against the Commission's Rules of whether the situation is one likely to harm individual rights and interests; where it is, a report to the Personal Information Protection Commission and notification of the affected persons as the Rules require (or alternative protective measures where notice is difficult); and a record in every case.</w:t>
      </w:r>
    </w:p>
    <w:p>
      <w:pPr>
        <w:spacing w:after="120"/>
      </w:pPr>
      <w:r>
        <w:t xml:space="preserve">A9.2 AI-specific incident types are recognised and drilled: personal information entered into an unapproved or public tool; a tool surfacing another person's data; a supplier breach; extraction of training or context data; an agent acting outside its approved actions; a Level 4 system producing a systematically wrong or discriminatory result; generation of unlawful content.</w:t>
      </w:r>
    </w:p>
    <w:p>
      <w:pPr>
        <w:spacing w:after="120"/>
      </w:pPr>
      <w:r>
        <w:t xml:space="preserve">A9.3 Every AI incident, whether or not a reportable leak, is recorded, investigated and analysed, and the lessons applied.</w:t>
      </w:r>
    </w:p>
    <w:p>
      <w:pPr>
        <w:pStyle w:val="Heading1"/>
        <w:spacing w:after="120" w:before="280"/>
      </w:pPr>
      <w:r>
        <w:rPr>
          <w:color w:val="2E74B5"/>
        </w:rPr>
        <w:t xml:space="preserve">A10. Individuals' rights</w:t>
      </w:r>
    </w:p>
    <w:p>
      <w:pPr>
        <w:spacing w:after="120"/>
      </w:pPr>
      <w:r>
        <w:t xml:space="preserve">A10.1 Disclosure, correction and cessation requests concerning personal data in or generated by AI tools follow policy clause 11.3. Records are kept so that a request can be answered, and so that a cessation request under policy clause 13.1 can be executed against the relevant data store, prompts and outputs.</w:t>
      </w:r>
    </w:p>
    <w:p>
      <w:pPr>
        <w:spacing w:after="120"/>
      </w:pPr>
      <w:r>
        <w:t xml:space="preserve">A10.2 For Level 4 decisions, the notice, explanation and review process at policy clause 13.2 is operated as recorded in the register (A4.3).</w:t>
      </w:r>
    </w:p>
    <w:p>
      <w:pPr>
        <w:spacing w:after="120"/>
      </w:pPr>
      <w:r>
        <w:t xml:space="preserve">A10.3 Complaints follow the published mechanism; patterns are reported to the AI Governance Committee.</w:t>
      </w:r>
    </w:p>
    <w:p>
      <w:pPr>
        <w:pStyle w:val="Heading1"/>
        <w:spacing w:after="120" w:before="280"/>
      </w:pPr>
      <w:r>
        <w:rPr>
          <w:color w:val="2E74B5"/>
        </w:rPr>
        <w:t xml:space="preserve">A11. Training and awareness</w:t>
      </w:r>
    </w:p>
    <w:p>
      <w:pPr>
        <w:spacing w:after="120"/>
      </w:pPr>
      <w:r>
        <w:t xml:space="preserve">A11.1 Staff training follows policy clause 21. Reviewers of Level 4 decisions are trained on the system and on the rights at clause 13.</w:t>
      </w:r>
    </w:p>
    <w:p>
      <w:pPr>
        <w:spacing w:after="120"/>
      </w:pPr>
      <w:r>
        <w:t xml:space="preserve">A11.2 The Privacy Protection Officer and [Legal] maintain awareness of the 2026 APPI amendment's progress, of Personal Information Protection Commission guidance including its generative-AI cautions, of the Cabinet Order and Enforcement Rules, and of successor versions of the AI Guidelines.</w:t>
      </w:r>
    </w:p>
    <w:p>
      <w:pPr>
        <w:pStyle w:val="Heading1"/>
        <w:spacing w:after="120" w:before="280"/>
      </w:pPr>
      <w:r>
        <w:rPr>
          <w:color w:val="2E74B5"/>
        </w:rPr>
        <w:t xml:space="preserve">A12. Metrics reported to the AI Governance Committee</w:t>
      </w:r>
    </w:p>
    <w:p>
      <w:pPr>
        <w:pStyle w:val="ListParagraph"/>
        <w:numPr>
          <w:ilvl w:val="0"/>
          <w:numId w:val="2"/>
        </w:numPr>
        <w:spacing w:after="80"/>
      </w:pPr>
      <w:r>
        <w:t xml:space="preserve">Systems on the register by level; new, changed and retired</w:t>
      </w:r>
    </w:p>
    <w:p>
      <w:pPr>
        <w:pStyle w:val="ListParagraph"/>
        <w:numPr>
          <w:ilvl w:val="0"/>
          <w:numId w:val="2"/>
        </w:numPr>
        <w:spacing w:after="80"/>
      </w:pPr>
      <w:r>
        <w:t xml:space="preserve">Systems inside Level 4; systems whose handling could be likely to harm rights or</w:t>
      </w:r>
    </w:p>
    <w:p>
      <w:pPr>
        <w:spacing w:after="80"/>
        <w:ind w:left="720"/>
      </w:pPr>
      <w:r>
        <w:t xml:space="preserve">interests</w:t>
      </w:r>
    </w:p>
    <w:p>
      <w:pPr>
        <w:pStyle w:val="ListParagraph"/>
        <w:numPr>
          <w:ilvl w:val="0"/>
          <w:numId w:val="2"/>
        </w:numPr>
        <w:spacing w:after="80"/>
      </w:pPr>
      <w:r>
        <w:t xml:space="preserve">Purpose-of-use and risk assessments open, completed and overdue</w:t>
      </w:r>
    </w:p>
    <w:p>
      <w:pPr>
        <w:pStyle w:val="ListParagraph"/>
        <w:numPr>
          <w:ilvl w:val="0"/>
          <w:numId w:val="2"/>
        </w:numPr>
        <w:spacing w:after="80"/>
      </w:pPr>
      <w:r>
        <w:t xml:space="preserve">Level 4 approval and override rates by system</w:t>
      </w:r>
    </w:p>
    <w:p>
      <w:pPr>
        <w:pStyle w:val="ListParagraph"/>
        <w:numPr>
          <w:ilvl w:val="0"/>
          <w:numId w:val="2"/>
        </w:numPr>
        <w:spacing w:after="80"/>
      </w:pPr>
      <w:r>
        <w:t xml:space="preserve">Incidents by type; reports to the Commission; register entries</w:t>
      </w:r>
    </w:p>
    <w:p>
      <w:pPr>
        <w:pStyle w:val="ListParagraph"/>
        <w:numPr>
          <w:ilvl w:val="0"/>
          <w:numId w:val="2"/>
        </w:numPr>
        <w:spacing w:after="80"/>
      </w:pPr>
      <w:r>
        <w:t xml:space="preserve">Disclosure, correction and cessation requests, and time to resolve</w:t>
      </w:r>
    </w:p>
    <w:p>
      <w:pPr>
        <w:pStyle w:val="ListParagraph"/>
        <w:numPr>
          <w:ilvl w:val="0"/>
          <w:numId w:val="2"/>
        </w:numPr>
        <w:spacing w:after="80"/>
      </w:pPr>
      <w:r>
        <w:t xml:space="preserve">Testing and monitoring findings, including bias testing results</w:t>
      </w:r>
    </w:p>
    <w:p>
      <w:pPr>
        <w:pStyle w:val="ListParagraph"/>
        <w:numPr>
          <w:ilvl w:val="0"/>
          <w:numId w:val="2"/>
        </w:numPr>
        <w:spacing w:after="80"/>
      </w:pPr>
      <w:r>
        <w:t xml:space="preserve">Training completion for users, accountable people and reviewers</w:t>
      </w:r>
    </w:p>
    <w:p>
      <w:pPr>
        <w:pStyle w:val="ListParagraph"/>
        <w:numPr>
          <w:ilvl w:val="0"/>
          <w:numId w:val="2"/>
        </w:numPr>
        <w:spacing w:after="80"/>
      </w:pPr>
      <w:r>
        <w:t xml:space="preserve">Amendment-readiness register status</w:t>
      </w:r>
    </w:p>
    <w:p>
      <w:pPr>
        <w:pStyle w:val="Heading1"/>
        <w:spacing w:after="120" w:before="280"/>
      </w:pPr>
      <w:r>
        <w:rPr>
          <w:color w:val="2E74B5"/>
        </w:rPr>
        <w:t xml:space="preserve">A13. Scope of this annex and what is not held</w:t>
      </w:r>
    </w:p>
    <w:p>
      <w:pPr>
        <w:spacing w:after="120"/>
      </w:pPr>
      <w:r>
        <w:t xml:space="preserve">A13.1 This annex operates the Act on the Protection of Personal Information (English translation held), the AI Promotion Act (Act No. 53 of 2025), the AI Guidelines for Business v1.1 and its Appendix, the APPI Cabinet Order and Enforcement Rules (held), and reads the PPC's 2026 triennial-review reform policy without relying on it.</w:t>
      </w:r>
    </w:p>
    <w:p>
      <w:pPr>
        <w:spacing w:after="120"/>
      </w:pPr>
      <w:r>
        <w:t xml:space="preserve">A13.2 </w:t>
      </w:r>
      <w:r>
        <w:rPr>
          <w:b/>
          <w:bCs/>
        </w:rPr>
        <w:t xml:space="preserve">It does not hold</w:t>
      </w:r>
      <w:r>
        <w:t xml:space="preserve">, and therefore does not state in detail: the enacted 2026 amendment (not law); the current-version numbering of the Cabinet Order and Enforcement Rules beyond the held copies; the My Number Act; sector rules; the Unfair Competition Prevention Act and copyright law; and Personal Information Protection Commission guidance beyond the guidelines. Each is named in policy clause 22 as an open verification and recorded in the source register.</w:t>
      </w:r>
    </w:p>
    <w:p>
      <w:pPr>
        <w:pStyle w:val="Heading1"/>
        <w:spacing w:after="120" w:before="280"/>
      </w:pPr>
      <w:r>
        <w:rPr>
          <w:color w:val="2E74B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Version</w:t>
            </w:r>
          </w:p>
        </w:tc>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Change</w:t>
            </w:r>
          </w:p>
        </w:tc>
      </w:tr>
      <w:tr>
        <w:trPr>
          <w:tblHeader w:val="false"/>
        </w:trPr>
        <w:tc>
          <w:tcPr>
            <w:tcW w:type="dxa" w:w="3120"/>
            <w:tcMar>
              <w:top w:type="dxa" w:w="60"/>
              <w:left w:type="dxa" w:w="100"/>
              <w:bottom w:type="dxa" w:w="60"/>
              <w:right w:type="dxa" w:w="100"/>
            </w:tcMar>
          </w:tcPr>
          <w:p>
            <w:r>
              <w:rPr>
                <w:b w:val="false"/>
                <w:bCs w:val="false"/>
                <w:sz w:val="18"/>
                <w:szCs w:val="18"/>
              </w:rPr>
              <w:t xml:space="preserve">1.0</w:t>
            </w:r>
          </w:p>
        </w:tc>
        <w:tc>
          <w:tcPr>
            <w:tcW w:type="dxa" w:w="3120"/>
            <w:tcMar>
              <w:top w:type="dxa" w:w="60"/>
              <w:left w:type="dxa" w:w="100"/>
              <w:bottom w:type="dxa" w:w="60"/>
              <w:right w:type="dxa" w:w="100"/>
            </w:tcMar>
          </w:tcPr>
          <w:p>
            <w:r>
              <w:rPr>
                <w:b w:val="false"/>
                <w:bCs w:val="false"/>
                <w:sz w:val="18"/>
                <w:szCs w:val="18"/>
              </w:rPr>
              <w:t xml:space="preserve">3 September 2026</w:t>
            </w:r>
          </w:p>
        </w:tc>
        <w:tc>
          <w:tcPr>
            <w:tcW w:type="dxa" w:w="3120"/>
            <w:tcMar>
              <w:top w:type="dxa" w:w="60"/>
              <w:left w:type="dxa" w:w="100"/>
              <w:bottom w:type="dxa" w:w="60"/>
              <w:right w:type="dxa" w:w="100"/>
            </w:tcMar>
          </w:tcPr>
          <w:p>
            <w:r>
              <w:rPr>
                <w:b w:val="false"/>
                <w:bCs w:val="false"/>
                <w:sz w:val="18"/>
                <w:szCs w:val="18"/>
              </w:rPr>
              <w:t xml:space="preserve">Initial annex, published within its stated scope. Every obligation traced to the held instruments in the research note.</w:t>
            </w:r>
          </w:p>
        </w:tc>
      </w:tr>
    </w:tbl>
    <w:p>
      <w:pPr>
        <w:spacing w:after="120"/>
      </w:pPr>
    </w:p>
    <w:p>
      <w:pPr>
        <w:spacing w:after="120"/>
      </w:pPr>
      <w:r>
        <w:rPr>
          <w:i/>
          <w:iCs/>
          <w:color w:val="666666"/>
        </w:rPr>
        <w:t xml:space="preserve">Educational template - not legal advice. Review by qualified counsel before adoption.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AI Governance Enterprise Annex - Japan - v1.0 - Internal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2026-09-03T18:36:03.363Z</dcterms:created>
  <dcterms:modified xsi:type="dcterms:W3CDTF">2026-09-03T18:36:03.363Z</dcterms:modified>
</cp:coreProperties>
</file>

<file path=docProps/custom.xml><?xml version="1.0" encoding="utf-8"?>
<Properties xmlns="http://schemas.openxmlformats.org/officeDocument/2006/custom-properties" xmlns:vt="http://schemas.openxmlformats.org/officeDocument/2006/docPropsVTypes"/>
</file>