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4D78"/>
        </w:rPr>
        <w:t xml:space="preserve">Research note - Japan AI policy set</w:t>
      </w:r>
    </w:p>
    <w:p>
      <w:pPr>
        <w:spacing w:after="120"/>
      </w:pPr>
      <w:r>
        <w:rPr>
          <w:b/>
          <w:bCs/>
        </w:rPr>
        <w:t xml:space="preserve">Built:</w:t>
      </w:r>
      <w:r>
        <w:t xml:space="preserve"> 3 September 2026</w:t>
      </w:r>
    </w:p>
    <w:p>
      <w:pPr>
        <w:spacing w:after="120"/>
      </w:pPr>
      <w:r>
        <w:rPr>
          <w:b/>
          <w:bCs/>
        </w:rPr>
        <w:t xml:space="preserve">Purpose:</w:t>
      </w:r>
      <w:r>
        <w:t xml:space="preserve"> every clause of the policy and annex traced to the provision or guidance it rests on. Provision identifiers live here, not in the policy body.</w:t>
      </w:r>
    </w:p>
    <w:p>
      <w:pPr>
        <w:spacing w:after="120"/>
      </w:pPr>
      <w:r>
        <w:rPr>
          <w:b/>
          <w:bCs/>
        </w:rPr>
        <w:t xml:space="preserve">Method:</w:t>
      </w:r>
      <w:r>
        <w:t xml:space="preserve"> primary sources only; every citation read in the held instrument; nothing asserted that is not held.</w:t>
      </w:r>
    </w:p>
    <w:p>
      <w:pPr>
        <w:pStyle w:val="Heading1"/>
        <w:spacing w:after="120" w:before="280"/>
      </w:pPr>
      <w:r>
        <w:rPr>
          <w:color w:val="2E74B5"/>
        </w:rPr>
        <w:t xml:space="preserve">1. Instruments held and how they were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Instrument</w:t>
            </w:r>
          </w:p>
        </w:tc>
        <w:tc>
          <w:tcPr>
            <w:tcW w:type="dxa" w:w="3120"/>
            <w:shd w:fill="DEEAF6" w:color="auto" w:val="clear"/>
            <w:tcMar>
              <w:top w:type="dxa" w:w="60"/>
              <w:left w:type="dxa" w:w="100"/>
              <w:bottom w:type="dxa" w:w="60"/>
              <w:right w:type="dxa" w:w="100"/>
            </w:tcMar>
          </w:tcPr>
          <w:p>
            <w:r>
              <w:rPr>
                <w:b/>
                <w:bCs/>
                <w:sz w:val="18"/>
                <w:szCs w:val="18"/>
              </w:rPr>
              <w:t xml:space="preserve">Version held</w:t>
            </w:r>
          </w:p>
        </w:tc>
        <w:tc>
          <w:tcPr>
            <w:tcW w:type="dxa" w:w="3120"/>
            <w:shd w:fill="DEEAF6" w:color="auto" w:val="clear"/>
            <w:tcMar>
              <w:top w:type="dxa" w:w="60"/>
              <w:left w:type="dxa" w:w="100"/>
              <w:bottom w:type="dxa" w:w="60"/>
              <w:right w:type="dxa" w:w="100"/>
            </w:tcMar>
          </w:tcPr>
          <w:p>
            <w:r>
              <w:rPr>
                <w:b/>
                <w:bCs/>
                <w:sz w:val="18"/>
                <w:szCs w:val="18"/>
              </w:rPr>
              <w:t xml:space="preserve">Read</w:t>
            </w:r>
          </w:p>
        </w:tc>
      </w:tr>
      <w:tr>
        <w:trPr>
          <w:tblHeader w:val="false"/>
        </w:trPr>
        <w:tc>
          <w:tcPr>
            <w:tcW w:type="dxa" w:w="3120"/>
            <w:tcMar>
              <w:top w:type="dxa" w:w="60"/>
              <w:left w:type="dxa" w:w="100"/>
              <w:bottom w:type="dxa" w:w="60"/>
              <w:right w:type="dxa" w:w="100"/>
            </w:tcMar>
          </w:tcPr>
          <w:p>
            <w:r>
              <w:rPr>
                <w:b w:val="false"/>
                <w:bCs w:val="false"/>
                <w:sz w:val="18"/>
                <w:szCs w:val="18"/>
              </w:rPr>
              <w:t xml:space="preserve">Act on the Protection of Personal Information (APPI)</w:t>
            </w:r>
          </w:p>
        </w:tc>
        <w:tc>
          <w:tcPr>
            <w:tcW w:type="dxa" w:w="3120"/>
            <w:tcMar>
              <w:top w:type="dxa" w:w="60"/>
              <w:left w:type="dxa" w:w="100"/>
              <w:bottom w:type="dxa" w:w="60"/>
              <w:right w:type="dxa" w:w="100"/>
            </w:tcMar>
          </w:tcPr>
          <w:p>
            <w:r>
              <w:rPr>
                <w:b w:val="false"/>
                <w:bCs w:val="false"/>
                <w:sz w:val="18"/>
                <w:szCs w:val="18"/>
              </w:rPr>
              <w:t xml:space="preserve">Official English translation, Japanese Law Translation, "partly unenforced" edition</w:t>
            </w:r>
          </w:p>
        </w:tc>
        <w:tc>
          <w:tcPr>
            <w:tcW w:type="dxa" w:w="3120"/>
            <w:tcMar>
              <w:top w:type="dxa" w:w="60"/>
              <w:left w:type="dxa" w:w="100"/>
              <w:bottom w:type="dxa" w:w="60"/>
              <w:right w:type="dxa" w:w="100"/>
            </w:tcMar>
          </w:tcPr>
          <w:p>
            <w:r>
              <w:rPr>
                <w:b w:val="false"/>
                <w:bCs w:val="false"/>
                <w:sz w:val="18"/>
                <w:szCs w:val="18"/>
              </w:rPr>
              <w:t xml:space="preserve">Chapter IV business-operator duties: Articles 17-35 in full; Article 2 (definitions of personal information, sensitive personal information, identifiable person)</w:t>
            </w:r>
          </w:p>
        </w:tc>
      </w:tr>
      <w:tr>
        <w:trPr>
          <w:tblHeader w:val="false"/>
        </w:trPr>
        <w:tc>
          <w:tcPr>
            <w:tcW w:type="dxa" w:w="3120"/>
            <w:tcMar>
              <w:top w:type="dxa" w:w="60"/>
              <w:left w:type="dxa" w:w="100"/>
              <w:bottom w:type="dxa" w:w="60"/>
              <w:right w:type="dxa" w:w="100"/>
            </w:tcMar>
          </w:tcPr>
          <w:p>
            <w:r>
              <w:rPr>
                <w:b w:val="false"/>
                <w:bCs w:val="false"/>
                <w:sz w:val="18"/>
                <w:szCs w:val="18"/>
              </w:rPr>
              <w:t xml:space="preserve">Act on Promotion of Research and Development, and Utilization of Artificial Intelligence-related Technology (AI Promotion Act)</w:t>
            </w:r>
          </w:p>
        </w:tc>
        <w:tc>
          <w:tcPr>
            <w:tcW w:type="dxa" w:w="3120"/>
            <w:tcMar>
              <w:top w:type="dxa" w:w="60"/>
              <w:left w:type="dxa" w:w="100"/>
              <w:bottom w:type="dxa" w:w="60"/>
              <w:right w:type="dxa" w:w="100"/>
            </w:tcMar>
          </w:tcPr>
          <w:p>
            <w:r>
              <w:rPr>
                <w:b w:val="false"/>
                <w:bCs w:val="false"/>
                <w:sz w:val="18"/>
                <w:szCs w:val="18"/>
              </w:rPr>
              <w:t xml:space="preserve">Official English translation, Act No. 53 of 4 June 2025, Japanese Law Translation</w:t>
            </w:r>
          </w:p>
        </w:tc>
        <w:tc>
          <w:tcPr>
            <w:tcW w:type="dxa" w:w="3120"/>
            <w:tcMar>
              <w:top w:type="dxa" w:w="60"/>
              <w:left w:type="dxa" w:w="100"/>
              <w:bottom w:type="dxa" w:w="60"/>
              <w:right w:type="dxa" w:w="100"/>
            </w:tcMar>
          </w:tcPr>
          <w:p>
            <w:r>
              <w:rPr>
                <w:b w:val="false"/>
                <w:bCs w:val="false"/>
                <w:sz w:val="18"/>
                <w:szCs w:val="18"/>
              </w:rPr>
              <w:t xml:space="preserve">In full: Articles 1-28 and Supplementary Provisions</w:t>
            </w:r>
          </w:p>
        </w:tc>
      </w:tr>
      <w:tr>
        <w:trPr>
          <w:tblHeader w:val="false"/>
        </w:trPr>
        <w:tc>
          <w:tcPr>
            <w:tcW w:type="dxa" w:w="3120"/>
            <w:tcMar>
              <w:top w:type="dxa" w:w="60"/>
              <w:left w:type="dxa" w:w="100"/>
              <w:bottom w:type="dxa" w:w="60"/>
              <w:right w:type="dxa" w:w="100"/>
            </w:tcMar>
          </w:tcPr>
          <w:p>
            <w:r>
              <w:rPr>
                <w:b w:val="false"/>
                <w:bCs w:val="false"/>
                <w:sz w:val="18"/>
                <w:szCs w:val="18"/>
              </w:rPr>
              <w:t xml:space="preserve">AI Guidelines for Business</w:t>
            </w:r>
          </w:p>
        </w:tc>
        <w:tc>
          <w:tcPr>
            <w:tcW w:type="dxa" w:w="3120"/>
            <w:tcMar>
              <w:top w:type="dxa" w:w="60"/>
              <w:left w:type="dxa" w:w="100"/>
              <w:bottom w:type="dxa" w:w="60"/>
              <w:right w:type="dxa" w:w="100"/>
            </w:tcMar>
          </w:tcPr>
          <w:p>
            <w:r>
              <w:rPr>
                <w:b w:val="false"/>
                <w:bCs w:val="false"/>
                <w:sz w:val="18"/>
                <w:szCs w:val="18"/>
              </w:rPr>
              <w:t xml:space="preserve">METI and MIC, version 1.1, provisional translation (main text and Appendix)</w:t>
            </w:r>
          </w:p>
        </w:tc>
        <w:tc>
          <w:tcPr>
            <w:tcW w:type="dxa" w:w="3120"/>
            <w:tcMar>
              <w:top w:type="dxa" w:w="60"/>
              <w:left w:type="dxa" w:w="100"/>
              <w:bottom w:type="dxa" w:w="60"/>
              <w:right w:type="dxa" w:w="100"/>
            </w:tcMar>
          </w:tcPr>
          <w:p>
            <w:r>
              <w:rPr>
                <w:b w:val="false"/>
                <w:bCs w:val="false"/>
                <w:sz w:val="18"/>
                <w:szCs w:val="18"/>
              </w:rPr>
              <w:t xml:space="preserve">Parts 1-5 and the common guiding principles</w:t>
            </w:r>
          </w:p>
        </w:tc>
      </w:tr>
      <w:tr>
        <w:trPr>
          <w:tblHeader w:val="false"/>
        </w:trPr>
        <w:tc>
          <w:tcPr>
            <w:tcW w:type="dxa" w:w="3120"/>
            <w:tcMar>
              <w:top w:type="dxa" w:w="60"/>
              <w:left w:type="dxa" w:w="100"/>
              <w:bottom w:type="dxa" w:w="60"/>
              <w:right w:type="dxa" w:w="100"/>
            </w:tcMar>
          </w:tcPr>
          <w:p>
            <w:r>
              <w:rPr>
                <w:b w:val="false"/>
                <w:bCs w:val="false"/>
                <w:sz w:val="18"/>
                <w:szCs w:val="18"/>
              </w:rPr>
              <w:t xml:space="preserve">Outline of the System Reform Policy under the Triennial Review of the APPI</w:t>
            </w:r>
          </w:p>
        </w:tc>
        <w:tc>
          <w:tcPr>
            <w:tcW w:type="dxa" w:w="3120"/>
            <w:tcMar>
              <w:top w:type="dxa" w:w="60"/>
              <w:left w:type="dxa" w:w="100"/>
              <w:bottom w:type="dxa" w:w="60"/>
              <w:right w:type="dxa" w:w="100"/>
            </w:tcMar>
          </w:tcPr>
          <w:p>
            <w:r>
              <w:rPr>
                <w:b w:val="false"/>
                <w:bCs w:val="false"/>
                <w:sz w:val="18"/>
                <w:szCs w:val="18"/>
              </w:rPr>
              <w:t xml:space="preserve">Personal Information Protection Commission, provisional translation, dated Reiwa 8 (2026) January</w:t>
            </w:r>
          </w:p>
        </w:tc>
        <w:tc>
          <w:tcPr>
            <w:tcW w:type="dxa" w:w="3120"/>
            <w:tcMar>
              <w:top w:type="dxa" w:w="60"/>
              <w:left w:type="dxa" w:w="100"/>
              <w:bottom w:type="dxa" w:w="60"/>
              <w:right w:type="dxa" w:w="100"/>
            </w:tcMar>
          </w:tcPr>
          <w:p>
            <w:r>
              <w:rPr>
                <w:b w:val="false"/>
                <w:bCs w:val="false"/>
                <w:sz w:val="18"/>
                <w:szCs w:val="18"/>
              </w:rPr>
              <w:t xml:space="preserve">In full (one page)</w:t>
            </w:r>
          </w:p>
        </w:tc>
      </w:tr>
      <w:tr>
        <w:trPr>
          <w:tblHeader w:val="false"/>
        </w:trPr>
        <w:tc>
          <w:tcPr>
            <w:tcW w:type="dxa" w:w="3120"/>
            <w:tcMar>
              <w:top w:type="dxa" w:w="60"/>
              <w:left w:type="dxa" w:w="100"/>
              <w:bottom w:type="dxa" w:w="60"/>
              <w:right w:type="dxa" w:w="100"/>
            </w:tcMar>
          </w:tcPr>
          <w:p>
            <w:r>
              <w:rPr>
                <w:b w:val="false"/>
                <w:bCs w:val="false"/>
                <w:sz w:val="18"/>
                <w:szCs w:val="18"/>
              </w:rPr>
              <w:t xml:space="preserve">Amendment to the Cabinet Order to Enforce the APPI; Enforcement Rules for the APPI</w:t>
            </w:r>
          </w:p>
        </w:tc>
        <w:tc>
          <w:tcPr>
            <w:tcW w:type="dxa" w:w="3120"/>
            <w:tcMar>
              <w:top w:type="dxa" w:w="60"/>
              <w:left w:type="dxa" w:w="100"/>
              <w:bottom w:type="dxa" w:w="60"/>
              <w:right w:type="dxa" w:w="100"/>
            </w:tcMar>
          </w:tcPr>
          <w:p>
            <w:r>
              <w:rPr>
                <w:b w:val="false"/>
                <w:bCs w:val="false"/>
                <w:sz w:val="18"/>
                <w:szCs w:val="18"/>
              </w:rPr>
              <w:t xml:space="preserve">PPC tentative translations</w:t>
            </w:r>
          </w:p>
        </w:tc>
        <w:tc>
          <w:tcPr>
            <w:tcW w:type="dxa" w:w="3120"/>
            <w:tcMar>
              <w:top w:type="dxa" w:w="60"/>
              <w:left w:type="dxa" w:w="100"/>
              <w:bottom w:type="dxa" w:w="60"/>
              <w:right w:type="dxa" w:w="100"/>
            </w:tcMar>
          </w:tcPr>
          <w:p>
            <w:r>
              <w:rPr>
                <w:b w:val="false"/>
                <w:bCs w:val="false"/>
                <w:sz w:val="18"/>
                <w:szCs w:val="18"/>
              </w:rPr>
              <w:t xml:space="preserve">Held for reference; applied by the policy by reference, not restated</w:t>
            </w:r>
          </w:p>
        </w:tc>
      </w:tr>
      <w:tr>
        <w:trPr>
          <w:tblHeader w:val="false"/>
        </w:trPr>
        <w:tc>
          <w:tcPr>
            <w:tcW w:type="dxa" w:w="3120"/>
            <w:tcMar>
              <w:top w:type="dxa" w:w="60"/>
              <w:left w:type="dxa" w:w="100"/>
              <w:bottom w:type="dxa" w:w="60"/>
              <w:right w:type="dxa" w:w="100"/>
            </w:tcMar>
          </w:tcPr>
          <w:p>
            <w:r>
              <w:rPr>
                <w:b w:val="false"/>
                <w:bCs w:val="false"/>
                <w:sz w:val="18"/>
                <w:szCs w:val="18"/>
              </w:rPr>
              <w:t xml:space="preserve">Overview of the Amendment Act of the APPI</w:t>
            </w:r>
          </w:p>
        </w:tc>
        <w:tc>
          <w:tcPr>
            <w:tcW w:type="dxa" w:w="3120"/>
            <w:tcMar>
              <w:top w:type="dxa" w:w="60"/>
              <w:left w:type="dxa" w:w="100"/>
              <w:bottom w:type="dxa" w:w="60"/>
              <w:right w:type="dxa" w:w="100"/>
            </w:tcMar>
          </w:tcPr>
          <w:p>
            <w:r>
              <w:rPr>
                <w:b w:val="false"/>
                <w:bCs w:val="false"/>
                <w:sz w:val="18"/>
                <w:szCs w:val="18"/>
              </w:rPr>
              <w:t xml:space="preserve">PPC tentative translation</w:t>
            </w:r>
          </w:p>
        </w:tc>
        <w:tc>
          <w:tcPr>
            <w:tcW w:type="dxa" w:w="3120"/>
            <w:tcMar>
              <w:top w:type="dxa" w:w="60"/>
              <w:left w:type="dxa" w:w="100"/>
              <w:bottom w:type="dxa" w:w="60"/>
              <w:right w:type="dxa" w:w="100"/>
            </w:tcMar>
          </w:tcPr>
          <w:p>
            <w:r>
              <w:rPr>
                <w:b w:val="false"/>
                <w:bCs w:val="false"/>
                <w:sz w:val="18"/>
                <w:szCs w:val="18"/>
              </w:rPr>
              <w:t xml:space="preserve">Held for reference</w:t>
            </w:r>
          </w:p>
        </w:tc>
      </w:tr>
    </w:tbl>
    <w:p>
      <w:pPr>
        <w:spacing w:after="120"/>
      </w:pPr>
    </w:p>
    <w:p>
      <w:pPr>
        <w:spacing w:after="120"/>
      </w:pPr>
      <w:r>
        <w:rPr>
          <w:b/>
          <w:bCs/>
        </w:rPr>
        <w:t xml:space="preserve">Language.</w:t>
      </w:r>
      <w:r>
        <w:t xml:space="preserve"> Only the original Japanese texts of Japanese laws have legal effect; the translations are the government's own and are used as the working text, exactly as the Gulf sets use official English alongside the authoritative Arabic. The set states this and does not assert a reading that turns on translation wording.</w:t>
      </w:r>
    </w:p>
    <w:p>
      <w:pPr>
        <w:pStyle w:val="Heading1"/>
        <w:spacing w:after="120" w:before="280"/>
      </w:pPr>
      <w:r>
        <w:rPr>
          <w:color w:val="2E74B5"/>
        </w:rPr>
        <w:t xml:space="preserve">2. Findings</w:t>
      </w:r>
    </w:p>
    <w:p>
      <w:pPr>
        <w:pStyle w:val="Heading2"/>
        <w:spacing w:after="100" w:before="200"/>
      </w:pPr>
      <w:r>
        <w:rPr>
          <w:color w:val="2E74B5"/>
        </w:rPr>
        <w:t xml:space="preserve">2.1 Japan's AI Act creates no obligation and no penalty</w:t>
      </w:r>
    </w:p>
    <w:p>
      <w:pPr>
        <w:spacing w:after="120"/>
      </w:pPr>
      <w:r>
        <w:t xml:space="preserve">AI Promotion Act Article 7 makes a "utilization business operator" - anyone who develops or provides AI products or services or uses AI in business - responsible only to "endeavour to enhance the efficiency and advancement of business activities" through AI and to "cooperate with the measures implemented by the national government". Article 8 puts the same endeavour on citizens. The binding actors are the national government (Articles 4, 11-18), local governments (Article 5) and the AI Strategic Headquarters under the Cabinet (Articles 19-28). There is no compliance duty on a private operator, no individual right, and no penalty provision anywhere in the Act. Policy clause 1.1.</w:t>
      </w:r>
    </w:p>
    <w:p>
      <w:pPr>
        <w:pStyle w:val="Heading2"/>
        <w:spacing w:after="100" w:before="200"/>
      </w:pPr>
      <w:r>
        <w:rPr>
          <w:color w:val="2E74B5"/>
        </w:rPr>
        <w:t xml:space="preserve">2.2 What the AI Act does reach: a transparency principle and a guidance channel</w:t>
      </w:r>
    </w:p>
    <w:p>
      <w:pPr>
        <w:spacing w:after="120"/>
      </w:pPr>
      <w:r>
        <w:t xml:space="preserve">Article 3(4): where AI research or use is for wrong purposes or by inappropriate methods that may facilitate crime, leak personal information, infringe copyright or otherwise harm citizens' peaceful lives and their rights and interests, measures ensuring appropriate implementation and transparency must be taken. Article 13 directs the government to establish guidelines in accordance with international norms - the statutory basis for the AI Guidelines for Business. Article 16 directs the government to analyse cases where citizens' rights and interests are infringed by wrongful or inappropriate AI use and to give guidance and advice to operators. The set treats Article 3(4) as a house standard and Article 16 as the reason to keep the binding APPI compliance sound. Policy clauses 1.1, 4.3, 17.</w:t>
      </w:r>
    </w:p>
    <w:p>
      <w:pPr>
        <w:pStyle w:val="Heading2"/>
        <w:spacing w:after="100" w:before="200"/>
      </w:pPr>
      <w:r>
        <w:rPr>
          <w:color w:val="2E74B5"/>
        </w:rPr>
        <w:t xml:space="preserve">2.3 The binding duties are all in the APPI, and it does not mention AI</w:t>
      </w:r>
    </w:p>
    <w:p>
      <w:pPr>
        <w:spacing w:after="120"/>
      </w:pPr>
      <w:r>
        <w:t xml:space="preserve">APPI Article 17: specify the purpose of use as far as possible; do not alter it beyond what can be reasonably linked to the original. Article 18: do not handle personal information beyond the scope necessary for the specified purpose without prior consent (exceptions in 18(3)). Article 19: do not use personal information in a way that may foment or induce an unlawful or unjust act. Article 20: no acquisition by deception or wrongful means; no acquisition of sensitive personal information without prior consent (exceptions in 20(2)). Article 21: notify or publicly announce the purpose of use on acquisition; express indication at direct written acquisition. Articles 22-25: accuracy and deletion when no longer needed; security measures; supervision of employees and entrusted persons. Article 26: report leaks likely to harm rights and interests to the Commission and notify the persons. Article 27: no third-party provision without consent (exceptions; opt-out). Article 28: cross-border provision requires consent informed by the foreign regime unless a recognised country or equivalent-measures system. Articles 33-35: disclosure, correction, cessation. None mentions AI; all apply to AI handling unchanged. Policy clause 3, 7, 8, 9, 11.</w:t>
      </w:r>
    </w:p>
    <w:p>
      <w:pPr>
        <w:pStyle w:val="Heading2"/>
        <w:spacing w:after="100" w:before="200"/>
      </w:pPr>
      <w:r>
        <w:rPr>
          <w:color w:val="2E74B5"/>
        </w:rPr>
        <w:t xml:space="preserve">2.4 Japan's individual lever against harmful AI processing is Article 35(5)</w:t>
      </w:r>
    </w:p>
    <w:p>
      <w:pPr>
        <w:spacing w:after="120"/>
      </w:pPr>
      <w:r>
        <w:t xml:space="preserve">There is no automated-decision right in the APPI. Article 35(1) lets a person demand cessation or deletion where data is handled in breach of Articles 18 or 19 or acquired in breach of Article 20. Article 35(3) lets them demand cessation of third-party provision made in breach of Article 27 or 28. Article 35(5) is the broad ground: a person may demand cessation of use, deletion, or cessation of third-party provision where the data is no longer needed, where a reportable leak has occurred, or </w:t>
      </w:r>
      <w:r>
        <w:rPr>
          <w:b/>
          <w:bCs/>
        </w:rPr>
        <w:t xml:space="preserve">where handling the data is likely to harm the identifiable person's rights or interests</w:t>
      </w:r>
      <w:r>
        <w:t xml:space="preserve">. This is the provision an AI use is most likely to engage, and the set builds the individual-facing duty on it (policy clauses 12, 13.1). Article 35(6) requires the business to honour a well-founded request without delay, subject to a disproportionate-difficulty exception with alternative measures.</w:t>
      </w:r>
    </w:p>
    <w:p>
      <w:pPr>
        <w:pStyle w:val="Heading2"/>
        <w:spacing w:after="100" w:before="200"/>
      </w:pPr>
      <w:r>
        <w:rPr>
          <w:color w:val="2E74B5"/>
        </w:rPr>
        <w:t xml:space="preserve">2.5 The AI-specific expectations are voluntary guidance</w:t>
      </w:r>
    </w:p>
    <w:p>
      <w:pPr>
        <w:spacing w:after="120"/>
      </w:pPr>
      <w:r>
        <w:t xml:space="preserve">The AI Guidelines for Business (METI/MIC v1.1), issued under AI Promotion Act Article 13, divide AI actors into developers, providers and business users, and set common guiding principles: human-centric, safety, fairness, privacy protection, security, transparency, accountability, education and literacy, fair competition, and innovation, restructured from the 2019 Social Principles of Human-Centric AI. They are explicitly voluntary ("voluntarily take the necessary countermeasures"). The set adopts them as house standards (policy clause 17) and draws the human-oversight, explanation, RAG and generated-code points from them (clauses 10, 13.2, 14).</w:t>
      </w:r>
    </w:p>
    <w:p>
      <w:pPr>
        <w:pStyle w:val="Heading2"/>
        <w:spacing w:after="100" w:before="200"/>
      </w:pPr>
      <w:r>
        <w:rPr>
          <w:color w:val="2E74B5"/>
        </w:rPr>
        <w:t xml:space="preserve">2.6 A binding amendment is decided but not enacted</w:t>
      </w:r>
    </w:p>
    <w:p>
      <w:pPr>
        <w:spacing w:after="120"/>
      </w:pPr>
      <w:r>
        <w:t xml:space="preserve">The Personal Information Protection Commission's January 2026 triennial-review reform policy states the amendments it will pursue and that "the amendment bill is expected to be submitted to the Diet as early as spring 2026 and, if approved, would come into effect approximately two years later." The AI-relevant items are: consent not required where data is used solely to generate statistics, including AI development to the extent it is statistics generation, for third-party provision and for acquiring published sensitive information; rules for the personal data of persons under sixteen through their legal representative with a best-interests provision; facial-feature-data duties, relaxed cessation requirements and an opt-out-provision prohibition; relaxed data-subject notification for low-risk breaches; a prohibition on inappropriate use and improper acquisition of targeting information that is not personal information; and administrative monetary penalties for serious, economically motivated violations. </w:t>
      </w:r>
      <w:r>
        <w:rPr>
          <w:b/>
          <w:bCs/>
        </w:rPr>
        <w:t xml:space="preserve">The set relies on none of it</w:t>
      </w:r>
      <w:r>
        <w:t xml:space="preserve">; it takes the under-16 best-interests position and the facial-feature caution as house standards because they are prudent, not because they bind. Policy clauses 4.2, 7.4, 19.1; annex A3.</w:t>
      </w:r>
    </w:p>
    <w:p>
      <w:pPr>
        <w:pStyle w:val="Heading1"/>
        <w:spacing w:after="120" w:before="280"/>
      </w:pPr>
      <w:r>
        <w:rPr>
          <w:color w:val="2E74B5"/>
        </w:rPr>
        <w:t xml:space="preserve">3. Clause-by-clause basis -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sz w:val="18"/>
                <w:szCs w:val="18"/>
              </w:rPr>
              <w:t xml:space="preserve">Clause</w:t>
            </w:r>
          </w:p>
        </w:tc>
        <w:tc>
          <w:tcPr>
            <w:tcW w:type="dxa" w:w="4680"/>
            <w:shd w:fill="DEEAF6" w:color="auto" w:val="clear"/>
            <w:tcMar>
              <w:top w:type="dxa" w:w="60"/>
              <w:left w:type="dxa" w:w="100"/>
              <w:bottom w:type="dxa" w:w="60"/>
              <w:right w:type="dxa" w:w="100"/>
            </w:tcMar>
          </w:tcPr>
          <w:p>
            <w:r>
              <w:rPr>
                <w:b/>
                <w:bCs/>
                <w:sz w:val="18"/>
                <w:szCs w:val="18"/>
              </w:rPr>
              <w:t xml:space="preserve">Rests on</w:t>
            </w:r>
          </w:p>
        </w:tc>
      </w:tr>
      <w:tr>
        <w:trPr>
          <w:tblHeader w:val="false"/>
        </w:trPr>
        <w:tc>
          <w:tcPr>
            <w:tcW w:type="dxa" w:w="4680"/>
            <w:tcMar>
              <w:top w:type="dxa" w:w="60"/>
              <w:left w:type="dxa" w:w="100"/>
              <w:bottom w:type="dxa" w:w="60"/>
              <w:right w:type="dxa" w:w="100"/>
            </w:tcMar>
          </w:tcPr>
          <w:p>
            <w:r>
              <w:rPr>
                <w:b w:val="false"/>
                <w:bCs w:val="false"/>
                <w:sz w:val="18"/>
                <w:szCs w:val="18"/>
              </w:rPr>
              <w:t xml:space="preserve">1.1</w:t>
            </w:r>
          </w:p>
        </w:tc>
        <w:tc>
          <w:tcPr>
            <w:tcW w:type="dxa" w:w="4680"/>
            <w:tcMar>
              <w:top w:type="dxa" w:w="60"/>
              <w:left w:type="dxa" w:w="100"/>
              <w:bottom w:type="dxa" w:w="60"/>
              <w:right w:type="dxa" w:w="100"/>
            </w:tcMar>
          </w:tcPr>
          <w:p>
            <w:r>
              <w:rPr>
                <w:b w:val="false"/>
                <w:bCs w:val="false"/>
                <w:sz w:val="18"/>
                <w:szCs w:val="18"/>
              </w:rPr>
              <w:t xml:space="preserve">AI Promotion Act Arts 3(4), 4, 7, 8, 16, 18, 19; no penalty provision exists</w:t>
            </w:r>
          </w:p>
        </w:tc>
      </w:tr>
      <w:tr>
        <w:trPr>
          <w:tblHeader w:val="false"/>
        </w:trPr>
        <w:tc>
          <w:tcPr>
            <w:tcW w:type="dxa" w:w="4680"/>
            <w:tcMar>
              <w:top w:type="dxa" w:w="60"/>
              <w:left w:type="dxa" w:w="100"/>
              <w:bottom w:type="dxa" w:w="60"/>
              <w:right w:type="dxa" w:w="100"/>
            </w:tcMar>
          </w:tcPr>
          <w:p>
            <w:r>
              <w:rPr>
                <w:b w:val="false"/>
                <w:bCs w:val="false"/>
                <w:sz w:val="18"/>
                <w:szCs w:val="18"/>
              </w:rPr>
              <w:t xml:space="preserve">1.2</w:t>
            </w:r>
          </w:p>
        </w:tc>
        <w:tc>
          <w:tcPr>
            <w:tcW w:type="dxa" w:w="4680"/>
            <w:tcMar>
              <w:top w:type="dxa" w:w="60"/>
              <w:left w:type="dxa" w:w="100"/>
              <w:bottom w:type="dxa" w:w="60"/>
              <w:right w:type="dxa" w:w="100"/>
            </w:tcMar>
          </w:tcPr>
          <w:p>
            <w:r>
              <w:rPr>
                <w:b w:val="false"/>
                <w:bCs w:val="false"/>
                <w:sz w:val="18"/>
                <w:szCs w:val="18"/>
              </w:rPr>
              <w:t xml:space="preserve">APPI Arts 17-20, 23, 26, 27, 28, 33-35</w:t>
            </w:r>
          </w:p>
        </w:tc>
      </w:tr>
      <w:tr>
        <w:trPr>
          <w:tblHeader w:val="false"/>
        </w:trPr>
        <w:tc>
          <w:tcPr>
            <w:tcW w:type="dxa" w:w="4680"/>
            <w:tcMar>
              <w:top w:type="dxa" w:w="60"/>
              <w:left w:type="dxa" w:w="100"/>
              <w:bottom w:type="dxa" w:w="60"/>
              <w:right w:type="dxa" w:w="100"/>
            </w:tcMar>
          </w:tcPr>
          <w:p>
            <w:r>
              <w:rPr>
                <w:b w:val="false"/>
                <w:bCs w:val="false"/>
                <w:sz w:val="18"/>
                <w:szCs w:val="18"/>
              </w:rPr>
              <w:t xml:space="preserve">1.3</w:t>
            </w:r>
          </w:p>
        </w:tc>
        <w:tc>
          <w:tcPr>
            <w:tcW w:type="dxa" w:w="4680"/>
            <w:tcMar>
              <w:top w:type="dxa" w:w="60"/>
              <w:left w:type="dxa" w:w="100"/>
              <w:bottom w:type="dxa" w:w="60"/>
              <w:right w:type="dxa" w:w="100"/>
            </w:tcMar>
          </w:tcPr>
          <w:p>
            <w:r>
              <w:rPr>
                <w:b w:val="false"/>
                <w:bCs w:val="false"/>
                <w:sz w:val="18"/>
                <w:szCs w:val="18"/>
              </w:rPr>
              <w:t xml:space="preserve">APPI Art 35(5), (6)</w:t>
            </w:r>
          </w:p>
        </w:tc>
      </w:tr>
      <w:tr>
        <w:trPr>
          <w:tblHeader w:val="false"/>
        </w:trPr>
        <w:tc>
          <w:tcPr>
            <w:tcW w:type="dxa" w:w="4680"/>
            <w:tcMar>
              <w:top w:type="dxa" w:w="60"/>
              <w:left w:type="dxa" w:w="100"/>
              <w:bottom w:type="dxa" w:w="60"/>
              <w:right w:type="dxa" w:w="100"/>
            </w:tcMar>
          </w:tcPr>
          <w:p>
            <w:r>
              <w:rPr>
                <w:b w:val="false"/>
                <w:bCs w:val="false"/>
                <w:sz w:val="18"/>
                <w:szCs w:val="18"/>
              </w:rPr>
              <w:t xml:space="preserve">1.4</w:t>
            </w:r>
          </w:p>
        </w:tc>
        <w:tc>
          <w:tcPr>
            <w:tcW w:type="dxa" w:w="4680"/>
            <w:tcMar>
              <w:top w:type="dxa" w:w="60"/>
              <w:left w:type="dxa" w:w="100"/>
              <w:bottom w:type="dxa" w:w="60"/>
              <w:right w:type="dxa" w:w="100"/>
            </w:tcMar>
          </w:tcPr>
          <w:p>
            <w:r>
              <w:rPr>
                <w:b w:val="false"/>
                <w:bCs w:val="false"/>
                <w:sz w:val="18"/>
                <w:szCs w:val="18"/>
              </w:rPr>
              <w:t xml:space="preserve">AI Guidelines for Business v1.1 (common guiding principles); PPC reform policy Jan 2026</w:t>
            </w:r>
          </w:p>
        </w:tc>
      </w:tr>
      <w:tr>
        <w:trPr>
          <w:tblHeader w:val="false"/>
        </w:trPr>
        <w:tc>
          <w:tcPr>
            <w:tcW w:type="dxa" w:w="4680"/>
            <w:tcMar>
              <w:top w:type="dxa" w:w="60"/>
              <w:left w:type="dxa" w:w="100"/>
              <w:bottom w:type="dxa" w:w="60"/>
              <w:right w:type="dxa" w:w="100"/>
            </w:tcMar>
          </w:tcPr>
          <w:p>
            <w:r>
              <w:rPr>
                <w:b w:val="false"/>
                <w:bCs w:val="false"/>
                <w:sz w:val="18"/>
                <w:szCs w:val="18"/>
              </w:rPr>
              <w:t xml:space="preserve">2.1.1</w:t>
            </w:r>
          </w:p>
        </w:tc>
        <w:tc>
          <w:tcPr>
            <w:tcW w:type="dxa" w:w="4680"/>
            <w:tcMar>
              <w:top w:type="dxa" w:w="60"/>
              <w:left w:type="dxa" w:w="100"/>
              <w:bottom w:type="dxa" w:w="60"/>
              <w:right w:type="dxa" w:w="100"/>
            </w:tcMar>
          </w:tcPr>
          <w:p>
            <w:r>
              <w:rPr>
                <w:b w:val="false"/>
                <w:bCs w:val="false"/>
                <w:sz w:val="18"/>
                <w:szCs w:val="18"/>
              </w:rPr>
              <w:t xml:space="preserve">APPI Art 16(2) ("business handling personal information"); no threshold in the Act</w:t>
            </w:r>
          </w:p>
        </w:tc>
      </w:tr>
      <w:tr>
        <w:trPr>
          <w:tblHeader w:val="false"/>
        </w:trPr>
        <w:tc>
          <w:tcPr>
            <w:tcW w:type="dxa" w:w="4680"/>
            <w:tcMar>
              <w:top w:type="dxa" w:w="60"/>
              <w:left w:type="dxa" w:w="100"/>
              <w:bottom w:type="dxa" w:w="60"/>
              <w:right w:type="dxa" w:w="100"/>
            </w:tcMar>
          </w:tcPr>
          <w:p>
            <w:r>
              <w:rPr>
                <w:b w:val="false"/>
                <w:bCs w:val="false"/>
                <w:sz w:val="18"/>
                <w:szCs w:val="18"/>
              </w:rPr>
              <w:t xml:space="preserve">2.1.2</w:t>
            </w:r>
          </w:p>
        </w:tc>
        <w:tc>
          <w:tcPr>
            <w:tcW w:type="dxa" w:w="4680"/>
            <w:tcMar>
              <w:top w:type="dxa" w:w="60"/>
              <w:left w:type="dxa" w:w="100"/>
              <w:bottom w:type="dxa" w:w="60"/>
              <w:right w:type="dxa" w:w="100"/>
            </w:tcMar>
          </w:tcPr>
          <w:p>
            <w:r>
              <w:rPr>
                <w:b w:val="false"/>
                <w:bCs w:val="false"/>
                <w:sz w:val="18"/>
                <w:szCs w:val="18"/>
              </w:rPr>
              <w:t xml:space="preserve">APPI Art 171 (this Act applies where, in relation to supplying a good or service to a person in Japan, a business handles that person's personal information in a foreign country)</w:t>
            </w:r>
          </w:p>
        </w:tc>
      </w:tr>
      <w:tr>
        <w:trPr>
          <w:tblHeader w:val="false"/>
        </w:trPr>
        <w:tc>
          <w:tcPr>
            <w:tcW w:type="dxa" w:w="4680"/>
            <w:tcMar>
              <w:top w:type="dxa" w:w="60"/>
              <w:left w:type="dxa" w:w="100"/>
              <w:bottom w:type="dxa" w:w="60"/>
              <w:right w:type="dxa" w:w="100"/>
            </w:tcMar>
          </w:tcPr>
          <w:p>
            <w:r>
              <w:rPr>
                <w:b w:val="false"/>
                <w:bCs w:val="false"/>
                <w:sz w:val="18"/>
                <w:szCs w:val="18"/>
              </w:rPr>
              <w:t xml:space="preserve">2.1.3</w:t>
            </w:r>
          </w:p>
        </w:tc>
        <w:tc>
          <w:tcPr>
            <w:tcW w:type="dxa" w:w="4680"/>
            <w:tcMar>
              <w:top w:type="dxa" w:w="60"/>
              <w:left w:type="dxa" w:w="100"/>
              <w:bottom w:type="dxa" w:w="60"/>
              <w:right w:type="dxa" w:w="100"/>
            </w:tcMar>
          </w:tcPr>
          <w:p>
            <w:r>
              <w:rPr>
                <w:b w:val="false"/>
                <w:bCs w:val="false"/>
                <w:sz w:val="18"/>
                <w:szCs w:val="18"/>
              </w:rPr>
              <w:t xml:space="preserve">AI Promotion Act Art 7</w:t>
            </w:r>
          </w:p>
        </w:tc>
      </w:tr>
      <w:tr>
        <w:trPr>
          <w:tblHeader w:val="false"/>
        </w:trPr>
        <w:tc>
          <w:tcPr>
            <w:tcW w:type="dxa" w:w="4680"/>
            <w:tcMar>
              <w:top w:type="dxa" w:w="60"/>
              <w:left w:type="dxa" w:w="100"/>
              <w:bottom w:type="dxa" w:w="60"/>
              <w:right w:type="dxa" w:w="100"/>
            </w:tcMar>
          </w:tcPr>
          <w:p>
            <w:r>
              <w:rPr>
                <w:b w:val="false"/>
                <w:bCs w:val="false"/>
                <w:sz w:val="18"/>
                <w:szCs w:val="18"/>
              </w:rPr>
              <w:t xml:space="preserve">3.1</w:t>
            </w:r>
          </w:p>
        </w:tc>
        <w:tc>
          <w:tcPr>
            <w:tcW w:type="dxa" w:w="4680"/>
            <w:tcMar>
              <w:top w:type="dxa" w:w="60"/>
              <w:left w:type="dxa" w:w="100"/>
              <w:bottom w:type="dxa" w:w="60"/>
              <w:right w:type="dxa" w:w="100"/>
            </w:tcMar>
          </w:tcPr>
          <w:p>
            <w:r>
              <w:rPr>
                <w:b w:val="false"/>
                <w:bCs w:val="false"/>
                <w:sz w:val="18"/>
                <w:szCs w:val="18"/>
              </w:rPr>
              <w:t xml:space="preserve">APPI Arts 17(1)-(2), 18(1)</w:t>
            </w:r>
          </w:p>
        </w:tc>
      </w:tr>
      <w:tr>
        <w:trPr>
          <w:tblHeader w:val="false"/>
        </w:trPr>
        <w:tc>
          <w:tcPr>
            <w:tcW w:type="dxa" w:w="4680"/>
            <w:tcMar>
              <w:top w:type="dxa" w:w="60"/>
              <w:left w:type="dxa" w:w="100"/>
              <w:bottom w:type="dxa" w:w="60"/>
              <w:right w:type="dxa" w:w="100"/>
            </w:tcMar>
          </w:tcPr>
          <w:p>
            <w:r>
              <w:rPr>
                <w:b w:val="false"/>
                <w:bCs w:val="false"/>
                <w:sz w:val="18"/>
                <w:szCs w:val="18"/>
              </w:rPr>
              <w:t xml:space="preserve">3.2</w:t>
            </w:r>
          </w:p>
        </w:tc>
        <w:tc>
          <w:tcPr>
            <w:tcW w:type="dxa" w:w="4680"/>
            <w:tcMar>
              <w:top w:type="dxa" w:w="60"/>
              <w:left w:type="dxa" w:w="100"/>
              <w:bottom w:type="dxa" w:w="60"/>
              <w:right w:type="dxa" w:w="100"/>
            </w:tcMar>
          </w:tcPr>
          <w:p>
            <w:r>
              <w:rPr>
                <w:b w:val="false"/>
                <w:bCs w:val="false"/>
                <w:sz w:val="18"/>
                <w:szCs w:val="18"/>
              </w:rPr>
              <w:t xml:space="preserve">APPI Arts 19, 20(1)-(2); Art 2(3) (sensitive personal information)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3.3</w:t>
            </w:r>
          </w:p>
        </w:tc>
        <w:tc>
          <w:tcPr>
            <w:tcW w:type="dxa" w:w="4680"/>
            <w:tcMar>
              <w:top w:type="dxa" w:w="60"/>
              <w:left w:type="dxa" w:w="100"/>
              <w:bottom w:type="dxa" w:w="60"/>
              <w:right w:type="dxa" w:w="100"/>
            </w:tcMar>
          </w:tcPr>
          <w:p>
            <w:r>
              <w:rPr>
                <w:b w:val="false"/>
                <w:bCs w:val="false"/>
                <w:sz w:val="18"/>
                <w:szCs w:val="18"/>
              </w:rPr>
              <w:t xml:space="preserve">APPI Arts 27(1), 28(1)</w:t>
            </w:r>
          </w:p>
        </w:tc>
      </w:tr>
      <w:tr>
        <w:trPr>
          <w:tblHeader w:val="false"/>
        </w:trPr>
        <w:tc>
          <w:tcPr>
            <w:tcW w:type="dxa" w:w="4680"/>
            <w:tcMar>
              <w:top w:type="dxa" w:w="60"/>
              <w:left w:type="dxa" w:w="100"/>
              <w:bottom w:type="dxa" w:w="60"/>
              <w:right w:type="dxa" w:w="100"/>
            </w:tcMar>
          </w:tcPr>
          <w:p>
            <w:r>
              <w:rPr>
                <w:b w:val="false"/>
                <w:bCs w:val="false"/>
                <w:sz w:val="18"/>
                <w:szCs w:val="18"/>
              </w:rPr>
              <w:t xml:space="preserve">3.4</w:t>
            </w:r>
          </w:p>
        </w:tc>
        <w:tc>
          <w:tcPr>
            <w:tcW w:type="dxa" w:w="4680"/>
            <w:tcMar>
              <w:top w:type="dxa" w:w="60"/>
              <w:left w:type="dxa" w:w="100"/>
              <w:bottom w:type="dxa" w:w="60"/>
              <w:right w:type="dxa" w:w="100"/>
            </w:tcMar>
          </w:tcPr>
          <w:p>
            <w:r>
              <w:rPr>
                <w:b w:val="false"/>
                <w:bCs w:val="false"/>
                <w:sz w:val="18"/>
                <w:szCs w:val="18"/>
              </w:rPr>
              <w:t xml:space="preserve">APPI Arts 23, 24, 25, 26(1)-(2)</w:t>
            </w:r>
          </w:p>
        </w:tc>
      </w:tr>
      <w:tr>
        <w:trPr>
          <w:tblHeader w:val="false"/>
        </w:trPr>
        <w:tc>
          <w:tcPr>
            <w:tcW w:type="dxa" w:w="4680"/>
            <w:tcMar>
              <w:top w:type="dxa" w:w="60"/>
              <w:left w:type="dxa" w:w="100"/>
              <w:bottom w:type="dxa" w:w="60"/>
              <w:right w:type="dxa" w:w="100"/>
            </w:tcMar>
          </w:tcPr>
          <w:p>
            <w:r>
              <w:rPr>
                <w:b w:val="false"/>
                <w:bCs w:val="false"/>
                <w:sz w:val="18"/>
                <w:szCs w:val="18"/>
              </w:rPr>
              <w:t xml:space="preserve">3.5</w:t>
            </w:r>
          </w:p>
        </w:tc>
        <w:tc>
          <w:tcPr>
            <w:tcW w:type="dxa" w:w="4680"/>
            <w:tcMar>
              <w:top w:type="dxa" w:w="60"/>
              <w:left w:type="dxa" w:w="100"/>
              <w:bottom w:type="dxa" w:w="60"/>
              <w:right w:type="dxa" w:w="100"/>
            </w:tcMar>
          </w:tcPr>
          <w:p>
            <w:r>
              <w:rPr>
                <w:b w:val="false"/>
                <w:bCs w:val="false"/>
                <w:sz w:val="18"/>
                <w:szCs w:val="18"/>
              </w:rPr>
              <w:t xml:space="preserve">APPI Arts 33(1)-(2), 34(1), 35</w:t>
            </w:r>
          </w:p>
        </w:tc>
      </w:tr>
      <w:tr>
        <w:trPr>
          <w:tblHeader w:val="false"/>
        </w:trPr>
        <w:tc>
          <w:tcPr>
            <w:tcW w:type="dxa" w:w="4680"/>
            <w:tcMar>
              <w:top w:type="dxa" w:w="60"/>
              <w:left w:type="dxa" w:w="100"/>
              <w:bottom w:type="dxa" w:w="60"/>
              <w:right w:type="dxa" w:w="100"/>
            </w:tcMar>
          </w:tcPr>
          <w:p>
            <w:r>
              <w:rPr>
                <w:b w:val="false"/>
                <w:bCs w:val="false"/>
                <w:sz w:val="18"/>
                <w:szCs w:val="18"/>
              </w:rPr>
              <w:t xml:space="preserve">3.6</w:t>
            </w:r>
          </w:p>
        </w:tc>
        <w:tc>
          <w:tcPr>
            <w:tcW w:type="dxa" w:w="4680"/>
            <w:tcMar>
              <w:top w:type="dxa" w:w="60"/>
              <w:left w:type="dxa" w:w="100"/>
              <w:bottom w:type="dxa" w:w="60"/>
              <w:right w:type="dxa" w:w="100"/>
            </w:tcMar>
          </w:tcPr>
          <w:p>
            <w:r>
              <w:rPr>
                <w:b w:val="false"/>
                <w:bCs w:val="false"/>
                <w:sz w:val="18"/>
                <w:szCs w:val="18"/>
              </w:rPr>
              <w:t xml:space="preserve">House; AI Guidelines (human-centric, transparency, accountability); no APPI ADM right</w:t>
            </w:r>
          </w:p>
        </w:tc>
      </w:tr>
      <w:tr>
        <w:trPr>
          <w:tblHeader w:val="false"/>
        </w:trPr>
        <w:tc>
          <w:tcPr>
            <w:tcW w:type="dxa" w:w="4680"/>
            <w:tcMar>
              <w:top w:type="dxa" w:w="60"/>
              <w:left w:type="dxa" w:w="100"/>
              <w:bottom w:type="dxa" w:w="60"/>
              <w:right w:type="dxa" w:w="100"/>
            </w:tcMar>
          </w:tcPr>
          <w:p>
            <w:r>
              <w:rPr>
                <w:b w:val="false"/>
                <w:bCs w:val="false"/>
                <w:sz w:val="18"/>
                <w:szCs w:val="18"/>
              </w:rPr>
              <w:t xml:space="preserve">4.1</w:t>
            </w:r>
          </w:p>
        </w:tc>
        <w:tc>
          <w:tcPr>
            <w:tcW w:type="dxa" w:w="4680"/>
            <w:tcMar>
              <w:top w:type="dxa" w:w="60"/>
              <w:left w:type="dxa" w:w="100"/>
              <w:bottom w:type="dxa" w:w="60"/>
              <w:right w:type="dxa" w:w="100"/>
            </w:tcMar>
          </w:tcPr>
          <w:p>
            <w:r>
              <w:rPr>
                <w:b w:val="false"/>
                <w:bCs w:val="false"/>
                <w:sz w:val="18"/>
                <w:szCs w:val="18"/>
              </w:rPr>
              <w:t xml:space="preserve">APPI Chapter IV; AI Promotion Act (government/institutional provisions)</w:t>
            </w:r>
          </w:p>
        </w:tc>
      </w:tr>
      <w:tr>
        <w:trPr>
          <w:tblHeader w:val="false"/>
        </w:trPr>
        <w:tc>
          <w:tcPr>
            <w:tcW w:type="dxa" w:w="4680"/>
            <w:tcMar>
              <w:top w:type="dxa" w:w="60"/>
              <w:left w:type="dxa" w:w="100"/>
              <w:bottom w:type="dxa" w:w="60"/>
              <w:right w:type="dxa" w:w="100"/>
            </w:tcMar>
          </w:tcPr>
          <w:p>
            <w:r>
              <w:rPr>
                <w:b w:val="false"/>
                <w:bCs w:val="false"/>
                <w:sz w:val="18"/>
                <w:szCs w:val="18"/>
              </w:rPr>
              <w:t xml:space="preserve">4.2</w:t>
            </w:r>
          </w:p>
        </w:tc>
        <w:tc>
          <w:tcPr>
            <w:tcW w:type="dxa" w:w="4680"/>
            <w:tcMar>
              <w:top w:type="dxa" w:w="60"/>
              <w:left w:type="dxa" w:w="100"/>
              <w:bottom w:type="dxa" w:w="60"/>
              <w:right w:type="dxa" w:w="100"/>
            </w:tcMar>
          </w:tcPr>
          <w:p>
            <w:r>
              <w:rPr>
                <w:b w:val="false"/>
                <w:bCs w:val="false"/>
                <w:sz w:val="18"/>
                <w:szCs w:val="18"/>
              </w:rPr>
              <w:t xml:space="preserve">PPC reform policy Jan 2026 (all six items and the submission/effect timing)</w:t>
            </w:r>
          </w:p>
        </w:tc>
      </w:tr>
      <w:tr>
        <w:trPr>
          <w:tblHeader w:val="false"/>
        </w:trPr>
        <w:tc>
          <w:tcPr>
            <w:tcW w:type="dxa" w:w="4680"/>
            <w:tcMar>
              <w:top w:type="dxa" w:w="60"/>
              <w:left w:type="dxa" w:w="100"/>
              <w:bottom w:type="dxa" w:w="60"/>
              <w:right w:type="dxa" w:w="100"/>
            </w:tcMar>
          </w:tcPr>
          <w:p>
            <w:r>
              <w:rPr>
                <w:b w:val="false"/>
                <w:bCs w:val="false"/>
                <w:sz w:val="18"/>
                <w:szCs w:val="18"/>
              </w:rPr>
              <w:t xml:space="preserve">4.3</w:t>
            </w:r>
          </w:p>
        </w:tc>
        <w:tc>
          <w:tcPr>
            <w:tcW w:type="dxa" w:w="4680"/>
            <w:tcMar>
              <w:top w:type="dxa" w:w="60"/>
              <w:left w:type="dxa" w:w="100"/>
              <w:bottom w:type="dxa" w:w="60"/>
              <w:right w:type="dxa" w:w="100"/>
            </w:tcMar>
          </w:tcPr>
          <w:p>
            <w:r>
              <w:rPr>
                <w:b w:val="false"/>
                <w:bCs w:val="false"/>
                <w:sz w:val="18"/>
                <w:szCs w:val="18"/>
              </w:rPr>
              <w:t xml:space="preserve">AI Guidelines v1.1; AI Promotion Act Art 13</w:t>
            </w:r>
          </w:p>
        </w:tc>
      </w:tr>
      <w:tr>
        <w:trPr>
          <w:tblHeader w:val="false"/>
        </w:trPr>
        <w:tc>
          <w:tcPr>
            <w:tcW w:type="dxa" w:w="4680"/>
            <w:tcMar>
              <w:top w:type="dxa" w:w="60"/>
              <w:left w:type="dxa" w:w="100"/>
              <w:bottom w:type="dxa" w:w="60"/>
              <w:right w:type="dxa" w:w="100"/>
            </w:tcMar>
          </w:tcPr>
          <w:p>
            <w:r>
              <w:rPr>
                <w:b w:val="false"/>
                <w:bCs w:val="false"/>
                <w:sz w:val="18"/>
                <w:szCs w:val="18"/>
              </w:rPr>
              <w:t xml:space="preserve">5</w:t>
            </w:r>
          </w:p>
        </w:tc>
        <w:tc>
          <w:tcPr>
            <w:tcW w:type="dxa" w:w="4680"/>
            <w:tcMar>
              <w:top w:type="dxa" w:w="60"/>
              <w:left w:type="dxa" w:w="100"/>
              <w:bottom w:type="dxa" w:w="60"/>
              <w:right w:type="dxa" w:w="100"/>
            </w:tcMar>
          </w:tcPr>
          <w:p>
            <w:r>
              <w:rPr>
                <w:b w:val="false"/>
                <w:bCs w:val="false"/>
                <w:sz w:val="18"/>
                <w:szCs w:val="18"/>
              </w:rPr>
              <w:t xml:space="preserve">House classification; sensitivity from APPI Art 2(3)</w:t>
            </w:r>
          </w:p>
        </w:tc>
      </w:tr>
      <w:tr>
        <w:trPr>
          <w:tblHeader w:val="false"/>
        </w:trPr>
        <w:tc>
          <w:tcPr>
            <w:tcW w:type="dxa" w:w="4680"/>
            <w:tcMar>
              <w:top w:type="dxa" w:w="60"/>
              <w:left w:type="dxa" w:w="100"/>
              <w:bottom w:type="dxa" w:w="60"/>
              <w:right w:type="dxa" w:w="100"/>
            </w:tcMar>
          </w:tcPr>
          <w:p>
            <w:r>
              <w:rPr>
                <w:b w:val="false"/>
                <w:bCs w:val="false"/>
                <w:sz w:val="18"/>
                <w:szCs w:val="18"/>
              </w:rPr>
              <w:t xml:space="preserve">6.2</w:t>
            </w:r>
          </w:p>
        </w:tc>
        <w:tc>
          <w:tcPr>
            <w:tcW w:type="dxa" w:w="4680"/>
            <w:tcMar>
              <w:top w:type="dxa" w:w="60"/>
              <w:left w:type="dxa" w:w="100"/>
              <w:bottom w:type="dxa" w:w="60"/>
              <w:right w:type="dxa" w:w="100"/>
            </w:tcMar>
          </w:tcPr>
          <w:p>
            <w:r>
              <w:rPr>
                <w:b w:val="false"/>
                <w:bCs w:val="false"/>
                <w:sz w:val="18"/>
                <w:szCs w:val="18"/>
              </w:rPr>
              <w:t xml:space="preserve">APPI Arts 18, 19, 20(1)-(2), 27; AI Guidelines (fairness, safety); guidelines on generated disinformation and IP infringement</w:t>
            </w:r>
          </w:p>
        </w:tc>
      </w:tr>
      <w:tr>
        <w:trPr>
          <w:tblHeader w:val="false"/>
        </w:trPr>
        <w:tc>
          <w:tcPr>
            <w:tcW w:type="dxa" w:w="4680"/>
            <w:tcMar>
              <w:top w:type="dxa" w:w="60"/>
              <w:left w:type="dxa" w:w="100"/>
              <w:bottom w:type="dxa" w:w="60"/>
              <w:right w:type="dxa" w:w="100"/>
            </w:tcMar>
          </w:tcPr>
          <w:p>
            <w:r>
              <w:rPr>
                <w:b w:val="false"/>
                <w:bCs w:val="false"/>
                <w:sz w:val="18"/>
                <w:szCs w:val="18"/>
              </w:rPr>
              <w:t xml:space="preserve">7.1.1</w:t>
            </w:r>
          </w:p>
        </w:tc>
        <w:tc>
          <w:tcPr>
            <w:tcW w:type="dxa" w:w="4680"/>
            <w:tcMar>
              <w:top w:type="dxa" w:w="60"/>
              <w:left w:type="dxa" w:w="100"/>
              <w:bottom w:type="dxa" w:w="60"/>
              <w:right w:type="dxa" w:w="100"/>
            </w:tcMar>
          </w:tcPr>
          <w:p>
            <w:r>
              <w:rPr>
                <w:b w:val="false"/>
                <w:bCs w:val="false"/>
                <w:sz w:val="18"/>
                <w:szCs w:val="18"/>
              </w:rPr>
              <w:t xml:space="preserve">APPI Arts 18(1), 27(1); Art 25 (entrustment)</w:t>
            </w:r>
          </w:p>
        </w:tc>
      </w:tr>
      <w:tr>
        <w:trPr>
          <w:tblHeader w:val="false"/>
        </w:trPr>
        <w:tc>
          <w:tcPr>
            <w:tcW w:type="dxa" w:w="4680"/>
            <w:tcMar>
              <w:top w:type="dxa" w:w="60"/>
              <w:left w:type="dxa" w:w="100"/>
              <w:bottom w:type="dxa" w:w="60"/>
              <w:right w:type="dxa" w:w="100"/>
            </w:tcMar>
          </w:tcPr>
          <w:p>
            <w:r>
              <w:rPr>
                <w:b w:val="false"/>
                <w:bCs w:val="false"/>
                <w:sz w:val="18"/>
                <w:szCs w:val="18"/>
              </w:rPr>
              <w:t xml:space="preserve">7.1.2</w:t>
            </w:r>
          </w:p>
        </w:tc>
        <w:tc>
          <w:tcPr>
            <w:tcW w:type="dxa" w:w="4680"/>
            <w:tcMar>
              <w:top w:type="dxa" w:w="60"/>
              <w:left w:type="dxa" w:w="100"/>
              <w:bottom w:type="dxa" w:w="60"/>
              <w:right w:type="dxa" w:w="100"/>
            </w:tcMar>
          </w:tcPr>
          <w:p>
            <w:r>
              <w:rPr>
                <w:b w:val="false"/>
                <w:bCs w:val="false"/>
                <w:sz w:val="18"/>
                <w:szCs w:val="18"/>
              </w:rPr>
              <w:t xml:space="preserve">APPI Arts 17, 18(1)</w:t>
            </w:r>
          </w:p>
        </w:tc>
      </w:tr>
      <w:tr>
        <w:trPr>
          <w:tblHeader w:val="false"/>
        </w:trPr>
        <w:tc>
          <w:tcPr>
            <w:tcW w:type="dxa" w:w="4680"/>
            <w:tcMar>
              <w:top w:type="dxa" w:w="60"/>
              <w:left w:type="dxa" w:w="100"/>
              <w:bottom w:type="dxa" w:w="60"/>
              <w:right w:type="dxa" w:w="100"/>
            </w:tcMar>
          </w:tcPr>
          <w:p>
            <w:r>
              <w:rPr>
                <w:b w:val="false"/>
                <w:bCs w:val="false"/>
                <w:sz w:val="18"/>
                <w:szCs w:val="18"/>
              </w:rPr>
              <w:t xml:space="preserve">7.1.3</w:t>
            </w:r>
          </w:p>
        </w:tc>
        <w:tc>
          <w:tcPr>
            <w:tcW w:type="dxa" w:w="4680"/>
            <w:tcMar>
              <w:top w:type="dxa" w:w="60"/>
              <w:left w:type="dxa" w:w="100"/>
              <w:bottom w:type="dxa" w:w="60"/>
              <w:right w:type="dxa" w:w="100"/>
            </w:tcMar>
          </w:tcPr>
          <w:p>
            <w:r>
              <w:rPr>
                <w:b w:val="false"/>
                <w:bCs w:val="false"/>
                <w:sz w:val="18"/>
                <w:szCs w:val="18"/>
              </w:rPr>
              <w:t xml:space="preserve">APPI Art 22 (deletion when no longer needed); pseudonymised/anonymised regime (Arts 41-46, held, applied by reference)</w:t>
            </w:r>
          </w:p>
        </w:tc>
      </w:tr>
      <w:tr>
        <w:trPr>
          <w:tblHeader w:val="false"/>
        </w:trPr>
        <w:tc>
          <w:tcPr>
            <w:tcW w:type="dxa" w:w="4680"/>
            <w:tcMar>
              <w:top w:type="dxa" w:w="60"/>
              <w:left w:type="dxa" w:w="100"/>
              <w:bottom w:type="dxa" w:w="60"/>
              <w:right w:type="dxa" w:w="100"/>
            </w:tcMar>
          </w:tcPr>
          <w:p>
            <w:r>
              <w:rPr>
                <w:b w:val="false"/>
                <w:bCs w:val="false"/>
                <w:sz w:val="18"/>
                <w:szCs w:val="18"/>
              </w:rPr>
              <w:t xml:space="preserve">7.2.1</w:t>
            </w:r>
          </w:p>
        </w:tc>
        <w:tc>
          <w:tcPr>
            <w:tcW w:type="dxa" w:w="4680"/>
            <w:tcMar>
              <w:top w:type="dxa" w:w="60"/>
              <w:left w:type="dxa" w:w="100"/>
              <w:bottom w:type="dxa" w:w="60"/>
              <w:right w:type="dxa" w:w="100"/>
            </w:tcMar>
          </w:tcPr>
          <w:p>
            <w:r>
              <w:rPr>
                <w:b w:val="false"/>
                <w:bCs w:val="false"/>
                <w:sz w:val="18"/>
                <w:szCs w:val="18"/>
              </w:rPr>
              <w:t xml:space="preserve">APPI Arts 17, 18, 20(2); Art 2(3)</w:t>
            </w:r>
          </w:p>
        </w:tc>
      </w:tr>
      <w:tr>
        <w:trPr>
          <w:tblHeader w:val="false"/>
        </w:trPr>
        <w:tc>
          <w:tcPr>
            <w:tcW w:type="dxa" w:w="4680"/>
            <w:tcMar>
              <w:top w:type="dxa" w:w="60"/>
              <w:left w:type="dxa" w:w="100"/>
              <w:bottom w:type="dxa" w:w="60"/>
              <w:right w:type="dxa" w:w="100"/>
            </w:tcMar>
          </w:tcPr>
          <w:p>
            <w:r>
              <w:rPr>
                <w:b w:val="false"/>
                <w:bCs w:val="false"/>
                <w:sz w:val="18"/>
                <w:szCs w:val="18"/>
              </w:rPr>
              <w:t xml:space="preserve">7.2.2</w:t>
            </w:r>
          </w:p>
        </w:tc>
        <w:tc>
          <w:tcPr>
            <w:tcW w:type="dxa" w:w="4680"/>
            <w:tcMar>
              <w:top w:type="dxa" w:w="60"/>
              <w:left w:type="dxa" w:w="100"/>
              <w:bottom w:type="dxa" w:w="60"/>
              <w:right w:type="dxa" w:w="100"/>
            </w:tcMar>
          </w:tcPr>
          <w:p>
            <w:r>
              <w:rPr>
                <w:b w:val="false"/>
                <w:bCs w:val="false"/>
                <w:sz w:val="18"/>
                <w:szCs w:val="18"/>
              </w:rPr>
              <w:t xml:space="preserve">APPI Arts 22, 34</w:t>
            </w:r>
          </w:p>
        </w:tc>
      </w:tr>
      <w:tr>
        <w:trPr>
          <w:tblHeader w:val="false"/>
        </w:trPr>
        <w:tc>
          <w:tcPr>
            <w:tcW w:type="dxa" w:w="4680"/>
            <w:tcMar>
              <w:top w:type="dxa" w:w="60"/>
              <w:left w:type="dxa" w:w="100"/>
              <w:bottom w:type="dxa" w:w="60"/>
              <w:right w:type="dxa" w:w="100"/>
            </w:tcMar>
          </w:tcPr>
          <w:p>
            <w:r>
              <w:rPr>
                <w:b w:val="false"/>
                <w:bCs w:val="false"/>
                <w:sz w:val="18"/>
                <w:szCs w:val="18"/>
              </w:rPr>
              <w:t xml:space="preserve">7.3.1</w:t>
            </w:r>
          </w:p>
        </w:tc>
        <w:tc>
          <w:tcPr>
            <w:tcW w:type="dxa" w:w="4680"/>
            <w:tcMar>
              <w:top w:type="dxa" w:w="60"/>
              <w:left w:type="dxa" w:w="100"/>
              <w:bottom w:type="dxa" w:w="60"/>
              <w:right w:type="dxa" w:w="100"/>
            </w:tcMar>
          </w:tcPr>
          <w:p>
            <w:r>
              <w:rPr>
                <w:b w:val="false"/>
                <w:bCs w:val="false"/>
                <w:sz w:val="18"/>
                <w:szCs w:val="18"/>
              </w:rPr>
              <w:t xml:space="preserve">APPI Art 20(2); Art 27 (opt-out limits for sensitive information)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7.3.2</w:t>
            </w:r>
          </w:p>
        </w:tc>
        <w:tc>
          <w:tcPr>
            <w:tcW w:type="dxa" w:w="4680"/>
            <w:tcMar>
              <w:top w:type="dxa" w:w="60"/>
              <w:left w:type="dxa" w:w="100"/>
              <w:bottom w:type="dxa" w:w="60"/>
              <w:right w:type="dxa" w:w="100"/>
            </w:tcMar>
          </w:tcPr>
          <w:p>
            <w:r>
              <w:rPr>
                <w:b w:val="false"/>
                <w:bCs w:val="false"/>
                <w:sz w:val="18"/>
                <w:szCs w:val="18"/>
              </w:rPr>
              <w:t xml:space="preserve">APPI Art 20(2)</w:t>
            </w:r>
          </w:p>
        </w:tc>
      </w:tr>
      <w:tr>
        <w:trPr>
          <w:tblHeader w:val="false"/>
        </w:trPr>
        <w:tc>
          <w:tcPr>
            <w:tcW w:type="dxa" w:w="4680"/>
            <w:tcMar>
              <w:top w:type="dxa" w:w="60"/>
              <w:left w:type="dxa" w:w="100"/>
              <w:bottom w:type="dxa" w:w="60"/>
              <w:right w:type="dxa" w:w="100"/>
            </w:tcMar>
          </w:tcPr>
          <w:p>
            <w:r>
              <w:rPr>
                <w:b w:val="false"/>
                <w:bCs w:val="false"/>
                <w:sz w:val="18"/>
                <w:szCs w:val="18"/>
              </w:rPr>
              <w:t xml:space="preserve">7.4</w:t>
            </w:r>
          </w:p>
        </w:tc>
        <w:tc>
          <w:tcPr>
            <w:tcW w:type="dxa" w:w="4680"/>
            <w:tcMar>
              <w:top w:type="dxa" w:w="60"/>
              <w:left w:type="dxa" w:w="100"/>
              <w:bottom w:type="dxa" w:w="60"/>
              <w:right w:type="dxa" w:w="100"/>
            </w:tcMar>
          </w:tcPr>
          <w:p>
            <w:r>
              <w:rPr>
                <w:b w:val="false"/>
                <w:bCs w:val="false"/>
                <w:sz w:val="18"/>
                <w:szCs w:val="18"/>
              </w:rPr>
              <w:t xml:space="preserve">APPI Arts 20, 27; PPC reform policy (facial-feature data), applied as a house standard</w:t>
            </w:r>
          </w:p>
        </w:tc>
      </w:tr>
      <w:tr>
        <w:trPr>
          <w:tblHeader w:val="false"/>
        </w:trPr>
        <w:tc>
          <w:tcPr>
            <w:tcW w:type="dxa" w:w="4680"/>
            <w:tcMar>
              <w:top w:type="dxa" w:w="60"/>
              <w:left w:type="dxa" w:w="100"/>
              <w:bottom w:type="dxa" w:w="60"/>
              <w:right w:type="dxa" w:w="100"/>
            </w:tcMar>
          </w:tcPr>
          <w:p>
            <w:r>
              <w:rPr>
                <w:b w:val="false"/>
                <w:bCs w:val="false"/>
                <w:sz w:val="18"/>
                <w:szCs w:val="18"/>
              </w:rPr>
              <w:t xml:space="preserve">7.5</w:t>
            </w:r>
          </w:p>
        </w:tc>
        <w:tc>
          <w:tcPr>
            <w:tcW w:type="dxa" w:w="4680"/>
            <w:tcMar>
              <w:top w:type="dxa" w:w="60"/>
              <w:left w:type="dxa" w:w="100"/>
              <w:bottom w:type="dxa" w:w="60"/>
              <w:right w:type="dxa" w:w="100"/>
            </w:tcMar>
          </w:tcPr>
          <w:p>
            <w:r>
              <w:rPr>
                <w:b w:val="false"/>
                <w:bCs w:val="false"/>
                <w:sz w:val="18"/>
                <w:szCs w:val="18"/>
              </w:rPr>
              <w:t xml:space="preserve">APPI Art 20(1)</w:t>
            </w:r>
          </w:p>
        </w:tc>
      </w:tr>
      <w:tr>
        <w:trPr>
          <w:tblHeader w:val="false"/>
        </w:trPr>
        <w:tc>
          <w:tcPr>
            <w:tcW w:type="dxa" w:w="4680"/>
            <w:tcMar>
              <w:top w:type="dxa" w:w="60"/>
              <w:left w:type="dxa" w:w="100"/>
              <w:bottom w:type="dxa" w:w="60"/>
              <w:right w:type="dxa" w:w="100"/>
            </w:tcMar>
          </w:tcPr>
          <w:p>
            <w:r>
              <w:rPr>
                <w:b w:val="false"/>
                <w:bCs w:val="false"/>
                <w:sz w:val="18"/>
                <w:szCs w:val="18"/>
              </w:rPr>
              <w:t xml:space="preserve">7.6</w:t>
            </w:r>
          </w:p>
        </w:tc>
        <w:tc>
          <w:tcPr>
            <w:tcW w:type="dxa" w:w="4680"/>
            <w:tcMar>
              <w:top w:type="dxa" w:w="60"/>
              <w:left w:type="dxa" w:w="100"/>
              <w:bottom w:type="dxa" w:w="60"/>
              <w:right w:type="dxa" w:w="100"/>
            </w:tcMar>
          </w:tcPr>
          <w:p>
            <w:r>
              <w:rPr>
                <w:b w:val="false"/>
                <w:bCs w:val="false"/>
                <w:sz w:val="18"/>
                <w:szCs w:val="18"/>
              </w:rPr>
              <w:t xml:space="preserve">APPI Arts 17, 18, 21</w:t>
            </w:r>
          </w:p>
        </w:tc>
      </w:tr>
      <w:tr>
        <w:trPr>
          <w:tblHeader w:val="false"/>
        </w:trPr>
        <w:tc>
          <w:tcPr>
            <w:tcW w:type="dxa" w:w="4680"/>
            <w:tcMar>
              <w:top w:type="dxa" w:w="60"/>
              <w:left w:type="dxa" w:w="100"/>
              <w:bottom w:type="dxa" w:w="60"/>
              <w:right w:type="dxa" w:w="100"/>
            </w:tcMar>
          </w:tcPr>
          <w:p>
            <w:r>
              <w:rPr>
                <w:b w:val="false"/>
                <w:bCs w:val="false"/>
                <w:sz w:val="18"/>
                <w:szCs w:val="18"/>
              </w:rPr>
              <w:t xml:space="preserve">8.1</w:t>
            </w:r>
          </w:p>
        </w:tc>
        <w:tc>
          <w:tcPr>
            <w:tcW w:type="dxa" w:w="4680"/>
            <w:tcMar>
              <w:top w:type="dxa" w:w="60"/>
              <w:left w:type="dxa" w:w="100"/>
              <w:bottom w:type="dxa" w:w="60"/>
              <w:right w:type="dxa" w:w="100"/>
            </w:tcMar>
          </w:tcPr>
          <w:p>
            <w:r>
              <w:rPr>
                <w:b w:val="false"/>
                <w:bCs w:val="false"/>
                <w:sz w:val="18"/>
                <w:szCs w:val="18"/>
              </w:rPr>
              <w:t xml:space="preserve">APPI Art 32 (matters to be made accessible - held), Art 21</w:t>
            </w:r>
          </w:p>
        </w:tc>
      </w:tr>
      <w:tr>
        <w:trPr>
          <w:tblHeader w:val="false"/>
        </w:trPr>
        <w:tc>
          <w:tcPr>
            <w:tcW w:type="dxa" w:w="4680"/>
            <w:tcMar>
              <w:top w:type="dxa" w:w="60"/>
              <w:left w:type="dxa" w:w="100"/>
              <w:bottom w:type="dxa" w:w="60"/>
              <w:right w:type="dxa" w:w="100"/>
            </w:tcMar>
          </w:tcPr>
          <w:p>
            <w:r>
              <w:rPr>
                <w:b w:val="false"/>
                <w:bCs w:val="false"/>
                <w:sz w:val="18"/>
                <w:szCs w:val="18"/>
              </w:rPr>
              <w:t xml:space="preserve">8.2</w:t>
            </w:r>
          </w:p>
        </w:tc>
        <w:tc>
          <w:tcPr>
            <w:tcW w:type="dxa" w:w="4680"/>
            <w:tcMar>
              <w:top w:type="dxa" w:w="60"/>
              <w:left w:type="dxa" w:w="100"/>
              <w:bottom w:type="dxa" w:w="60"/>
              <w:right w:type="dxa" w:w="100"/>
            </w:tcMar>
          </w:tcPr>
          <w:p>
            <w:r>
              <w:rPr>
                <w:b w:val="false"/>
                <w:bCs w:val="false"/>
                <w:sz w:val="18"/>
                <w:szCs w:val="18"/>
              </w:rPr>
              <w:t xml:space="preserve">APPI Art 21(2)-(3) (express indication on direct written acquisition)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8.4</w:t>
            </w:r>
          </w:p>
        </w:tc>
        <w:tc>
          <w:tcPr>
            <w:tcW w:type="dxa" w:w="4680"/>
            <w:tcMar>
              <w:top w:type="dxa" w:w="60"/>
              <w:left w:type="dxa" w:w="100"/>
              <w:bottom w:type="dxa" w:w="60"/>
              <w:right w:type="dxa" w:w="100"/>
            </w:tcMar>
          </w:tcPr>
          <w:p>
            <w:r>
              <w:rPr>
                <w:b w:val="false"/>
                <w:bCs w:val="false"/>
                <w:sz w:val="18"/>
                <w:szCs w:val="18"/>
              </w:rPr>
              <w:t xml:space="preserve">APPI Art 20; policy clause 7.4</w:t>
            </w:r>
          </w:p>
        </w:tc>
      </w:tr>
      <w:tr>
        <w:trPr>
          <w:tblHeader w:val="false"/>
        </w:trPr>
        <w:tc>
          <w:tcPr>
            <w:tcW w:type="dxa" w:w="4680"/>
            <w:tcMar>
              <w:top w:type="dxa" w:w="60"/>
              <w:left w:type="dxa" w:w="100"/>
              <w:bottom w:type="dxa" w:w="60"/>
              <w:right w:type="dxa" w:w="100"/>
            </w:tcMar>
          </w:tcPr>
          <w:p>
            <w:r>
              <w:rPr>
                <w:b w:val="false"/>
                <w:bCs w:val="false"/>
                <w:sz w:val="18"/>
                <w:szCs w:val="18"/>
              </w:rPr>
              <w:t xml:space="preserve">9.1</w:t>
            </w:r>
          </w:p>
        </w:tc>
        <w:tc>
          <w:tcPr>
            <w:tcW w:type="dxa" w:w="4680"/>
            <w:tcMar>
              <w:top w:type="dxa" w:w="60"/>
              <w:left w:type="dxa" w:w="100"/>
              <w:bottom w:type="dxa" w:w="60"/>
              <w:right w:type="dxa" w:w="100"/>
            </w:tcMar>
          </w:tcPr>
          <w:p>
            <w:r>
              <w:rPr>
                <w:b w:val="false"/>
                <w:bCs w:val="false"/>
                <w:sz w:val="18"/>
                <w:szCs w:val="18"/>
              </w:rPr>
              <w:t xml:space="preserve">APPI Art 23; AI Guidelines (security)</w:t>
            </w:r>
          </w:p>
        </w:tc>
      </w:tr>
      <w:tr>
        <w:trPr>
          <w:tblHeader w:val="false"/>
        </w:trPr>
        <w:tc>
          <w:tcPr>
            <w:tcW w:type="dxa" w:w="4680"/>
            <w:tcMar>
              <w:top w:type="dxa" w:w="60"/>
              <w:left w:type="dxa" w:w="100"/>
              <w:bottom w:type="dxa" w:w="60"/>
              <w:right w:type="dxa" w:w="100"/>
            </w:tcMar>
          </w:tcPr>
          <w:p>
            <w:r>
              <w:rPr>
                <w:b w:val="false"/>
                <w:bCs w:val="false"/>
                <w:sz w:val="18"/>
                <w:szCs w:val="18"/>
              </w:rPr>
              <w:t xml:space="preserve">9.2</w:t>
            </w:r>
          </w:p>
        </w:tc>
        <w:tc>
          <w:tcPr>
            <w:tcW w:type="dxa" w:w="4680"/>
            <w:tcMar>
              <w:top w:type="dxa" w:w="60"/>
              <w:left w:type="dxa" w:w="100"/>
              <w:bottom w:type="dxa" w:w="60"/>
              <w:right w:type="dxa" w:w="100"/>
            </w:tcMar>
          </w:tcPr>
          <w:p>
            <w:r>
              <w:rPr>
                <w:b w:val="false"/>
                <w:bCs w:val="false"/>
                <w:sz w:val="18"/>
                <w:szCs w:val="18"/>
              </w:rPr>
              <w:t xml:space="preserve">APPI Art 22</w:t>
            </w:r>
          </w:p>
        </w:tc>
      </w:tr>
      <w:tr>
        <w:trPr>
          <w:tblHeader w:val="false"/>
        </w:trPr>
        <w:tc>
          <w:tcPr>
            <w:tcW w:type="dxa" w:w="4680"/>
            <w:tcMar>
              <w:top w:type="dxa" w:w="60"/>
              <w:left w:type="dxa" w:w="100"/>
              <w:bottom w:type="dxa" w:w="60"/>
              <w:right w:type="dxa" w:w="100"/>
            </w:tcMar>
          </w:tcPr>
          <w:p>
            <w:r>
              <w:rPr>
                <w:b w:val="false"/>
                <w:bCs w:val="false"/>
                <w:sz w:val="18"/>
                <w:szCs w:val="18"/>
              </w:rPr>
              <w:t xml:space="preserve">9.3</w:t>
            </w:r>
          </w:p>
        </w:tc>
        <w:tc>
          <w:tcPr>
            <w:tcW w:type="dxa" w:w="4680"/>
            <w:tcMar>
              <w:top w:type="dxa" w:w="60"/>
              <w:left w:type="dxa" w:w="100"/>
              <w:bottom w:type="dxa" w:w="60"/>
              <w:right w:type="dxa" w:w="100"/>
            </w:tcMar>
          </w:tcPr>
          <w:p>
            <w:r>
              <w:rPr>
                <w:b w:val="false"/>
                <w:bCs w:val="false"/>
                <w:sz w:val="18"/>
                <w:szCs w:val="18"/>
              </w:rPr>
              <w:t xml:space="preserve">APPI Art 24</w:t>
            </w:r>
          </w:p>
        </w:tc>
      </w:tr>
      <w:tr>
        <w:trPr>
          <w:tblHeader w:val="false"/>
        </w:trPr>
        <w:tc>
          <w:tcPr>
            <w:tcW w:type="dxa" w:w="4680"/>
            <w:tcMar>
              <w:top w:type="dxa" w:w="60"/>
              <w:left w:type="dxa" w:w="100"/>
              <w:bottom w:type="dxa" w:w="60"/>
              <w:right w:type="dxa" w:w="100"/>
            </w:tcMar>
          </w:tcPr>
          <w:p>
            <w:r>
              <w:rPr>
                <w:b w:val="false"/>
                <w:bCs w:val="false"/>
                <w:sz w:val="18"/>
                <w:szCs w:val="18"/>
              </w:rPr>
              <w:t xml:space="preserve">9.4</w:t>
            </w:r>
          </w:p>
        </w:tc>
        <w:tc>
          <w:tcPr>
            <w:tcW w:type="dxa" w:w="4680"/>
            <w:tcMar>
              <w:top w:type="dxa" w:w="60"/>
              <w:left w:type="dxa" w:w="100"/>
              <w:bottom w:type="dxa" w:w="60"/>
              <w:right w:type="dxa" w:w="100"/>
            </w:tcMar>
          </w:tcPr>
          <w:p>
            <w:r>
              <w:rPr>
                <w:b w:val="false"/>
                <w:bCs w:val="false"/>
                <w:sz w:val="18"/>
                <w:szCs w:val="18"/>
              </w:rPr>
              <w:t xml:space="preserve">APPI Art 25 (entrusted person)</w:t>
            </w:r>
          </w:p>
        </w:tc>
      </w:tr>
      <w:tr>
        <w:trPr>
          <w:tblHeader w:val="false"/>
        </w:trPr>
        <w:tc>
          <w:tcPr>
            <w:tcW w:type="dxa" w:w="4680"/>
            <w:tcMar>
              <w:top w:type="dxa" w:w="60"/>
              <w:left w:type="dxa" w:w="100"/>
              <w:bottom w:type="dxa" w:w="60"/>
              <w:right w:type="dxa" w:w="100"/>
            </w:tcMar>
          </w:tcPr>
          <w:p>
            <w:r>
              <w:rPr>
                <w:b w:val="false"/>
                <w:bCs w:val="false"/>
                <w:sz w:val="18"/>
                <w:szCs w:val="18"/>
              </w:rPr>
              <w:t xml:space="preserve">9.5</w:t>
            </w:r>
          </w:p>
        </w:tc>
        <w:tc>
          <w:tcPr>
            <w:tcW w:type="dxa" w:w="4680"/>
            <w:tcMar>
              <w:top w:type="dxa" w:w="60"/>
              <w:left w:type="dxa" w:w="100"/>
              <w:bottom w:type="dxa" w:w="60"/>
              <w:right w:type="dxa" w:w="100"/>
            </w:tcMar>
          </w:tcPr>
          <w:p>
            <w:r>
              <w:rPr>
                <w:b w:val="false"/>
                <w:bCs w:val="false"/>
                <w:sz w:val="18"/>
                <w:szCs w:val="18"/>
              </w:rPr>
              <w:t xml:space="preserve">APPI Art 28(1)-(3)</w:t>
            </w:r>
          </w:p>
        </w:tc>
      </w:tr>
      <w:tr>
        <w:trPr>
          <w:tblHeader w:val="false"/>
        </w:trPr>
        <w:tc>
          <w:tcPr>
            <w:tcW w:type="dxa" w:w="4680"/>
            <w:tcMar>
              <w:top w:type="dxa" w:w="60"/>
              <w:left w:type="dxa" w:w="100"/>
              <w:bottom w:type="dxa" w:w="60"/>
              <w:right w:type="dxa" w:w="100"/>
            </w:tcMar>
          </w:tcPr>
          <w:p>
            <w:r>
              <w:rPr>
                <w:b w:val="false"/>
                <w:bCs w:val="false"/>
                <w:sz w:val="18"/>
                <w:szCs w:val="18"/>
              </w:rPr>
              <w:t xml:space="preserve">10</w:t>
            </w:r>
          </w:p>
        </w:tc>
        <w:tc>
          <w:tcPr>
            <w:tcW w:type="dxa" w:w="4680"/>
            <w:tcMar>
              <w:top w:type="dxa" w:w="60"/>
              <w:left w:type="dxa" w:w="100"/>
              <w:bottom w:type="dxa" w:w="60"/>
              <w:right w:type="dxa" w:w="100"/>
            </w:tcMar>
          </w:tcPr>
          <w:p>
            <w:r>
              <w:rPr>
                <w:b w:val="false"/>
                <w:bCs w:val="false"/>
                <w:sz w:val="18"/>
                <w:szCs w:val="18"/>
              </w:rPr>
              <w:t xml:space="preserve">House; AI Guidelines (safety of generated code; RAG suppresses hallucination and improves transparency; transparency/verifiability)</w:t>
            </w:r>
          </w:p>
        </w:tc>
      </w:tr>
      <w:tr>
        <w:trPr>
          <w:tblHeader w:val="false"/>
        </w:trPr>
        <w:tc>
          <w:tcPr>
            <w:tcW w:type="dxa" w:w="4680"/>
            <w:tcMar>
              <w:top w:type="dxa" w:w="60"/>
              <w:left w:type="dxa" w:w="100"/>
              <w:bottom w:type="dxa" w:w="60"/>
              <w:right w:type="dxa" w:w="100"/>
            </w:tcMar>
          </w:tcPr>
          <w:p>
            <w:r>
              <w:rPr>
                <w:b w:val="false"/>
                <w:bCs w:val="false"/>
                <w:sz w:val="18"/>
                <w:szCs w:val="18"/>
              </w:rPr>
              <w:t xml:space="preserve">11.1</w:t>
            </w:r>
          </w:p>
        </w:tc>
        <w:tc>
          <w:tcPr>
            <w:tcW w:type="dxa" w:w="4680"/>
            <w:tcMar>
              <w:top w:type="dxa" w:w="60"/>
              <w:left w:type="dxa" w:w="100"/>
              <w:bottom w:type="dxa" w:w="60"/>
              <w:right w:type="dxa" w:w="100"/>
            </w:tcMar>
          </w:tcPr>
          <w:p>
            <w:r>
              <w:rPr>
                <w:b w:val="false"/>
                <w:bCs w:val="false"/>
                <w:sz w:val="18"/>
                <w:szCs w:val="18"/>
              </w:rPr>
              <w:t xml:space="preserve">APPI Art 22</w:t>
            </w:r>
          </w:p>
        </w:tc>
      </w:tr>
      <w:tr>
        <w:trPr>
          <w:tblHeader w:val="false"/>
        </w:trPr>
        <w:tc>
          <w:tcPr>
            <w:tcW w:type="dxa" w:w="4680"/>
            <w:tcMar>
              <w:top w:type="dxa" w:w="60"/>
              <w:left w:type="dxa" w:w="100"/>
              <w:bottom w:type="dxa" w:w="60"/>
              <w:right w:type="dxa" w:w="100"/>
            </w:tcMar>
          </w:tcPr>
          <w:p>
            <w:r>
              <w:rPr>
                <w:b w:val="false"/>
                <w:bCs w:val="false"/>
                <w:sz w:val="18"/>
                <w:szCs w:val="18"/>
              </w:rPr>
              <w:t xml:space="preserve">11.3</w:t>
            </w:r>
          </w:p>
        </w:tc>
        <w:tc>
          <w:tcPr>
            <w:tcW w:type="dxa" w:w="4680"/>
            <w:tcMar>
              <w:top w:type="dxa" w:w="60"/>
              <w:left w:type="dxa" w:w="100"/>
              <w:bottom w:type="dxa" w:w="60"/>
              <w:right w:type="dxa" w:w="100"/>
            </w:tcMar>
          </w:tcPr>
          <w:p>
            <w:r>
              <w:rPr>
                <w:b w:val="false"/>
                <w:bCs w:val="false"/>
                <w:sz w:val="18"/>
                <w:szCs w:val="18"/>
              </w:rPr>
              <w:t xml:space="preserve">APPI Arts 33, 34, 35</w:t>
            </w:r>
          </w:p>
        </w:tc>
      </w:tr>
      <w:tr>
        <w:trPr>
          <w:tblHeader w:val="false"/>
        </w:trPr>
        <w:tc>
          <w:tcPr>
            <w:tcW w:type="dxa" w:w="4680"/>
            <w:tcMar>
              <w:top w:type="dxa" w:w="60"/>
              <w:left w:type="dxa" w:w="100"/>
              <w:bottom w:type="dxa" w:w="60"/>
              <w:right w:type="dxa" w:w="100"/>
            </w:tcMar>
          </w:tcPr>
          <w:p>
            <w:r>
              <w:rPr>
                <w:b w:val="false"/>
                <w:bCs w:val="false"/>
                <w:sz w:val="18"/>
                <w:szCs w:val="18"/>
              </w:rPr>
              <w:t xml:space="preserve">12</w:t>
            </w:r>
          </w:p>
        </w:tc>
        <w:tc>
          <w:tcPr>
            <w:tcW w:type="dxa" w:w="4680"/>
            <w:tcMar>
              <w:top w:type="dxa" w:w="60"/>
              <w:left w:type="dxa" w:w="100"/>
              <w:bottom w:type="dxa" w:w="60"/>
              <w:right w:type="dxa" w:w="100"/>
            </w:tcMar>
          </w:tcPr>
          <w:p>
            <w:r>
              <w:rPr>
                <w:b w:val="false"/>
                <w:bCs w:val="false"/>
                <w:sz w:val="18"/>
                <w:szCs w:val="18"/>
              </w:rPr>
              <w:t xml:space="preserve">APPI Art 35(5); house two-part determination</w:t>
            </w:r>
          </w:p>
        </w:tc>
      </w:tr>
      <w:tr>
        <w:trPr>
          <w:tblHeader w:val="false"/>
        </w:trPr>
        <w:tc>
          <w:tcPr>
            <w:tcW w:type="dxa" w:w="4680"/>
            <w:tcMar>
              <w:top w:type="dxa" w:w="60"/>
              <w:left w:type="dxa" w:w="100"/>
              <w:bottom w:type="dxa" w:w="60"/>
              <w:right w:type="dxa" w:w="100"/>
            </w:tcMar>
          </w:tcPr>
          <w:p>
            <w:r>
              <w:rPr>
                <w:b w:val="false"/>
                <w:bCs w:val="false"/>
                <w:sz w:val="18"/>
                <w:szCs w:val="18"/>
              </w:rPr>
              <w:t xml:space="preserve">13.1</w:t>
            </w:r>
          </w:p>
        </w:tc>
        <w:tc>
          <w:tcPr>
            <w:tcW w:type="dxa" w:w="4680"/>
            <w:tcMar>
              <w:top w:type="dxa" w:w="60"/>
              <w:left w:type="dxa" w:w="100"/>
              <w:bottom w:type="dxa" w:w="60"/>
              <w:right w:type="dxa" w:w="100"/>
            </w:tcMar>
          </w:tcPr>
          <w:p>
            <w:r>
              <w:rPr>
                <w:b w:val="false"/>
                <w:bCs w:val="false"/>
                <w:sz w:val="18"/>
                <w:szCs w:val="18"/>
              </w:rPr>
              <w:t xml:space="preserve">APPI Art 35(1), (3), (5), (6)</w:t>
            </w:r>
          </w:p>
        </w:tc>
      </w:tr>
      <w:tr>
        <w:trPr>
          <w:tblHeader w:val="false"/>
        </w:trPr>
        <w:tc>
          <w:tcPr>
            <w:tcW w:type="dxa" w:w="4680"/>
            <w:tcMar>
              <w:top w:type="dxa" w:w="60"/>
              <w:left w:type="dxa" w:w="100"/>
              <w:bottom w:type="dxa" w:w="60"/>
              <w:right w:type="dxa" w:w="100"/>
            </w:tcMar>
          </w:tcPr>
          <w:p>
            <w:r>
              <w:rPr>
                <w:b w:val="false"/>
                <w:bCs w:val="false"/>
                <w:sz w:val="18"/>
                <w:szCs w:val="18"/>
              </w:rPr>
              <w:t xml:space="preserve">13.2</w:t>
            </w:r>
          </w:p>
        </w:tc>
        <w:tc>
          <w:tcPr>
            <w:tcW w:type="dxa" w:w="4680"/>
            <w:tcMar>
              <w:top w:type="dxa" w:w="60"/>
              <w:left w:type="dxa" w:w="100"/>
              <w:bottom w:type="dxa" w:w="60"/>
              <w:right w:type="dxa" w:w="100"/>
            </w:tcMar>
          </w:tcPr>
          <w:p>
            <w:r>
              <w:rPr>
                <w:b w:val="false"/>
                <w:bCs w:val="false"/>
                <w:sz w:val="18"/>
                <w:szCs w:val="18"/>
              </w:rPr>
              <w:t xml:space="preserve">House; AI Guidelines (human-centric, transparency, accountability)</w:t>
            </w:r>
          </w:p>
        </w:tc>
      </w:tr>
      <w:tr>
        <w:trPr>
          <w:tblHeader w:val="false"/>
        </w:trPr>
        <w:tc>
          <w:tcPr>
            <w:tcW w:type="dxa" w:w="4680"/>
            <w:tcMar>
              <w:top w:type="dxa" w:w="60"/>
              <w:left w:type="dxa" w:w="100"/>
              <w:bottom w:type="dxa" w:w="60"/>
              <w:right w:type="dxa" w:w="100"/>
            </w:tcMar>
          </w:tcPr>
          <w:p>
            <w:r>
              <w:rPr>
                <w:b w:val="false"/>
                <w:bCs w:val="false"/>
                <w:sz w:val="18"/>
                <w:szCs w:val="18"/>
              </w:rPr>
              <w:t xml:space="preserve">14</w:t>
            </w:r>
          </w:p>
        </w:tc>
        <w:tc>
          <w:tcPr>
            <w:tcW w:type="dxa" w:w="4680"/>
            <w:tcMar>
              <w:top w:type="dxa" w:w="60"/>
              <w:left w:type="dxa" w:w="100"/>
              <w:bottom w:type="dxa" w:w="60"/>
              <w:right w:type="dxa" w:w="100"/>
            </w:tcMar>
          </w:tcPr>
          <w:p>
            <w:r>
              <w:rPr>
                <w:b w:val="false"/>
                <w:bCs w:val="false"/>
                <w:sz w:val="18"/>
                <w:szCs w:val="18"/>
              </w:rPr>
              <w:t xml:space="preserve">AI Guidelines (human-centric; meaningful human oversight); APPI accountability of the business</w:t>
            </w:r>
          </w:p>
        </w:tc>
      </w:tr>
      <w:tr>
        <w:trPr>
          <w:tblHeader w:val="false"/>
        </w:trPr>
        <w:tc>
          <w:tcPr>
            <w:tcW w:type="dxa" w:w="4680"/>
            <w:tcMar>
              <w:top w:type="dxa" w:w="60"/>
              <w:left w:type="dxa" w:w="100"/>
              <w:bottom w:type="dxa" w:w="60"/>
              <w:right w:type="dxa" w:w="100"/>
            </w:tcMar>
          </w:tcPr>
          <w:p>
            <w:r>
              <w:rPr>
                <w:b w:val="false"/>
                <w:bCs w:val="false"/>
                <w:sz w:val="18"/>
                <w:szCs w:val="18"/>
              </w:rPr>
              <w:t xml:space="preserve">15</w:t>
            </w:r>
          </w:p>
        </w:tc>
        <w:tc>
          <w:tcPr>
            <w:tcW w:type="dxa" w:w="4680"/>
            <w:tcMar>
              <w:top w:type="dxa" w:w="60"/>
              <w:left w:type="dxa" w:w="100"/>
              <w:bottom w:type="dxa" w:w="60"/>
              <w:right w:type="dxa" w:w="100"/>
            </w:tcMar>
          </w:tcPr>
          <w:p>
            <w:r>
              <w:rPr>
                <w:b w:val="false"/>
                <w:bCs w:val="false"/>
                <w:sz w:val="18"/>
                <w:szCs w:val="18"/>
              </w:rPr>
              <w:t xml:space="preserve">APPI Arts 17, 20, 21; AI Guidelines (transparency)</w:t>
            </w:r>
          </w:p>
        </w:tc>
      </w:tr>
      <w:tr>
        <w:trPr>
          <w:tblHeader w:val="false"/>
        </w:trPr>
        <w:tc>
          <w:tcPr>
            <w:tcW w:type="dxa" w:w="4680"/>
            <w:tcMar>
              <w:top w:type="dxa" w:w="60"/>
              <w:left w:type="dxa" w:w="100"/>
              <w:bottom w:type="dxa" w:w="60"/>
              <w:right w:type="dxa" w:w="100"/>
            </w:tcMar>
          </w:tcPr>
          <w:p>
            <w:r>
              <w:rPr>
                <w:b w:val="false"/>
                <w:bCs w:val="false"/>
                <w:sz w:val="18"/>
                <w:szCs w:val="18"/>
              </w:rPr>
              <w:t xml:space="preserve">16.1</w:t>
            </w:r>
          </w:p>
        </w:tc>
        <w:tc>
          <w:tcPr>
            <w:tcW w:type="dxa" w:w="4680"/>
            <w:tcMar>
              <w:top w:type="dxa" w:w="60"/>
              <w:left w:type="dxa" w:w="100"/>
              <w:bottom w:type="dxa" w:w="60"/>
              <w:right w:type="dxa" w:w="100"/>
            </w:tcMar>
          </w:tcPr>
          <w:p>
            <w:r>
              <w:rPr>
                <w:b w:val="false"/>
                <w:bCs w:val="false"/>
                <w:sz w:val="18"/>
                <w:szCs w:val="18"/>
              </w:rPr>
              <w:t xml:space="preserve">APPI Arts 17, 18; pseudonymised/anonymised regime (held)</w:t>
            </w:r>
          </w:p>
        </w:tc>
      </w:tr>
      <w:tr>
        <w:trPr>
          <w:tblHeader w:val="false"/>
        </w:trPr>
        <w:tc>
          <w:tcPr>
            <w:tcW w:type="dxa" w:w="4680"/>
            <w:tcMar>
              <w:top w:type="dxa" w:w="60"/>
              <w:left w:type="dxa" w:w="100"/>
              <w:bottom w:type="dxa" w:w="60"/>
              <w:right w:type="dxa" w:w="100"/>
            </w:tcMar>
          </w:tcPr>
          <w:p>
            <w:r>
              <w:rPr>
                <w:b w:val="false"/>
                <w:bCs w:val="false"/>
                <w:sz w:val="18"/>
                <w:szCs w:val="18"/>
              </w:rPr>
              <w:t xml:space="preserve">16.2</w:t>
            </w:r>
          </w:p>
        </w:tc>
        <w:tc>
          <w:tcPr>
            <w:tcW w:type="dxa" w:w="4680"/>
            <w:tcMar>
              <w:top w:type="dxa" w:w="60"/>
              <w:left w:type="dxa" w:w="100"/>
              <w:bottom w:type="dxa" w:w="60"/>
              <w:right w:type="dxa" w:w="100"/>
            </w:tcMar>
          </w:tcPr>
          <w:p>
            <w:r>
              <w:rPr>
                <w:b w:val="false"/>
                <w:bCs w:val="false"/>
                <w:sz w:val="18"/>
                <w:szCs w:val="18"/>
              </w:rPr>
              <w:t xml:space="preserve">APPI Arts 25, 27</w:t>
            </w:r>
          </w:p>
        </w:tc>
      </w:tr>
      <w:tr>
        <w:trPr>
          <w:tblHeader w:val="false"/>
        </w:trPr>
        <w:tc>
          <w:tcPr>
            <w:tcW w:type="dxa" w:w="4680"/>
            <w:tcMar>
              <w:top w:type="dxa" w:w="60"/>
              <w:left w:type="dxa" w:w="100"/>
              <w:bottom w:type="dxa" w:w="60"/>
              <w:right w:type="dxa" w:w="100"/>
            </w:tcMar>
          </w:tcPr>
          <w:p>
            <w:r>
              <w:rPr>
                <w:b w:val="false"/>
                <w:bCs w:val="false"/>
                <w:sz w:val="18"/>
                <w:szCs w:val="18"/>
              </w:rPr>
              <w:t xml:space="preserve">17</w:t>
            </w:r>
          </w:p>
        </w:tc>
        <w:tc>
          <w:tcPr>
            <w:tcW w:type="dxa" w:w="4680"/>
            <w:tcMar>
              <w:top w:type="dxa" w:w="60"/>
              <w:left w:type="dxa" w:w="100"/>
              <w:bottom w:type="dxa" w:w="60"/>
              <w:right w:type="dxa" w:w="100"/>
            </w:tcMar>
          </w:tcPr>
          <w:p>
            <w:r>
              <w:rPr>
                <w:b w:val="false"/>
                <w:bCs w:val="false"/>
                <w:sz w:val="18"/>
                <w:szCs w:val="18"/>
              </w:rPr>
              <w:t xml:space="preserve">AI Guidelines v1.1, common guiding principles; developer/provider matters (Parts 3, 4)</w:t>
            </w:r>
          </w:p>
        </w:tc>
      </w:tr>
      <w:tr>
        <w:trPr>
          <w:tblHeader w:val="false"/>
        </w:trPr>
        <w:tc>
          <w:tcPr>
            <w:tcW w:type="dxa" w:w="4680"/>
            <w:tcMar>
              <w:top w:type="dxa" w:w="60"/>
              <w:left w:type="dxa" w:w="100"/>
              <w:bottom w:type="dxa" w:w="60"/>
              <w:right w:type="dxa" w:w="100"/>
            </w:tcMar>
          </w:tcPr>
          <w:p>
            <w:r>
              <w:rPr>
                <w:b w:val="false"/>
                <w:bCs w:val="false"/>
                <w:sz w:val="18"/>
                <w:szCs w:val="18"/>
              </w:rPr>
              <w:t xml:space="preserve">18</w:t>
            </w:r>
          </w:p>
        </w:tc>
        <w:tc>
          <w:tcPr>
            <w:tcW w:type="dxa" w:w="4680"/>
            <w:tcMar>
              <w:top w:type="dxa" w:w="60"/>
              <w:left w:type="dxa" w:w="100"/>
              <w:bottom w:type="dxa" w:w="60"/>
              <w:right w:type="dxa" w:w="100"/>
            </w:tcMar>
          </w:tcPr>
          <w:p>
            <w:r>
              <w:rPr>
                <w:b w:val="false"/>
                <w:bCs w:val="false"/>
                <w:sz w:val="18"/>
                <w:szCs w:val="18"/>
              </w:rPr>
              <w:t xml:space="preserve">APPI Art 23 and the internal-rules expectation; AI Guidelines (governance)</w:t>
            </w:r>
          </w:p>
        </w:tc>
      </w:tr>
      <w:tr>
        <w:trPr>
          <w:tblHeader w:val="false"/>
        </w:trPr>
        <w:tc>
          <w:tcPr>
            <w:tcW w:type="dxa" w:w="4680"/>
            <w:tcMar>
              <w:top w:type="dxa" w:w="60"/>
              <w:left w:type="dxa" w:w="100"/>
              <w:bottom w:type="dxa" w:w="60"/>
              <w:right w:type="dxa" w:w="100"/>
            </w:tcMar>
          </w:tcPr>
          <w:p>
            <w:r>
              <w:rPr>
                <w:b w:val="false"/>
                <w:bCs w:val="false"/>
                <w:sz w:val="18"/>
                <w:szCs w:val="18"/>
              </w:rPr>
              <w:t xml:space="preserve">19.1</w:t>
            </w:r>
          </w:p>
        </w:tc>
        <w:tc>
          <w:tcPr>
            <w:tcW w:type="dxa" w:w="4680"/>
            <w:tcMar>
              <w:top w:type="dxa" w:w="60"/>
              <w:left w:type="dxa" w:w="100"/>
              <w:bottom w:type="dxa" w:w="60"/>
              <w:right w:type="dxa" w:w="100"/>
            </w:tcMar>
          </w:tcPr>
          <w:p>
            <w:r>
              <w:rPr>
                <w:b w:val="false"/>
                <w:bCs w:val="false"/>
                <w:sz w:val="18"/>
                <w:szCs w:val="18"/>
              </w:rPr>
              <w:t xml:space="preserve">PPC reform policy (under-16, best interests), adopted as a house standard</w:t>
            </w:r>
          </w:p>
        </w:tc>
      </w:tr>
      <w:tr>
        <w:trPr>
          <w:tblHeader w:val="false"/>
        </w:trPr>
        <w:tc>
          <w:tcPr>
            <w:tcW w:type="dxa" w:w="4680"/>
            <w:tcMar>
              <w:top w:type="dxa" w:w="60"/>
              <w:left w:type="dxa" w:w="100"/>
              <w:bottom w:type="dxa" w:w="60"/>
              <w:right w:type="dxa" w:w="100"/>
            </w:tcMar>
          </w:tcPr>
          <w:p>
            <w:r>
              <w:rPr>
                <w:b w:val="false"/>
                <w:bCs w:val="false"/>
                <w:sz w:val="18"/>
                <w:szCs w:val="18"/>
              </w:rPr>
              <w:t xml:space="preserve">20.5</w:t>
            </w:r>
          </w:p>
        </w:tc>
        <w:tc>
          <w:tcPr>
            <w:tcW w:type="dxa" w:w="4680"/>
            <w:tcMar>
              <w:top w:type="dxa" w:w="60"/>
              <w:left w:type="dxa" w:w="100"/>
              <w:bottom w:type="dxa" w:w="60"/>
              <w:right w:type="dxa" w:w="100"/>
            </w:tcMar>
          </w:tcPr>
          <w:p>
            <w:r>
              <w:rPr>
                <w:b w:val="false"/>
                <w:bCs w:val="false"/>
                <w:sz w:val="18"/>
                <w:szCs w:val="18"/>
              </w:rPr>
              <w:t xml:space="preserve">APPI Art 26(1)-(2)</w:t>
            </w:r>
          </w:p>
        </w:tc>
      </w:tr>
      <w:tr>
        <w:trPr>
          <w:tblHeader w:val="false"/>
        </w:trPr>
        <w:tc>
          <w:tcPr>
            <w:tcW w:type="dxa" w:w="4680"/>
            <w:tcMar>
              <w:top w:type="dxa" w:w="60"/>
              <w:left w:type="dxa" w:w="100"/>
              <w:bottom w:type="dxa" w:w="60"/>
              <w:right w:type="dxa" w:w="100"/>
            </w:tcMar>
          </w:tcPr>
          <w:p>
            <w:r>
              <w:rPr>
                <w:b w:val="false"/>
                <w:bCs w:val="false"/>
                <w:sz w:val="18"/>
                <w:szCs w:val="18"/>
              </w:rPr>
              <w:t xml:space="preserve">20.6</w:t>
            </w:r>
          </w:p>
        </w:tc>
        <w:tc>
          <w:tcPr>
            <w:tcW w:type="dxa" w:w="4680"/>
            <w:tcMar>
              <w:top w:type="dxa" w:w="60"/>
              <w:left w:type="dxa" w:w="100"/>
              <w:bottom w:type="dxa" w:w="60"/>
              <w:right w:type="dxa" w:w="100"/>
            </w:tcMar>
          </w:tcPr>
          <w:p>
            <w:r>
              <w:rPr>
                <w:b w:val="false"/>
                <w:bCs w:val="false"/>
                <w:sz w:val="18"/>
                <w:szCs w:val="18"/>
              </w:rPr>
              <w:t xml:space="preserve">House; AI Guidelines (safety, fairness)</w:t>
            </w:r>
          </w:p>
        </w:tc>
      </w:tr>
      <w:tr>
        <w:trPr>
          <w:tblHeader w:val="false"/>
        </w:trPr>
        <w:tc>
          <w:tcPr>
            <w:tcW w:type="dxa" w:w="4680"/>
            <w:tcMar>
              <w:top w:type="dxa" w:w="60"/>
              <w:left w:type="dxa" w:w="100"/>
              <w:bottom w:type="dxa" w:w="60"/>
              <w:right w:type="dxa" w:w="100"/>
            </w:tcMar>
          </w:tcPr>
          <w:p>
            <w:r>
              <w:rPr>
                <w:b w:val="false"/>
                <w:bCs w:val="false"/>
                <w:sz w:val="18"/>
                <w:szCs w:val="18"/>
              </w:rPr>
              <w:t xml:space="preserve">20.7</w:t>
            </w:r>
          </w:p>
        </w:tc>
        <w:tc>
          <w:tcPr>
            <w:tcW w:type="dxa" w:w="4680"/>
            <w:tcMar>
              <w:top w:type="dxa" w:w="60"/>
              <w:left w:type="dxa" w:w="100"/>
              <w:bottom w:type="dxa" w:w="60"/>
              <w:right w:type="dxa" w:w="100"/>
            </w:tcMar>
          </w:tcPr>
          <w:p>
            <w:r>
              <w:rPr>
                <w:b w:val="false"/>
                <w:bCs w:val="false"/>
                <w:sz w:val="18"/>
                <w:szCs w:val="18"/>
              </w:rPr>
              <w:t xml:space="preserve">APPI complaint handling; Art 40 (Commission's role)</w:t>
            </w:r>
          </w:p>
        </w:tc>
      </w:tr>
      <w:tr>
        <w:trPr>
          <w:tblHeader w:val="false"/>
        </w:trPr>
        <w:tc>
          <w:tcPr>
            <w:tcW w:type="dxa" w:w="4680"/>
            <w:tcMar>
              <w:top w:type="dxa" w:w="60"/>
              <w:left w:type="dxa" w:w="100"/>
              <w:bottom w:type="dxa" w:w="60"/>
              <w:right w:type="dxa" w:w="100"/>
            </w:tcMar>
          </w:tcPr>
          <w:p>
            <w:r>
              <w:rPr>
                <w:b w:val="false"/>
                <w:bCs w:val="false"/>
                <w:sz w:val="18"/>
                <w:szCs w:val="18"/>
              </w:rPr>
              <w:t xml:space="preserve">22</w:t>
            </w:r>
          </w:p>
        </w:tc>
        <w:tc>
          <w:tcPr>
            <w:tcW w:type="dxa" w:w="4680"/>
            <w:tcMar>
              <w:top w:type="dxa" w:w="60"/>
              <w:left w:type="dxa" w:w="100"/>
              <w:bottom w:type="dxa" w:w="60"/>
              <w:right w:type="dxa" w:w="100"/>
            </w:tcMar>
          </w:tcPr>
          <w:p>
            <w:r>
              <w:rPr>
                <w:b w:val="false"/>
                <w:bCs w:val="false"/>
                <w:sz w:val="18"/>
                <w:szCs w:val="18"/>
              </w:rPr>
              <w:t xml:space="preserve">Named instruments; APPI Cabinet Order and Enforcement Rules (held, applied by reference)</w:t>
            </w:r>
          </w:p>
        </w:tc>
      </w:tr>
    </w:tbl>
    <w:p>
      <w:pPr>
        <w:spacing w:after="120"/>
      </w:pPr>
    </w:p>
    <w:p>
      <w:pPr>
        <w:pStyle w:val="Heading1"/>
        <w:spacing w:after="120" w:before="280"/>
      </w:pPr>
      <w:r>
        <w:rPr>
          <w:color w:val="2E74B5"/>
        </w:rPr>
        <w:t xml:space="preserve">4. Clause-by-clause basis - annex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sz w:val="18"/>
                <w:szCs w:val="18"/>
              </w:rPr>
              <w:t xml:space="preserve">Clause</w:t>
            </w:r>
          </w:p>
        </w:tc>
        <w:tc>
          <w:tcPr>
            <w:tcW w:type="dxa" w:w="4680"/>
            <w:shd w:fill="DEEAF6" w:color="auto" w:val="clear"/>
            <w:tcMar>
              <w:top w:type="dxa" w:w="60"/>
              <w:left w:type="dxa" w:w="100"/>
              <w:bottom w:type="dxa" w:w="60"/>
              <w:right w:type="dxa" w:w="100"/>
            </w:tcMar>
          </w:tcPr>
          <w:p>
            <w:r>
              <w:rPr>
                <w:b/>
                <w:bCs/>
                <w:sz w:val="18"/>
                <w:szCs w:val="18"/>
              </w:rPr>
              <w:t xml:space="preserve">Rests on</w:t>
            </w:r>
          </w:p>
        </w:tc>
      </w:tr>
      <w:tr>
        <w:trPr>
          <w:tblHeader w:val="false"/>
        </w:trPr>
        <w:tc>
          <w:tcPr>
            <w:tcW w:type="dxa" w:w="4680"/>
            <w:tcMar>
              <w:top w:type="dxa" w:w="60"/>
              <w:left w:type="dxa" w:w="100"/>
              <w:bottom w:type="dxa" w:w="60"/>
              <w:right w:type="dxa" w:w="100"/>
            </w:tcMar>
          </w:tcPr>
          <w:p>
            <w:r>
              <w:rPr>
                <w:b w:val="false"/>
                <w:bCs w:val="false"/>
                <w:sz w:val="18"/>
                <w:szCs w:val="18"/>
              </w:rPr>
              <w:t xml:space="preserve">A1</w:t>
            </w:r>
          </w:p>
        </w:tc>
        <w:tc>
          <w:tcPr>
            <w:tcW w:type="dxa" w:w="4680"/>
            <w:tcMar>
              <w:top w:type="dxa" w:w="60"/>
              <w:left w:type="dxa" w:w="100"/>
              <w:bottom w:type="dxa" w:w="60"/>
              <w:right w:type="dxa" w:w="100"/>
            </w:tcMar>
          </w:tcPr>
          <w:p>
            <w:r>
              <w:rPr>
                <w:b w:val="false"/>
                <w:bCs w:val="false"/>
                <w:sz w:val="18"/>
                <w:szCs w:val="18"/>
              </w:rPr>
              <w:t xml:space="preserve">APPI Art 23 (internal measures); AI Guidelines (accountability, governance)</w:t>
            </w:r>
          </w:p>
        </w:tc>
      </w:tr>
      <w:tr>
        <w:trPr>
          <w:tblHeader w:val="false"/>
        </w:trPr>
        <w:tc>
          <w:tcPr>
            <w:tcW w:type="dxa" w:w="4680"/>
            <w:tcMar>
              <w:top w:type="dxa" w:w="60"/>
              <w:left w:type="dxa" w:w="100"/>
              <w:bottom w:type="dxa" w:w="60"/>
              <w:right w:type="dxa" w:w="100"/>
            </w:tcMar>
          </w:tcPr>
          <w:p>
            <w:r>
              <w:rPr>
                <w:b w:val="false"/>
                <w:bCs w:val="false"/>
                <w:sz w:val="18"/>
                <w:szCs w:val="18"/>
              </w:rPr>
              <w:t xml:space="preserve">A2</w:t>
            </w:r>
          </w:p>
        </w:tc>
        <w:tc>
          <w:tcPr>
            <w:tcW w:type="dxa" w:w="4680"/>
            <w:tcMar>
              <w:top w:type="dxa" w:w="60"/>
              <w:left w:type="dxa" w:w="100"/>
              <w:bottom w:type="dxa" w:w="60"/>
              <w:right w:type="dxa" w:w="100"/>
            </w:tcMar>
          </w:tcPr>
          <w:p>
            <w:r>
              <w:rPr>
                <w:b w:val="false"/>
                <w:bCs w:val="false"/>
                <w:sz w:val="18"/>
                <w:szCs w:val="18"/>
              </w:rPr>
              <w:t xml:space="preserve">House; APPI Arts 21, 25, 27, 28 (the recorded fields)</w:t>
            </w:r>
          </w:p>
        </w:tc>
      </w:tr>
      <w:tr>
        <w:trPr>
          <w:tblHeader w:val="false"/>
        </w:trPr>
        <w:tc>
          <w:tcPr>
            <w:tcW w:type="dxa" w:w="4680"/>
            <w:tcMar>
              <w:top w:type="dxa" w:w="60"/>
              <w:left w:type="dxa" w:w="100"/>
              <w:bottom w:type="dxa" w:w="60"/>
              <w:right w:type="dxa" w:w="100"/>
            </w:tcMar>
          </w:tcPr>
          <w:p>
            <w:r>
              <w:rPr>
                <w:b w:val="false"/>
                <w:bCs w:val="false"/>
                <w:sz w:val="18"/>
                <w:szCs w:val="18"/>
              </w:rPr>
              <w:t xml:space="preserve">A3</w:t>
            </w:r>
          </w:p>
        </w:tc>
        <w:tc>
          <w:tcPr>
            <w:tcW w:type="dxa" w:w="4680"/>
            <w:tcMar>
              <w:top w:type="dxa" w:w="60"/>
              <w:left w:type="dxa" w:w="100"/>
              <w:bottom w:type="dxa" w:w="60"/>
              <w:right w:type="dxa" w:w="100"/>
            </w:tcMar>
          </w:tcPr>
          <w:p>
            <w:r>
              <w:rPr>
                <w:b w:val="false"/>
                <w:bCs w:val="false"/>
                <w:sz w:val="18"/>
                <w:szCs w:val="18"/>
              </w:rPr>
              <w:t xml:space="preserve">PPC reform policy Jan 2026; APPI Cabinet Order and Rules</w:t>
            </w:r>
          </w:p>
        </w:tc>
      </w:tr>
      <w:tr>
        <w:trPr>
          <w:tblHeader w:val="false"/>
        </w:trPr>
        <w:tc>
          <w:tcPr>
            <w:tcW w:type="dxa" w:w="4680"/>
            <w:tcMar>
              <w:top w:type="dxa" w:w="60"/>
              <w:left w:type="dxa" w:w="100"/>
              <w:bottom w:type="dxa" w:w="60"/>
              <w:right w:type="dxa" w:w="100"/>
            </w:tcMar>
          </w:tcPr>
          <w:p>
            <w:r>
              <w:rPr>
                <w:b w:val="false"/>
                <w:bCs w:val="false"/>
                <w:sz w:val="18"/>
                <w:szCs w:val="18"/>
              </w:rPr>
              <w:t xml:space="preserve">A4</w:t>
            </w:r>
          </w:p>
        </w:tc>
        <w:tc>
          <w:tcPr>
            <w:tcW w:type="dxa" w:w="4680"/>
            <w:tcMar>
              <w:top w:type="dxa" w:w="60"/>
              <w:left w:type="dxa" w:w="100"/>
              <w:bottom w:type="dxa" w:w="60"/>
              <w:right w:type="dxa" w:w="100"/>
            </w:tcMar>
          </w:tcPr>
          <w:p>
            <w:r>
              <w:rPr>
                <w:b w:val="false"/>
                <w:bCs w:val="false"/>
                <w:sz w:val="18"/>
                <w:szCs w:val="18"/>
              </w:rPr>
              <w:t xml:space="preserve">APPI Art 35(5); house</w:t>
            </w:r>
          </w:p>
        </w:tc>
      </w:tr>
      <w:tr>
        <w:trPr>
          <w:tblHeader w:val="false"/>
        </w:trPr>
        <w:tc>
          <w:tcPr>
            <w:tcW w:type="dxa" w:w="4680"/>
            <w:tcMar>
              <w:top w:type="dxa" w:w="60"/>
              <w:left w:type="dxa" w:w="100"/>
              <w:bottom w:type="dxa" w:w="60"/>
              <w:right w:type="dxa" w:w="100"/>
            </w:tcMar>
          </w:tcPr>
          <w:p>
            <w:r>
              <w:rPr>
                <w:b w:val="false"/>
                <w:bCs w:val="false"/>
                <w:sz w:val="18"/>
                <w:szCs w:val="18"/>
              </w:rPr>
              <w:t xml:space="preserve">A5</w:t>
            </w:r>
          </w:p>
        </w:tc>
        <w:tc>
          <w:tcPr>
            <w:tcW w:type="dxa" w:w="4680"/>
            <w:tcMar>
              <w:top w:type="dxa" w:w="60"/>
              <w:left w:type="dxa" w:w="100"/>
              <w:bottom w:type="dxa" w:w="60"/>
              <w:right w:type="dxa" w:w="100"/>
            </w:tcMar>
          </w:tcPr>
          <w:p>
            <w:r>
              <w:rPr>
                <w:b w:val="false"/>
                <w:bCs w:val="false"/>
                <w:sz w:val="18"/>
                <w:szCs w:val="18"/>
              </w:rPr>
              <w:t xml:space="preserve">APPI Arts 17, 18, 20; AI Guidelines (governance)</w:t>
            </w:r>
          </w:p>
        </w:tc>
      </w:tr>
      <w:tr>
        <w:trPr>
          <w:tblHeader w:val="false"/>
        </w:trPr>
        <w:tc>
          <w:tcPr>
            <w:tcW w:type="dxa" w:w="4680"/>
            <w:tcMar>
              <w:top w:type="dxa" w:w="60"/>
              <w:left w:type="dxa" w:w="100"/>
              <w:bottom w:type="dxa" w:w="60"/>
              <w:right w:type="dxa" w:w="100"/>
            </w:tcMar>
          </w:tcPr>
          <w:p>
            <w:r>
              <w:rPr>
                <w:b w:val="false"/>
                <w:bCs w:val="false"/>
                <w:sz w:val="18"/>
                <w:szCs w:val="18"/>
              </w:rPr>
              <w:t xml:space="preserve">A6</w:t>
            </w:r>
          </w:p>
        </w:tc>
        <w:tc>
          <w:tcPr>
            <w:tcW w:type="dxa" w:w="4680"/>
            <w:tcMar>
              <w:top w:type="dxa" w:w="60"/>
              <w:left w:type="dxa" w:w="100"/>
              <w:bottom w:type="dxa" w:w="60"/>
              <w:right w:type="dxa" w:w="100"/>
            </w:tcMar>
          </w:tcPr>
          <w:p>
            <w:r>
              <w:rPr>
                <w:b w:val="false"/>
                <w:bCs w:val="false"/>
                <w:sz w:val="18"/>
                <w:szCs w:val="18"/>
              </w:rPr>
              <w:t xml:space="preserve">APPI Arts 25, 27, 28</w:t>
            </w:r>
          </w:p>
        </w:tc>
      </w:tr>
      <w:tr>
        <w:trPr>
          <w:tblHeader w:val="false"/>
        </w:trPr>
        <w:tc>
          <w:tcPr>
            <w:tcW w:type="dxa" w:w="4680"/>
            <w:tcMar>
              <w:top w:type="dxa" w:w="60"/>
              <w:left w:type="dxa" w:w="100"/>
              <w:bottom w:type="dxa" w:w="60"/>
              <w:right w:type="dxa" w:w="100"/>
            </w:tcMar>
          </w:tcPr>
          <w:p>
            <w:r>
              <w:rPr>
                <w:b w:val="false"/>
                <w:bCs w:val="false"/>
                <w:sz w:val="18"/>
                <w:szCs w:val="18"/>
              </w:rPr>
              <w:t xml:space="preserve">A7</w:t>
            </w:r>
          </w:p>
        </w:tc>
        <w:tc>
          <w:tcPr>
            <w:tcW w:type="dxa" w:w="4680"/>
            <w:tcMar>
              <w:top w:type="dxa" w:w="60"/>
              <w:left w:type="dxa" w:w="100"/>
              <w:bottom w:type="dxa" w:w="60"/>
              <w:right w:type="dxa" w:w="100"/>
            </w:tcMar>
          </w:tcPr>
          <w:p>
            <w:r>
              <w:rPr>
                <w:b w:val="false"/>
                <w:bCs w:val="false"/>
                <w:sz w:val="18"/>
                <w:szCs w:val="18"/>
              </w:rPr>
              <w:t xml:space="preserve">APPI Arts 21, 32</w:t>
            </w:r>
          </w:p>
        </w:tc>
      </w:tr>
      <w:tr>
        <w:trPr>
          <w:tblHeader w:val="false"/>
        </w:trPr>
        <w:tc>
          <w:tcPr>
            <w:tcW w:type="dxa" w:w="4680"/>
            <w:tcMar>
              <w:top w:type="dxa" w:w="60"/>
              <w:left w:type="dxa" w:w="100"/>
              <w:bottom w:type="dxa" w:w="60"/>
              <w:right w:type="dxa" w:w="100"/>
            </w:tcMar>
          </w:tcPr>
          <w:p>
            <w:r>
              <w:rPr>
                <w:b w:val="false"/>
                <w:bCs w:val="false"/>
                <w:sz w:val="18"/>
                <w:szCs w:val="18"/>
              </w:rPr>
              <w:t xml:space="preserve">A8</w:t>
            </w:r>
          </w:p>
        </w:tc>
        <w:tc>
          <w:tcPr>
            <w:tcW w:type="dxa" w:w="4680"/>
            <w:tcMar>
              <w:top w:type="dxa" w:w="60"/>
              <w:left w:type="dxa" w:w="100"/>
              <w:bottom w:type="dxa" w:w="60"/>
              <w:right w:type="dxa" w:w="100"/>
            </w:tcMar>
          </w:tcPr>
          <w:p>
            <w:r>
              <w:rPr>
                <w:b w:val="false"/>
                <w:bCs w:val="false"/>
                <w:sz w:val="18"/>
                <w:szCs w:val="18"/>
              </w:rPr>
              <w:t xml:space="preserve">AI Guidelines (safety, fairness, security); house</w:t>
            </w:r>
          </w:p>
        </w:tc>
      </w:tr>
      <w:tr>
        <w:trPr>
          <w:tblHeader w:val="false"/>
        </w:trPr>
        <w:tc>
          <w:tcPr>
            <w:tcW w:type="dxa" w:w="4680"/>
            <w:tcMar>
              <w:top w:type="dxa" w:w="60"/>
              <w:left w:type="dxa" w:w="100"/>
              <w:bottom w:type="dxa" w:w="60"/>
              <w:right w:type="dxa" w:w="100"/>
            </w:tcMar>
          </w:tcPr>
          <w:p>
            <w:r>
              <w:rPr>
                <w:b w:val="false"/>
                <w:bCs w:val="false"/>
                <w:sz w:val="18"/>
                <w:szCs w:val="18"/>
              </w:rPr>
              <w:t xml:space="preserve">A9</w:t>
            </w:r>
          </w:p>
        </w:tc>
        <w:tc>
          <w:tcPr>
            <w:tcW w:type="dxa" w:w="4680"/>
            <w:tcMar>
              <w:top w:type="dxa" w:w="60"/>
              <w:left w:type="dxa" w:w="100"/>
              <w:bottom w:type="dxa" w:w="60"/>
              <w:right w:type="dxa" w:w="100"/>
            </w:tcMar>
          </w:tcPr>
          <w:p>
            <w:r>
              <w:rPr>
                <w:b w:val="false"/>
                <w:bCs w:val="false"/>
                <w:sz w:val="18"/>
                <w:szCs w:val="18"/>
              </w:rPr>
              <w:t xml:space="preserve">APPI Art 26</w:t>
            </w:r>
          </w:p>
        </w:tc>
      </w:tr>
      <w:tr>
        <w:trPr>
          <w:tblHeader w:val="false"/>
        </w:trPr>
        <w:tc>
          <w:tcPr>
            <w:tcW w:type="dxa" w:w="4680"/>
            <w:tcMar>
              <w:top w:type="dxa" w:w="60"/>
              <w:left w:type="dxa" w:w="100"/>
              <w:bottom w:type="dxa" w:w="60"/>
              <w:right w:type="dxa" w:w="100"/>
            </w:tcMar>
          </w:tcPr>
          <w:p>
            <w:r>
              <w:rPr>
                <w:b w:val="false"/>
                <w:bCs w:val="false"/>
                <w:sz w:val="18"/>
                <w:szCs w:val="18"/>
              </w:rPr>
              <w:t xml:space="preserve">A10</w:t>
            </w:r>
          </w:p>
        </w:tc>
        <w:tc>
          <w:tcPr>
            <w:tcW w:type="dxa" w:w="4680"/>
            <w:tcMar>
              <w:top w:type="dxa" w:w="60"/>
              <w:left w:type="dxa" w:w="100"/>
              <w:bottom w:type="dxa" w:w="60"/>
              <w:right w:type="dxa" w:w="100"/>
            </w:tcMar>
          </w:tcPr>
          <w:p>
            <w:r>
              <w:rPr>
                <w:b w:val="false"/>
                <w:bCs w:val="false"/>
                <w:sz w:val="18"/>
                <w:szCs w:val="18"/>
              </w:rPr>
              <w:t xml:space="preserve">APPI Arts 33-35</w:t>
            </w:r>
          </w:p>
        </w:tc>
      </w:tr>
      <w:tr>
        <w:trPr>
          <w:tblHeader w:val="false"/>
        </w:trPr>
        <w:tc>
          <w:tcPr>
            <w:tcW w:type="dxa" w:w="4680"/>
            <w:tcMar>
              <w:top w:type="dxa" w:w="60"/>
              <w:left w:type="dxa" w:w="100"/>
              <w:bottom w:type="dxa" w:w="60"/>
              <w:right w:type="dxa" w:w="100"/>
            </w:tcMar>
          </w:tcPr>
          <w:p>
            <w:r>
              <w:rPr>
                <w:b w:val="false"/>
                <w:bCs w:val="false"/>
                <w:sz w:val="18"/>
                <w:szCs w:val="18"/>
              </w:rPr>
              <w:t xml:space="preserve">A12</w:t>
            </w:r>
          </w:p>
        </w:tc>
        <w:tc>
          <w:tcPr>
            <w:tcW w:type="dxa" w:w="4680"/>
            <w:tcMar>
              <w:top w:type="dxa" w:w="60"/>
              <w:left w:type="dxa" w:w="100"/>
              <w:bottom w:type="dxa" w:w="60"/>
              <w:right w:type="dxa" w:w="100"/>
            </w:tcMar>
          </w:tcPr>
          <w:p>
            <w:r>
              <w:rPr>
                <w:b w:val="false"/>
                <w:bCs w:val="false"/>
                <w:sz w:val="18"/>
                <w:szCs w:val="18"/>
              </w:rPr>
              <w:t xml:space="preserve">House</w:t>
            </w:r>
          </w:p>
        </w:tc>
      </w:tr>
      <w:tr>
        <w:trPr>
          <w:tblHeader w:val="false"/>
        </w:trPr>
        <w:tc>
          <w:tcPr>
            <w:tcW w:type="dxa" w:w="4680"/>
            <w:tcMar>
              <w:top w:type="dxa" w:w="60"/>
              <w:left w:type="dxa" w:w="100"/>
              <w:bottom w:type="dxa" w:w="60"/>
              <w:right w:type="dxa" w:w="100"/>
            </w:tcMar>
          </w:tcPr>
          <w:p>
            <w:r>
              <w:rPr>
                <w:b w:val="false"/>
                <w:bCs w:val="false"/>
                <w:sz w:val="18"/>
                <w:szCs w:val="18"/>
              </w:rPr>
              <w:t xml:space="preserve">A13</w:t>
            </w:r>
          </w:p>
        </w:tc>
        <w:tc>
          <w:tcPr>
            <w:tcW w:type="dxa" w:w="4680"/>
            <w:tcMar>
              <w:top w:type="dxa" w:w="60"/>
              <w:left w:type="dxa" w:w="100"/>
              <w:bottom w:type="dxa" w:w="60"/>
              <w:right w:type="dxa" w:w="100"/>
            </w:tcMar>
          </w:tcPr>
          <w:p>
            <w:r>
              <w:rPr>
                <w:b w:val="false"/>
                <w:bCs w:val="false"/>
                <w:sz w:val="18"/>
                <w:szCs w:val="18"/>
              </w:rPr>
              <w:t xml:space="preserve">Section 1 above; source register</w:t>
            </w:r>
          </w:p>
        </w:tc>
      </w:tr>
    </w:tbl>
    <w:p>
      <w:pPr>
        <w:spacing w:after="120"/>
      </w:pPr>
    </w:p>
    <w:p>
      <w:pPr>
        <w:pStyle w:val="Heading1"/>
        <w:spacing w:after="120" w:before="280"/>
      </w:pPr>
      <w:r>
        <w:rPr>
          <w:color w:val="2E74B5"/>
        </w:rPr>
        <w:t xml:space="preserve">5. Dates and identifiers stated in the set, with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Date</w:t>
            </w:r>
          </w:p>
        </w:tc>
        <w:tc>
          <w:tcPr>
            <w:tcW w:type="dxa" w:w="3120"/>
            <w:shd w:fill="DEEAF6" w:color="auto" w:val="clear"/>
            <w:tcMar>
              <w:top w:type="dxa" w:w="60"/>
              <w:left w:type="dxa" w:w="100"/>
              <w:bottom w:type="dxa" w:w="60"/>
              <w:right w:type="dxa" w:w="100"/>
            </w:tcMar>
          </w:tcPr>
          <w:p>
            <w:r>
              <w:rPr>
                <w:b/>
                <w:bCs/>
                <w:sz w:val="18"/>
                <w:szCs w:val="18"/>
              </w:rPr>
              <w:t xml:space="preserve">Meaning</w:t>
            </w:r>
          </w:p>
        </w:tc>
        <w:tc>
          <w:tcPr>
            <w:tcW w:type="dxa" w:w="3120"/>
            <w:shd w:fill="DEEAF6" w:color="auto" w:val="clear"/>
            <w:tcMar>
              <w:top w:type="dxa" w:w="60"/>
              <w:left w:type="dxa" w:w="100"/>
              <w:bottom w:type="dxa" w:w="60"/>
              <w:right w:type="dxa" w:w="100"/>
            </w:tcMar>
          </w:tcPr>
          <w:p>
            <w:r>
              <w:rPr>
                <w:b/>
                <w:bCs/>
                <w:sz w:val="18"/>
                <w:szCs w:val="18"/>
              </w:rPr>
              <w:t xml:space="preserve">Source</w:t>
            </w:r>
          </w:p>
        </w:tc>
      </w:tr>
      <w:tr>
        <w:trPr>
          <w:tblHeader w:val="false"/>
        </w:trPr>
        <w:tc>
          <w:tcPr>
            <w:tcW w:type="dxa" w:w="3120"/>
            <w:tcMar>
              <w:top w:type="dxa" w:w="60"/>
              <w:left w:type="dxa" w:w="100"/>
              <w:bottom w:type="dxa" w:w="60"/>
              <w:right w:type="dxa" w:w="100"/>
            </w:tcMar>
          </w:tcPr>
          <w:p>
            <w:r>
              <w:rPr>
                <w:b w:val="false"/>
                <w:bCs w:val="false"/>
                <w:sz w:val="18"/>
                <w:szCs w:val="18"/>
              </w:rPr>
              <w:t xml:space="preserve">4 June 2025</w:t>
            </w:r>
          </w:p>
        </w:tc>
        <w:tc>
          <w:tcPr>
            <w:tcW w:type="dxa" w:w="3120"/>
            <w:tcMar>
              <w:top w:type="dxa" w:w="60"/>
              <w:left w:type="dxa" w:w="100"/>
              <w:bottom w:type="dxa" w:w="60"/>
              <w:right w:type="dxa" w:w="100"/>
            </w:tcMar>
          </w:tcPr>
          <w:p>
            <w:r>
              <w:rPr>
                <w:b w:val="false"/>
                <w:bCs w:val="false"/>
                <w:sz w:val="18"/>
                <w:szCs w:val="18"/>
              </w:rPr>
              <w:t xml:space="preserve">AI Promotion Act promulgated (Act No. 53 of 2025)</w:t>
            </w:r>
          </w:p>
        </w:tc>
        <w:tc>
          <w:tcPr>
            <w:tcW w:type="dxa" w:w="3120"/>
            <w:tcMar>
              <w:top w:type="dxa" w:w="60"/>
              <w:left w:type="dxa" w:w="100"/>
              <w:bottom w:type="dxa" w:w="60"/>
              <w:right w:type="dxa" w:w="100"/>
            </w:tcMar>
          </w:tcPr>
          <w:p>
            <w:r>
              <w:rPr>
                <w:b w:val="false"/>
                <w:bCs w:val="false"/>
                <w:sz w:val="18"/>
                <w:szCs w:val="18"/>
              </w:rPr>
              <w:t xml:space="preserve">Act front matter</w:t>
            </w:r>
          </w:p>
        </w:tc>
      </w:tr>
      <w:tr>
        <w:trPr>
          <w:tblHeader w:val="false"/>
        </w:trPr>
        <w:tc>
          <w:tcPr>
            <w:tcW w:type="dxa" w:w="3120"/>
            <w:tcMar>
              <w:top w:type="dxa" w:w="60"/>
              <w:left w:type="dxa" w:w="100"/>
              <w:bottom w:type="dxa" w:w="60"/>
              <w:right w:type="dxa" w:w="100"/>
            </w:tcMar>
          </w:tcPr>
          <w:p>
            <w:r>
              <w:rPr>
                <w:b w:val="false"/>
                <w:bCs w:val="false"/>
                <w:sz w:val="18"/>
                <w:szCs w:val="18"/>
              </w:rPr>
              <w:t xml:space="preserve">within 3 months of promulgation</w:t>
            </w:r>
          </w:p>
        </w:tc>
        <w:tc>
          <w:tcPr>
            <w:tcW w:type="dxa" w:w="3120"/>
            <w:tcMar>
              <w:top w:type="dxa" w:w="60"/>
              <w:left w:type="dxa" w:w="100"/>
              <w:bottom w:type="dxa" w:w="60"/>
              <w:right w:type="dxa" w:w="100"/>
            </w:tcMar>
          </w:tcPr>
          <w:p>
            <w:r>
              <w:rPr>
                <w:b w:val="false"/>
                <w:bCs w:val="false"/>
                <w:sz w:val="18"/>
                <w:szCs w:val="18"/>
              </w:rPr>
              <w:t xml:space="preserve">AI Strategic Headquarters provisions (Chapters III-IV) commence by Cabinet Order</w:t>
            </w:r>
          </w:p>
        </w:tc>
        <w:tc>
          <w:tcPr>
            <w:tcW w:type="dxa" w:w="3120"/>
            <w:tcMar>
              <w:top w:type="dxa" w:w="60"/>
              <w:left w:type="dxa" w:w="100"/>
              <w:bottom w:type="dxa" w:w="60"/>
              <w:right w:type="dxa" w:w="100"/>
            </w:tcMar>
          </w:tcPr>
          <w:p>
            <w:r>
              <w:rPr>
                <w:b w:val="false"/>
                <w:bCs w:val="false"/>
                <w:sz w:val="18"/>
                <w:szCs w:val="18"/>
              </w:rPr>
              <w:t xml:space="preserve">AI Promotion Act Supplementary Provisions Art 1</w:t>
            </w:r>
          </w:p>
        </w:tc>
      </w:tr>
      <w:tr>
        <w:trPr>
          <w:tblHeader w:val="false"/>
        </w:trPr>
        <w:tc>
          <w:tcPr>
            <w:tcW w:type="dxa" w:w="3120"/>
            <w:tcMar>
              <w:top w:type="dxa" w:w="60"/>
              <w:left w:type="dxa" w:w="100"/>
              <w:bottom w:type="dxa" w:w="60"/>
              <w:right w:type="dxa" w:w="100"/>
            </w:tcMar>
          </w:tcPr>
          <w:p>
            <w:r>
              <w:rPr>
                <w:b w:val="false"/>
                <w:bCs w:val="false"/>
                <w:sz w:val="18"/>
                <w:szCs w:val="18"/>
              </w:rPr>
              <w:t xml:space="preserve">January 2026</w:t>
            </w:r>
          </w:p>
        </w:tc>
        <w:tc>
          <w:tcPr>
            <w:tcW w:type="dxa" w:w="3120"/>
            <w:tcMar>
              <w:top w:type="dxa" w:w="60"/>
              <w:left w:type="dxa" w:w="100"/>
              <w:bottom w:type="dxa" w:w="60"/>
              <w:right w:type="dxa" w:w="100"/>
            </w:tcMar>
          </w:tcPr>
          <w:p>
            <w:r>
              <w:rPr>
                <w:b w:val="false"/>
                <w:bCs w:val="false"/>
                <w:sz w:val="18"/>
                <w:szCs w:val="18"/>
              </w:rPr>
              <w:t xml:space="preserve">PPC triennial-review reform policy decided</w:t>
            </w:r>
          </w:p>
        </w:tc>
        <w:tc>
          <w:tcPr>
            <w:tcW w:type="dxa" w:w="3120"/>
            <w:tcMar>
              <w:top w:type="dxa" w:w="60"/>
              <w:left w:type="dxa" w:w="100"/>
              <w:bottom w:type="dxa" w:w="60"/>
              <w:right w:type="dxa" w:w="100"/>
            </w:tcMar>
          </w:tcPr>
          <w:p>
            <w:r>
              <w:rPr>
                <w:b w:val="false"/>
                <w:bCs w:val="false"/>
                <w:sz w:val="18"/>
                <w:szCs w:val="18"/>
              </w:rPr>
              <w:t xml:space="preserve">Reform policy heading</w:t>
            </w:r>
          </w:p>
        </w:tc>
      </w:tr>
      <w:tr>
        <w:trPr>
          <w:tblHeader w:val="false"/>
        </w:trPr>
        <w:tc>
          <w:tcPr>
            <w:tcW w:type="dxa" w:w="3120"/>
            <w:tcMar>
              <w:top w:type="dxa" w:w="60"/>
              <w:left w:type="dxa" w:w="100"/>
              <w:bottom w:type="dxa" w:w="60"/>
              <w:right w:type="dxa" w:w="100"/>
            </w:tcMar>
          </w:tcPr>
          <w:p>
            <w:r>
              <w:rPr>
                <w:b w:val="false"/>
                <w:bCs w:val="false"/>
                <w:sz w:val="18"/>
                <w:szCs w:val="18"/>
              </w:rPr>
              <w:t xml:space="preserve">spring 2026 (expected)</w:t>
            </w:r>
          </w:p>
        </w:tc>
        <w:tc>
          <w:tcPr>
            <w:tcW w:type="dxa" w:w="3120"/>
            <w:tcMar>
              <w:top w:type="dxa" w:w="60"/>
              <w:left w:type="dxa" w:w="100"/>
              <w:bottom w:type="dxa" w:w="60"/>
              <w:right w:type="dxa" w:w="100"/>
            </w:tcMar>
          </w:tcPr>
          <w:p>
            <w:r>
              <w:rPr>
                <w:b w:val="false"/>
                <w:bCs w:val="false"/>
                <w:sz w:val="18"/>
                <w:szCs w:val="18"/>
              </w:rPr>
              <w:t xml:space="preserve">2026 APPI amendment bill Diet submission</w:t>
            </w:r>
          </w:p>
        </w:tc>
        <w:tc>
          <w:tcPr>
            <w:tcW w:type="dxa" w:w="3120"/>
            <w:tcMar>
              <w:top w:type="dxa" w:w="60"/>
              <w:left w:type="dxa" w:w="100"/>
              <w:bottom w:type="dxa" w:w="60"/>
              <w:right w:type="dxa" w:w="100"/>
            </w:tcMar>
          </w:tcPr>
          <w:p>
            <w:r>
              <w:rPr>
                <w:b w:val="false"/>
                <w:bCs w:val="false"/>
                <w:sz w:val="18"/>
                <w:szCs w:val="18"/>
              </w:rPr>
              <w:t xml:space="preserve">Reform policy</w:t>
            </w:r>
          </w:p>
        </w:tc>
      </w:tr>
      <w:tr>
        <w:trPr>
          <w:tblHeader w:val="false"/>
        </w:trPr>
        <w:tc>
          <w:tcPr>
            <w:tcW w:type="dxa" w:w="3120"/>
            <w:tcMar>
              <w:top w:type="dxa" w:w="60"/>
              <w:left w:type="dxa" w:w="100"/>
              <w:bottom w:type="dxa" w:w="60"/>
              <w:right w:type="dxa" w:w="100"/>
            </w:tcMar>
          </w:tcPr>
          <w:p>
            <w:r>
              <w:rPr>
                <w:b w:val="false"/>
                <w:bCs w:val="false"/>
                <w:sz w:val="18"/>
                <w:szCs w:val="18"/>
              </w:rPr>
              <w:t xml:space="preserve">~2 years after passage (expected)</w:t>
            </w:r>
          </w:p>
        </w:tc>
        <w:tc>
          <w:tcPr>
            <w:tcW w:type="dxa" w:w="3120"/>
            <w:tcMar>
              <w:top w:type="dxa" w:w="60"/>
              <w:left w:type="dxa" w:w="100"/>
              <w:bottom w:type="dxa" w:w="60"/>
              <w:right w:type="dxa" w:w="100"/>
            </w:tcMar>
          </w:tcPr>
          <w:p>
            <w:r>
              <w:rPr>
                <w:b w:val="false"/>
                <w:bCs w:val="false"/>
                <w:sz w:val="18"/>
                <w:szCs w:val="18"/>
              </w:rPr>
              <w:t xml:space="preserve">2026 amendment effect</w:t>
            </w:r>
          </w:p>
        </w:tc>
        <w:tc>
          <w:tcPr>
            <w:tcW w:type="dxa" w:w="3120"/>
            <w:tcMar>
              <w:top w:type="dxa" w:w="60"/>
              <w:left w:type="dxa" w:w="100"/>
              <w:bottom w:type="dxa" w:w="60"/>
              <w:right w:type="dxa" w:w="100"/>
            </w:tcMar>
          </w:tcPr>
          <w:p>
            <w:r>
              <w:rPr>
                <w:b w:val="false"/>
                <w:bCs w:val="false"/>
                <w:sz w:val="18"/>
                <w:szCs w:val="18"/>
              </w:rPr>
              <w:t xml:space="preserve">Reform policy</w:t>
            </w:r>
          </w:p>
        </w:tc>
      </w:tr>
    </w:tbl>
    <w:p>
      <w:pPr>
        <w:spacing w:after="120"/>
      </w:pPr>
    </w:p>
    <w:p>
      <w:pPr>
        <w:pStyle w:val="Heading1"/>
        <w:spacing w:after="120" w:before="280"/>
      </w:pPr>
      <w:r>
        <w:rPr>
          <w:color w:val="2E74B5"/>
        </w:rPr>
        <w:t xml:space="preserve">6. Points at which the set stops</w:t>
      </w:r>
    </w:p>
    <w:p>
      <w:pPr>
        <w:pStyle w:val="ListParagraph"/>
        <w:numPr>
          <w:ilvl w:val="0"/>
          <w:numId w:val="2"/>
        </w:numPr>
        <w:spacing w:after="80"/>
      </w:pPr>
      <w:r>
        <w:t xml:space="preserve">The exact leak-report timing, the opt-out filing particulars, the equivalent-measures</w:t>
      </w:r>
    </w:p>
    <w:p>
      <w:pPr>
        <w:spacing w:after="80"/>
        <w:ind w:left="720"/>
      </w:pPr>
      <w:r>
        <w:t xml:space="preserve">standard and the disclosure procedure are in the Cabinet Order and Enforcement Rules;</w:t>
      </w:r>
    </w:p>
    <w:p>
      <w:pPr>
        <w:spacing w:after="80"/>
        <w:ind w:left="720"/>
      </w:pPr>
      <w:r>
        <w:t xml:space="preserve">the set applies them by reference and does not restate figures that turn on the Rules.</w:t>
      </w:r>
    </w:p>
    <w:p>
      <w:pPr>
        <w:pStyle w:val="ListParagraph"/>
        <w:numPr>
          <w:ilvl w:val="0"/>
          <w:numId w:val="2"/>
        </w:numPr>
        <w:spacing w:after="80"/>
      </w:pPr>
      <w:r>
        <w:t xml:space="preserve">The pseudonymised- and anonymised-information regime (APPI Arts 41-46) is named and</w:t>
      </w:r>
    </w:p>
    <w:p>
      <w:pPr>
        <w:spacing w:after="80"/>
        <w:ind w:left="720"/>
      </w:pPr>
      <w:r>
        <w:t xml:space="preserve">applied for the re-identification prohibition; its detailed processing standards are</w:t>
      </w:r>
    </w:p>
    <w:p>
      <w:pPr>
        <w:spacing w:after="80"/>
        <w:ind w:left="720"/>
      </w:pPr>
      <w:r>
        <w:t xml:space="preserve">not restated.</w:t>
      </w:r>
    </w:p>
    <w:p>
      <w:pPr>
        <w:pStyle w:val="ListParagraph"/>
        <w:numPr>
          <w:ilvl w:val="0"/>
          <w:numId w:val="2"/>
        </w:numPr>
        <w:spacing w:after="80"/>
      </w:pPr>
      <w:r>
        <w:t xml:space="preserve">The 2026 amendment is described from the Commission's own reform policy; nothing in it</w:t>
      </w:r>
    </w:p>
    <w:p>
      <w:pPr>
        <w:spacing w:after="80"/>
        <w:ind w:left="720"/>
      </w:pPr>
      <w:r>
        <w:t xml:space="preserve">is stated as a duty, and no enacted text is asserted.</w:t>
      </w:r>
    </w:p>
    <w:p>
      <w:pPr>
        <w:pStyle w:val="ListParagraph"/>
        <w:numPr>
          <w:ilvl w:val="0"/>
          <w:numId w:val="2"/>
        </w:numPr>
        <w:spacing w:after="80"/>
      </w:pPr>
      <w:r>
        <w:t xml:space="preserve">The set turns on the government's English translation; where a reading would depend on</w:t>
      </w:r>
    </w:p>
    <w:p>
      <w:pPr>
        <w:spacing w:after="80"/>
        <w:ind w:left="720"/>
      </w:pPr>
      <w:r>
        <w:t xml:space="preserve">the precise Japanese wording, the set stays with the plain effect the translation</w:t>
      </w:r>
    </w:p>
    <w:p>
      <w:pPr>
        <w:spacing w:after="80"/>
        <w:ind w:left="720"/>
      </w:pPr>
      <w:r>
        <w:t xml:space="preserve">gives and says the Japanese text governs.</w:t>
      </w:r>
    </w:p>
    <w:p>
      <w:pPr>
        <w:spacing w:after="120"/>
      </w:pPr>
      <w:r>
        <w:rPr>
          <w:i/>
          <w:iCs/>
          <w:color w:val="666666"/>
        </w:rPr>
        <w:t xml:space="preserve">Educational, not legal advice. No provision has been reviewed by qualified counsel.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Research note - Japan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4D78"/>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2026-09-03T18:36:03.572Z</dcterms:created>
  <dcterms:modified xsi:type="dcterms:W3CDTF">2026-09-03T18:36:03.572Z</dcterms:modified>
</cp:coreProperties>
</file>

<file path=docProps/custom.xml><?xml version="1.0" encoding="utf-8"?>
<Properties xmlns="http://schemas.openxmlformats.org/officeDocument/2006/custom-properties" xmlns:vt="http://schemas.openxmlformats.org/officeDocument/2006/docPropsVTypes"/>
</file>