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Source register - Japan AI policy set</w:t>
      </w:r>
    </w:p>
    <w:p>
      <w:pPr>
        <w:spacing w:after="120"/>
      </w:pPr>
      <w:r>
        <w:rPr>
          <w:b/>
          <w:bCs/>
        </w:rPr>
        <w:t xml:space="preserve">Built:</w:t>
      </w:r>
      <w:r>
        <w:t xml:space="preserve"> 3 September 2026</w:t>
      </w:r>
    </w:p>
    <w:p>
      <w:pPr>
        <w:spacing w:after="120"/>
      </w:pPr>
      <w:r>
        <w:rPr>
          <w:b/>
          <w:bCs/>
        </w:rPr>
        <w:t xml:space="preserve">Rule:</w:t>
      </w:r>
      <w:r>
        <w:t xml:space="preserve"> primary sources only - legislature, gazette or regulator. Web content may raise doubt; it never becomes authority. Nothing is asserted that is not held.</w:t>
      </w:r>
    </w:p>
    <w:p>
      <w:pPr>
        <w:pStyle w:val="Heading1"/>
        <w:spacing w:after="120" w:before="280"/>
      </w:pPr>
      <w:r>
        <w:rPr>
          <w:color w:val="2E74B5"/>
        </w:rPr>
        <w:t xml:space="preserve">1. Held - Tier 1: enacted law (government English 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EEAF6" w:color="auto" w:val="clear"/>
            <w:tcMar>
              <w:top w:type="dxa" w:w="60"/>
              <w:left w:type="dxa" w:w="100"/>
              <w:bottom w:type="dxa" w:w="60"/>
              <w:right w:type="dxa" w:w="100"/>
            </w:tcMar>
          </w:tcPr>
          <w:p>
            <w:r>
              <w:rPr>
                <w:b/>
                <w:bCs/>
                <w:sz w:val="18"/>
                <w:szCs w:val="18"/>
              </w:rPr>
              <w:t xml:space="preserve">Instrument</w:t>
            </w:r>
          </w:p>
        </w:tc>
        <w:tc>
          <w:tcPr>
            <w:tcW w:type="dxa" w:w="1560"/>
            <w:shd w:fill="DEEAF6" w:color="auto" w:val="clear"/>
            <w:tcMar>
              <w:top w:type="dxa" w:w="60"/>
              <w:left w:type="dxa" w:w="100"/>
              <w:bottom w:type="dxa" w:w="60"/>
              <w:right w:type="dxa" w:w="100"/>
            </w:tcMar>
          </w:tcPr>
          <w:p>
            <w:r>
              <w:rPr>
                <w:b/>
                <w:bCs/>
                <w:sz w:val="18"/>
                <w:szCs w:val="18"/>
              </w:rPr>
              <w:t xml:space="preserve">Identifier</w:t>
            </w:r>
          </w:p>
        </w:tc>
        <w:tc>
          <w:tcPr>
            <w:tcW w:type="dxa" w:w="1560"/>
            <w:shd w:fill="DEEAF6" w:color="auto" w:val="clear"/>
            <w:tcMar>
              <w:top w:type="dxa" w:w="60"/>
              <w:left w:type="dxa" w:w="100"/>
              <w:bottom w:type="dxa" w:w="60"/>
              <w:right w:type="dxa" w:w="100"/>
            </w:tcMar>
          </w:tcPr>
          <w:p>
            <w:r>
              <w:rPr>
                <w:b/>
                <w:bCs/>
                <w:sz w:val="18"/>
                <w:szCs w:val="18"/>
              </w:rPr>
              <w:t xml:space="preserve">Version</w:t>
            </w:r>
          </w:p>
        </w:tc>
        <w:tc>
          <w:tcPr>
            <w:tcW w:type="dxa" w:w="1560"/>
            <w:shd w:fill="DEEAF6" w:color="auto" w:val="clear"/>
            <w:tcMar>
              <w:top w:type="dxa" w:w="60"/>
              <w:left w:type="dxa" w:w="100"/>
              <w:bottom w:type="dxa" w:w="60"/>
              <w:right w:type="dxa" w:w="100"/>
            </w:tcMar>
          </w:tcPr>
          <w:p>
            <w:r>
              <w:rPr>
                <w:b/>
                <w:bCs/>
                <w:sz w:val="18"/>
                <w:szCs w:val="18"/>
              </w:rPr>
              <w:t xml:space="preserve">Source</w:t>
            </w:r>
          </w:p>
        </w:tc>
        <w:tc>
          <w:tcPr>
            <w:tcW w:type="dxa" w:w="1560"/>
            <w:shd w:fill="DEEAF6" w:color="auto" w:val="clear"/>
            <w:tcMar>
              <w:top w:type="dxa" w:w="60"/>
              <w:left w:type="dxa" w:w="100"/>
              <w:bottom w:type="dxa" w:w="60"/>
              <w:right w:type="dxa" w:w="100"/>
            </w:tcMar>
          </w:tcPr>
          <w:p>
            <w:r>
              <w:rPr>
                <w:b/>
                <w:bCs/>
                <w:sz w:val="18"/>
                <w:szCs w:val="18"/>
              </w:rPr>
              <w:t xml:space="preserve">SHA-256 (16)</w:t>
            </w:r>
          </w:p>
        </w:tc>
        <w:tc>
          <w:tcPr>
            <w:tcW w:type="dxa" w:w="1560"/>
            <w:shd w:fill="DEEAF6" w:color="auto" w:val="clear"/>
            <w:tcMar>
              <w:top w:type="dxa" w:w="60"/>
              <w:left w:type="dxa" w:w="100"/>
              <w:bottom w:type="dxa" w:w="60"/>
              <w:right w:type="dxa" w:w="100"/>
            </w:tcMar>
          </w:tcPr>
          <w:p>
            <w:r>
              <w:rPr>
                <w:b/>
                <w:bCs/>
                <w:sz w:val="18"/>
                <w:szCs w:val="18"/>
              </w:rPr>
              <w:t xml:space="preserve">Read</w:t>
            </w:r>
          </w:p>
        </w:tc>
      </w:tr>
      <w:tr>
        <w:trPr>
          <w:tblHeader w:val="false"/>
        </w:trPr>
        <w:tc>
          <w:tcPr>
            <w:tcW w:type="dxa" w:w="1560"/>
            <w:tcMar>
              <w:top w:type="dxa" w:w="60"/>
              <w:left w:type="dxa" w:w="100"/>
              <w:bottom w:type="dxa" w:w="60"/>
              <w:right w:type="dxa" w:w="100"/>
            </w:tcMar>
          </w:tcPr>
          <w:p>
            <w:r>
              <w:rPr>
                <w:b w:val="false"/>
                <w:bCs w:val="false"/>
                <w:sz w:val="18"/>
                <w:szCs w:val="18"/>
              </w:rPr>
              <w:t xml:space="preserve">Act on the Protection of Personal Information (APPI)</w:t>
            </w:r>
          </w:p>
        </w:tc>
        <w:tc>
          <w:tcPr>
            <w:tcW w:type="dxa" w:w="1560"/>
            <w:tcMar>
              <w:top w:type="dxa" w:w="60"/>
              <w:left w:type="dxa" w:w="100"/>
              <w:bottom w:type="dxa" w:w="60"/>
              <w:right w:type="dxa" w:w="100"/>
            </w:tcMar>
          </w:tcPr>
          <w:p>
            <w:r>
              <w:rPr>
                <w:b w:val="false"/>
                <w:bCs w:val="false"/>
                <w:sz w:val="18"/>
                <w:szCs w:val="18"/>
              </w:rPr>
              <w:t xml:space="preserve">Act No. 57 of 2003, as amended</w:t>
            </w:r>
          </w:p>
        </w:tc>
        <w:tc>
          <w:tcPr>
            <w:tcW w:type="dxa" w:w="1560"/>
            <w:tcMar>
              <w:top w:type="dxa" w:w="60"/>
              <w:left w:type="dxa" w:w="100"/>
              <w:bottom w:type="dxa" w:w="60"/>
              <w:right w:type="dxa" w:w="100"/>
            </w:tcMar>
          </w:tcPr>
          <w:p>
            <w:r>
              <w:rPr>
                <w:b w:val="false"/>
                <w:bCs w:val="false"/>
                <w:sz w:val="18"/>
                <w:szCs w:val="18"/>
              </w:rPr>
              <w:t xml:space="preserve">Official English translation, "partly unenforced" edition</w:t>
            </w:r>
          </w:p>
        </w:tc>
        <w:tc>
          <w:tcPr>
            <w:tcW w:type="dxa" w:w="1560"/>
            <w:tcMar>
              <w:top w:type="dxa" w:w="60"/>
              <w:left w:type="dxa" w:w="100"/>
              <w:bottom w:type="dxa" w:w="60"/>
              <w:right w:type="dxa" w:w="100"/>
            </w:tcMar>
          </w:tcPr>
          <w:p>
            <w:r>
              <w:rPr>
                <w:b w:val="false"/>
                <w:bCs w:val="false"/>
                <w:sz w:val="18"/>
                <w:szCs w:val="18"/>
              </w:rPr>
              <w:t xml:space="preserve">Japanese Law Translation (japaneselawtranslation.go.jp), Ministry of Justice</w:t>
            </w:r>
          </w:p>
        </w:tc>
        <w:tc>
          <w:tcPr>
            <w:tcW w:type="dxa" w:w="1560"/>
            <w:tcMar>
              <w:top w:type="dxa" w:w="60"/>
              <w:left w:type="dxa" w:w="100"/>
              <w:bottom w:type="dxa" w:w="60"/>
              <w:right w:type="dxa" w:w="100"/>
            </w:tcMar>
          </w:tcPr>
          <w:p>
            <w:r>
              <w:rPr>
                <w:rFonts w:ascii="Consolas" w:cs="Consolas" w:eastAsia="Consolas" w:hAnsi="Consolas"/>
                <w:b w:val="false"/>
                <w:bCs w:val="false"/>
                <w:sz w:val="18"/>
                <w:szCs w:val="18"/>
              </w:rPr>
              <w:t xml:space="preserve">1790f26acadfaa67</w:t>
            </w:r>
          </w:p>
        </w:tc>
        <w:tc>
          <w:tcPr>
            <w:tcW w:type="dxa" w:w="1560"/>
            <w:tcMar>
              <w:top w:type="dxa" w:w="60"/>
              <w:left w:type="dxa" w:w="100"/>
              <w:bottom w:type="dxa" w:w="60"/>
              <w:right w:type="dxa" w:w="100"/>
            </w:tcMar>
          </w:tcPr>
          <w:p>
            <w:r>
              <w:rPr>
                <w:b w:val="false"/>
                <w:bCs w:val="false"/>
                <w:sz w:val="18"/>
                <w:szCs w:val="18"/>
              </w:rPr>
              <w:t xml:space="preserve">Chapter IV, Arts 17-35 in full; Art 2 (definitions); Art 171 (scope)</w:t>
            </w:r>
          </w:p>
        </w:tc>
      </w:tr>
      <w:tr>
        <w:trPr>
          <w:tblHeader w:val="false"/>
        </w:trPr>
        <w:tc>
          <w:tcPr>
            <w:tcW w:type="dxa" w:w="1560"/>
            <w:tcMar>
              <w:top w:type="dxa" w:w="60"/>
              <w:left w:type="dxa" w:w="100"/>
              <w:bottom w:type="dxa" w:w="60"/>
              <w:right w:type="dxa" w:w="100"/>
            </w:tcMar>
          </w:tcPr>
          <w:p>
            <w:r>
              <w:rPr>
                <w:b w:val="false"/>
                <w:bCs w:val="false"/>
                <w:sz w:val="18"/>
                <w:szCs w:val="18"/>
              </w:rPr>
              <w:t xml:space="preserve">Act on Promotion of Research and Development, and Utilization of Artificial Intelligence-related Technology</w:t>
            </w:r>
          </w:p>
        </w:tc>
        <w:tc>
          <w:tcPr>
            <w:tcW w:type="dxa" w:w="1560"/>
            <w:tcMar>
              <w:top w:type="dxa" w:w="60"/>
              <w:left w:type="dxa" w:w="100"/>
              <w:bottom w:type="dxa" w:w="60"/>
              <w:right w:type="dxa" w:w="100"/>
            </w:tcMar>
          </w:tcPr>
          <w:p>
            <w:r>
              <w:rPr>
                <w:b w:val="false"/>
                <w:bCs w:val="false"/>
                <w:sz w:val="18"/>
                <w:szCs w:val="18"/>
              </w:rPr>
              <w:t xml:space="preserve">Act No. 53 of 4 June 2025</w:t>
            </w:r>
          </w:p>
        </w:tc>
        <w:tc>
          <w:tcPr>
            <w:tcW w:type="dxa" w:w="1560"/>
            <w:tcMar>
              <w:top w:type="dxa" w:w="60"/>
              <w:left w:type="dxa" w:w="100"/>
              <w:bottom w:type="dxa" w:w="60"/>
              <w:right w:type="dxa" w:w="100"/>
            </w:tcMar>
          </w:tcPr>
          <w:p>
            <w:r>
              <w:rPr>
                <w:b w:val="false"/>
                <w:bCs w:val="false"/>
                <w:sz w:val="18"/>
                <w:szCs w:val="18"/>
              </w:rPr>
              <w:t xml:space="preserve">Official English translation</w:t>
            </w:r>
          </w:p>
        </w:tc>
        <w:tc>
          <w:tcPr>
            <w:tcW w:type="dxa" w:w="1560"/>
            <w:tcMar>
              <w:top w:type="dxa" w:w="60"/>
              <w:left w:type="dxa" w:w="100"/>
              <w:bottom w:type="dxa" w:w="60"/>
              <w:right w:type="dxa" w:w="100"/>
            </w:tcMar>
          </w:tcPr>
          <w:p>
            <w:r>
              <w:rPr>
                <w:b w:val="false"/>
                <w:bCs w:val="false"/>
                <w:sz w:val="18"/>
                <w:szCs w:val="18"/>
              </w:rPr>
              <w:t xml:space="preserve">Japanese Law Translation</w:t>
            </w:r>
          </w:p>
        </w:tc>
        <w:tc>
          <w:tcPr>
            <w:tcW w:type="dxa" w:w="1560"/>
            <w:tcMar>
              <w:top w:type="dxa" w:w="60"/>
              <w:left w:type="dxa" w:w="100"/>
              <w:bottom w:type="dxa" w:w="60"/>
              <w:right w:type="dxa" w:w="100"/>
            </w:tcMar>
          </w:tcPr>
          <w:p>
            <w:r>
              <w:rPr>
                <w:rFonts w:ascii="Consolas" w:cs="Consolas" w:eastAsia="Consolas" w:hAnsi="Consolas"/>
                <w:b w:val="false"/>
                <w:bCs w:val="false"/>
                <w:sz w:val="18"/>
                <w:szCs w:val="18"/>
              </w:rPr>
              <w:t xml:space="preserve">ce622bd6fa11f739</w:t>
            </w:r>
          </w:p>
        </w:tc>
        <w:tc>
          <w:tcPr>
            <w:tcW w:type="dxa" w:w="1560"/>
            <w:tcMar>
              <w:top w:type="dxa" w:w="60"/>
              <w:left w:type="dxa" w:w="100"/>
              <w:bottom w:type="dxa" w:w="60"/>
              <w:right w:type="dxa" w:w="100"/>
            </w:tcMar>
          </w:tcPr>
          <w:p>
            <w:r>
              <w:rPr>
                <w:b w:val="false"/>
                <w:bCs w:val="false"/>
                <w:sz w:val="18"/>
                <w:szCs w:val="18"/>
              </w:rPr>
              <w:t xml:space="preserve">Arts 1-28 and Supplementary Provisions, in full</w:t>
            </w:r>
          </w:p>
        </w:tc>
      </w:tr>
      <w:tr>
        <w:trPr>
          <w:tblHeader w:val="false"/>
        </w:trPr>
        <w:tc>
          <w:tcPr>
            <w:tcW w:type="dxa" w:w="1560"/>
            <w:tcMar>
              <w:top w:type="dxa" w:w="60"/>
              <w:left w:type="dxa" w:w="100"/>
              <w:bottom w:type="dxa" w:w="60"/>
              <w:right w:type="dxa" w:w="100"/>
            </w:tcMar>
          </w:tcPr>
          <w:p>
            <w:r>
              <w:rPr>
                <w:b w:val="false"/>
                <w:bCs w:val="false"/>
                <w:sz w:val="18"/>
                <w:szCs w:val="18"/>
              </w:rPr>
              <w:t xml:space="preserve">Amendment to the Cabinet Order to Enforce the APPI</w:t>
            </w:r>
          </w:p>
        </w:tc>
        <w:tc>
          <w:tcPr>
            <w:tcW w:type="dxa" w:w="1560"/>
            <w:tcMar>
              <w:top w:type="dxa" w:w="60"/>
              <w:left w:type="dxa" w:w="100"/>
              <w:bottom w:type="dxa" w:w="60"/>
              <w:right w:type="dxa" w:w="100"/>
            </w:tcMar>
          </w:tcPr>
          <w:p>
            <w:r>
              <w:rPr>
                <w:b w:val="false"/>
                <w:bCs w:val="false"/>
                <w:sz w:val="18"/>
                <w:szCs w:val="18"/>
              </w:rPr>
              <w:t xml:space="preserve">-</w:t>
            </w:r>
          </w:p>
        </w:tc>
        <w:tc>
          <w:tcPr>
            <w:tcW w:type="dxa" w:w="1560"/>
            <w:tcMar>
              <w:top w:type="dxa" w:w="60"/>
              <w:left w:type="dxa" w:w="100"/>
              <w:bottom w:type="dxa" w:w="60"/>
              <w:right w:type="dxa" w:w="100"/>
            </w:tcMar>
          </w:tcPr>
          <w:p>
            <w:r>
              <w:rPr>
                <w:b w:val="false"/>
                <w:bCs w:val="false"/>
                <w:sz w:val="18"/>
                <w:szCs w:val="18"/>
              </w:rPr>
              <w:t xml:space="preserve">PPC tentative translation</w:t>
            </w:r>
          </w:p>
        </w:tc>
        <w:tc>
          <w:tcPr>
            <w:tcW w:type="dxa" w:w="1560"/>
            <w:tcMar>
              <w:top w:type="dxa" w:w="60"/>
              <w:left w:type="dxa" w:w="100"/>
              <w:bottom w:type="dxa" w:w="60"/>
              <w:right w:type="dxa" w:w="100"/>
            </w:tcMar>
          </w:tcPr>
          <w:p>
            <w:r>
              <w:rPr>
                <w:b w:val="false"/>
                <w:bCs w:val="false"/>
                <w:sz w:val="18"/>
                <w:szCs w:val="18"/>
              </w:rPr>
              <w:t xml:space="preserve">Personal Information Protection Commission (ppc.go.jp)</w:t>
            </w:r>
          </w:p>
        </w:tc>
        <w:tc>
          <w:tcPr>
            <w:tcW w:type="dxa" w:w="1560"/>
            <w:tcMar>
              <w:top w:type="dxa" w:w="60"/>
              <w:left w:type="dxa" w:w="100"/>
              <w:bottom w:type="dxa" w:w="60"/>
              <w:right w:type="dxa" w:w="100"/>
            </w:tcMar>
          </w:tcPr>
          <w:p>
            <w:r>
              <w:rPr>
                <w:rFonts w:ascii="Consolas" w:cs="Consolas" w:eastAsia="Consolas" w:hAnsi="Consolas"/>
                <w:b w:val="false"/>
                <w:bCs w:val="false"/>
                <w:sz w:val="18"/>
                <w:szCs w:val="18"/>
              </w:rPr>
              <w:t xml:space="preserve">[Cabinet_Order.pdf]</w:t>
            </w:r>
          </w:p>
        </w:tc>
        <w:tc>
          <w:tcPr>
            <w:tcW w:type="dxa" w:w="1560"/>
            <w:tcMar>
              <w:top w:type="dxa" w:w="60"/>
              <w:left w:type="dxa" w:w="100"/>
              <w:bottom w:type="dxa" w:w="60"/>
              <w:right w:type="dxa" w:w="100"/>
            </w:tcMar>
          </w:tcPr>
          <w:p>
            <w:r>
              <w:rPr>
                <w:b w:val="false"/>
                <w:bCs w:val="false"/>
                <w:sz w:val="18"/>
                <w:szCs w:val="18"/>
              </w:rPr>
              <w:t xml:space="preserve">Held for reference; applied by the policy by reference</w:t>
            </w:r>
          </w:p>
        </w:tc>
      </w:tr>
      <w:tr>
        <w:trPr>
          <w:tblHeader w:val="false"/>
        </w:trPr>
        <w:tc>
          <w:tcPr>
            <w:tcW w:type="dxa" w:w="1560"/>
            <w:tcMar>
              <w:top w:type="dxa" w:w="60"/>
              <w:left w:type="dxa" w:w="100"/>
              <w:bottom w:type="dxa" w:w="60"/>
              <w:right w:type="dxa" w:w="100"/>
            </w:tcMar>
          </w:tcPr>
          <w:p>
            <w:r>
              <w:rPr>
                <w:b w:val="false"/>
                <w:bCs w:val="false"/>
                <w:sz w:val="18"/>
                <w:szCs w:val="18"/>
              </w:rPr>
              <w:t xml:space="preserve">Enforcement Rules for the APPI</w:t>
            </w:r>
          </w:p>
        </w:tc>
        <w:tc>
          <w:tcPr>
            <w:tcW w:type="dxa" w:w="1560"/>
            <w:tcMar>
              <w:top w:type="dxa" w:w="60"/>
              <w:left w:type="dxa" w:w="100"/>
              <w:bottom w:type="dxa" w:w="60"/>
              <w:right w:type="dxa" w:w="100"/>
            </w:tcMar>
          </w:tcPr>
          <w:p>
            <w:r>
              <w:rPr>
                <w:b w:val="false"/>
                <w:bCs w:val="false"/>
                <w:sz w:val="18"/>
                <w:szCs w:val="18"/>
              </w:rPr>
              <w:t xml:space="preserve">-</w:t>
            </w:r>
          </w:p>
        </w:tc>
        <w:tc>
          <w:tcPr>
            <w:tcW w:type="dxa" w:w="1560"/>
            <w:tcMar>
              <w:top w:type="dxa" w:w="60"/>
              <w:left w:type="dxa" w:w="100"/>
              <w:bottom w:type="dxa" w:w="60"/>
              <w:right w:type="dxa" w:w="100"/>
            </w:tcMar>
          </w:tcPr>
          <w:p>
            <w:r>
              <w:rPr>
                <w:b w:val="false"/>
                <w:bCs w:val="false"/>
                <w:sz w:val="18"/>
                <w:szCs w:val="18"/>
              </w:rPr>
              <w:t xml:space="preserve">PPC tentative translation</w:t>
            </w:r>
          </w:p>
        </w:tc>
        <w:tc>
          <w:tcPr>
            <w:tcW w:type="dxa" w:w="1560"/>
            <w:tcMar>
              <w:top w:type="dxa" w:w="60"/>
              <w:left w:type="dxa" w:w="100"/>
              <w:bottom w:type="dxa" w:w="60"/>
              <w:right w:type="dxa" w:w="100"/>
            </w:tcMar>
          </w:tcPr>
          <w:p>
            <w:r>
              <w:rPr>
                <w:b w:val="false"/>
                <w:bCs w:val="false"/>
                <w:sz w:val="18"/>
                <w:szCs w:val="18"/>
              </w:rPr>
              <w:t xml:space="preserve">Personal Information Protection Commission</w:t>
            </w:r>
          </w:p>
        </w:tc>
        <w:tc>
          <w:tcPr>
            <w:tcW w:type="dxa" w:w="1560"/>
            <w:tcMar>
              <w:top w:type="dxa" w:w="60"/>
              <w:left w:type="dxa" w:w="100"/>
              <w:bottom w:type="dxa" w:w="60"/>
              <w:right w:type="dxa" w:w="100"/>
            </w:tcMar>
          </w:tcPr>
          <w:p>
            <w:r>
              <w:rPr>
                <w:rFonts w:ascii="Consolas" w:cs="Consolas" w:eastAsia="Consolas" w:hAnsi="Consolas"/>
                <w:b w:val="false"/>
                <w:bCs w:val="false"/>
                <w:sz w:val="18"/>
                <w:szCs w:val="18"/>
              </w:rPr>
              <w:t xml:space="preserve">[PPC_rules.pdf]</w:t>
            </w:r>
          </w:p>
        </w:tc>
        <w:tc>
          <w:tcPr>
            <w:tcW w:type="dxa" w:w="1560"/>
            <w:tcMar>
              <w:top w:type="dxa" w:w="60"/>
              <w:left w:type="dxa" w:w="100"/>
              <w:bottom w:type="dxa" w:w="60"/>
              <w:right w:type="dxa" w:w="100"/>
            </w:tcMar>
          </w:tcPr>
          <w:p>
            <w:r>
              <w:rPr>
                <w:b w:val="false"/>
                <w:bCs w:val="false"/>
                <w:sz w:val="18"/>
                <w:szCs w:val="18"/>
              </w:rPr>
              <w:t xml:space="preserve">Held for reference; applied by the policy by reference</w:t>
            </w:r>
          </w:p>
        </w:tc>
      </w:tr>
    </w:tbl>
    <w:p>
      <w:pPr>
        <w:spacing w:after="120"/>
      </w:pPr>
    </w:p>
    <w:p>
      <w:pPr>
        <w:spacing w:after="120"/>
      </w:pPr>
      <w:r>
        <w:rPr>
          <w:b/>
          <w:bCs/>
        </w:rPr>
        <w:t xml:space="preserve">Authoritative status.</w:t>
      </w:r>
      <w:r>
        <w:t xml:space="preserve"> Only the original Japanese texts of Japanese laws and regulations have legal effect; the translations, published by the government, are used solely as reference. The set states this and does not rest any reading on translation wording alone. The APPI edition is marked "partly unenforced": the provisions relied on (Arts 17-35, 171) are in force; provisions not yet enforced were not relied on.</w:t>
      </w:r>
    </w:p>
    <w:p>
      <w:pPr>
        <w:pStyle w:val="Heading1"/>
        <w:spacing w:after="120" w:before="280"/>
      </w:pPr>
      <w:r>
        <w:rPr>
          <w:color w:val="2E74B5"/>
        </w:rPr>
        <w:t xml:space="preserve">2. Held - Tier 2: government guidance 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EEAF6" w:color="auto" w:val="clear"/>
            <w:tcMar>
              <w:top w:type="dxa" w:w="60"/>
              <w:left w:type="dxa" w:w="100"/>
              <w:bottom w:type="dxa" w:w="60"/>
              <w:right w:type="dxa" w:w="100"/>
            </w:tcMar>
          </w:tcPr>
          <w:p>
            <w:r>
              <w:rPr>
                <w:b/>
                <w:bCs/>
                <w:sz w:val="18"/>
                <w:szCs w:val="18"/>
              </w:rPr>
              <w:t xml:space="preserve">Document</w:t>
            </w:r>
          </w:p>
        </w:tc>
        <w:tc>
          <w:tcPr>
            <w:tcW w:type="dxa" w:w="1872"/>
            <w:shd w:fill="DEEAF6" w:color="auto" w:val="clear"/>
            <w:tcMar>
              <w:top w:type="dxa" w:w="60"/>
              <w:left w:type="dxa" w:w="100"/>
              <w:bottom w:type="dxa" w:w="60"/>
              <w:right w:type="dxa" w:w="100"/>
            </w:tcMar>
          </w:tcPr>
          <w:p>
            <w:r>
              <w:rPr>
                <w:b/>
                <w:bCs/>
                <w:sz w:val="18"/>
                <w:szCs w:val="18"/>
              </w:rPr>
              <w:t xml:space="preserve">Publisher</w:t>
            </w:r>
          </w:p>
        </w:tc>
        <w:tc>
          <w:tcPr>
            <w:tcW w:type="dxa" w:w="1872"/>
            <w:shd w:fill="DEEAF6" w:color="auto" w:val="clear"/>
            <w:tcMar>
              <w:top w:type="dxa" w:w="60"/>
              <w:left w:type="dxa" w:w="100"/>
              <w:bottom w:type="dxa" w:w="60"/>
              <w:right w:type="dxa" w:w="100"/>
            </w:tcMar>
          </w:tcPr>
          <w:p>
            <w:r>
              <w:rPr>
                <w:b/>
                <w:bCs/>
                <w:sz w:val="18"/>
                <w:szCs w:val="18"/>
              </w:rPr>
              <w:t xml:space="preserve">Date</w:t>
            </w:r>
          </w:p>
        </w:tc>
        <w:tc>
          <w:tcPr>
            <w:tcW w:type="dxa" w:w="1872"/>
            <w:shd w:fill="DEEAF6" w:color="auto" w:val="clear"/>
            <w:tcMar>
              <w:top w:type="dxa" w:w="60"/>
              <w:left w:type="dxa" w:w="100"/>
              <w:bottom w:type="dxa" w:w="60"/>
              <w:right w:type="dxa" w:w="100"/>
            </w:tcMar>
          </w:tcPr>
          <w:p>
            <w:r>
              <w:rPr>
                <w:b/>
                <w:bCs/>
                <w:sz w:val="18"/>
                <w:szCs w:val="18"/>
              </w:rPr>
              <w:t xml:space="preserve">SHA-256 (16)</w:t>
            </w:r>
          </w:p>
        </w:tc>
        <w:tc>
          <w:tcPr>
            <w:tcW w:type="dxa" w:w="1872"/>
            <w:shd w:fill="DEEAF6" w:color="auto" w:val="clear"/>
            <w:tcMar>
              <w:top w:type="dxa" w:w="60"/>
              <w:left w:type="dxa" w:w="100"/>
              <w:bottom w:type="dxa" w:w="60"/>
              <w:right w:type="dxa" w:w="100"/>
            </w:tcMar>
          </w:tcPr>
          <w:p>
            <w:r>
              <w:rPr>
                <w:b/>
                <w:bCs/>
                <w:sz w:val="18"/>
                <w:szCs w:val="18"/>
              </w:rPr>
              <w:t xml:space="preserve">Role in the set</w:t>
            </w:r>
          </w:p>
        </w:tc>
      </w:tr>
      <w:tr>
        <w:trPr>
          <w:tblHeader w:val="false"/>
        </w:trPr>
        <w:tc>
          <w:tcPr>
            <w:tcW w:type="dxa" w:w="1872"/>
            <w:tcMar>
              <w:top w:type="dxa" w:w="60"/>
              <w:left w:type="dxa" w:w="100"/>
              <w:bottom w:type="dxa" w:w="60"/>
              <w:right w:type="dxa" w:w="100"/>
            </w:tcMar>
          </w:tcPr>
          <w:p>
            <w:r>
              <w:rPr>
                <w:b w:val="false"/>
                <w:bCs w:val="false"/>
                <w:sz w:val="18"/>
                <w:szCs w:val="18"/>
              </w:rPr>
              <w:t xml:space="preserve">AI Guidelines for Business, version 1.1 (main text)</w:t>
            </w:r>
          </w:p>
        </w:tc>
        <w:tc>
          <w:tcPr>
            <w:tcW w:type="dxa" w:w="1872"/>
            <w:tcMar>
              <w:top w:type="dxa" w:w="60"/>
              <w:left w:type="dxa" w:w="100"/>
              <w:bottom w:type="dxa" w:w="60"/>
              <w:right w:type="dxa" w:w="100"/>
            </w:tcMar>
          </w:tcPr>
          <w:p>
            <w:r>
              <w:rPr>
                <w:b w:val="false"/>
                <w:bCs w:val="false"/>
                <w:sz w:val="18"/>
                <w:szCs w:val="18"/>
              </w:rPr>
              <w:t xml:space="preserve">Ministry of Economy, Trade and Industry (METI) and Ministry of Internal Affairs and Communications (MIC)</w:t>
            </w:r>
          </w:p>
        </w:tc>
        <w:tc>
          <w:tcPr>
            <w:tcW w:type="dxa" w:w="1872"/>
            <w:tcMar>
              <w:top w:type="dxa" w:w="60"/>
              <w:left w:type="dxa" w:w="100"/>
              <w:bottom w:type="dxa" w:w="60"/>
              <w:right w:type="dxa" w:w="100"/>
            </w:tcMar>
          </w:tcPr>
          <w:p>
            <w:r>
              <w:rPr>
                <w:b w:val="false"/>
                <w:bCs w:val="false"/>
                <w:sz w:val="18"/>
                <w:szCs w:val="18"/>
              </w:rPr>
              <w:t xml:space="preserve">2025</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ab4123097b12247d</w:t>
            </w:r>
          </w:p>
        </w:tc>
        <w:tc>
          <w:tcPr>
            <w:tcW w:type="dxa" w:w="1872"/>
            <w:tcMar>
              <w:top w:type="dxa" w:w="60"/>
              <w:left w:type="dxa" w:w="100"/>
              <w:bottom w:type="dxa" w:w="60"/>
              <w:right w:type="dxa" w:w="100"/>
            </w:tcMar>
          </w:tcPr>
          <w:p>
            <w:r>
              <w:rPr>
                <w:b w:val="false"/>
                <w:bCs w:val="false"/>
                <w:sz w:val="18"/>
                <w:szCs w:val="18"/>
              </w:rPr>
              <w:t xml:space="preserve">The developer/provider/business-user framework and the common guiding principles; adopted as house standards at policy clause 17</w:t>
            </w:r>
          </w:p>
        </w:tc>
      </w:tr>
      <w:tr>
        <w:trPr>
          <w:tblHeader w:val="false"/>
        </w:trPr>
        <w:tc>
          <w:tcPr>
            <w:tcW w:type="dxa" w:w="1872"/>
            <w:tcMar>
              <w:top w:type="dxa" w:w="60"/>
              <w:left w:type="dxa" w:w="100"/>
              <w:bottom w:type="dxa" w:w="60"/>
              <w:right w:type="dxa" w:w="100"/>
            </w:tcMar>
          </w:tcPr>
          <w:p>
            <w:r>
              <w:rPr>
                <w:b w:val="false"/>
                <w:bCs w:val="false"/>
                <w:sz w:val="18"/>
                <w:szCs w:val="18"/>
              </w:rPr>
              <w:t xml:space="preserve">AI Guidelines for Business, Appendix, version 1.1</w:t>
            </w:r>
          </w:p>
        </w:tc>
        <w:tc>
          <w:tcPr>
            <w:tcW w:type="dxa" w:w="1872"/>
            <w:tcMar>
              <w:top w:type="dxa" w:w="60"/>
              <w:left w:type="dxa" w:w="100"/>
              <w:bottom w:type="dxa" w:w="60"/>
              <w:right w:type="dxa" w:w="100"/>
            </w:tcMar>
          </w:tcPr>
          <w:p>
            <w:r>
              <w:rPr>
                <w:b w:val="false"/>
                <w:bCs w:val="false"/>
                <w:sz w:val="18"/>
                <w:szCs w:val="18"/>
              </w:rPr>
              <w:t xml:space="preserve">METI and MIC</w:t>
            </w:r>
          </w:p>
        </w:tc>
        <w:tc>
          <w:tcPr>
            <w:tcW w:type="dxa" w:w="1872"/>
            <w:tcMar>
              <w:top w:type="dxa" w:w="60"/>
              <w:left w:type="dxa" w:w="100"/>
              <w:bottom w:type="dxa" w:w="60"/>
              <w:right w:type="dxa" w:w="100"/>
            </w:tcMar>
          </w:tcPr>
          <w:p>
            <w:r>
              <w:rPr>
                <w:b w:val="false"/>
                <w:bCs w:val="false"/>
                <w:sz w:val="18"/>
                <w:szCs w:val="18"/>
              </w:rPr>
              <w:t xml:space="preserve">April 2025</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[20240419_16.pdf]</w:t>
            </w:r>
          </w:p>
        </w:tc>
        <w:tc>
          <w:tcPr>
            <w:tcW w:type="dxa" w:w="1872"/>
            <w:tcMar>
              <w:top w:type="dxa" w:w="60"/>
              <w:left w:type="dxa" w:w="100"/>
              <w:bottom w:type="dxa" w:w="60"/>
              <w:right w:type="dxa" w:w="100"/>
            </w:tcMar>
          </w:tcPr>
          <w:p>
            <w:r>
              <w:rPr>
                <w:b w:val="false"/>
                <w:bCs w:val="false"/>
                <w:sz w:val="18"/>
                <w:szCs w:val="18"/>
              </w:rPr>
              <w:t xml:space="preserve">Worked examples behind the principles; supports clauses 9, 10, 20.6</w:t>
            </w:r>
          </w:p>
        </w:tc>
      </w:tr>
      <w:tr>
        <w:trPr>
          <w:tblHeader w:val="false"/>
        </w:trPr>
        <w:tc>
          <w:tcPr>
            <w:tcW w:type="dxa" w:w="1872"/>
            <w:tcMar>
              <w:top w:type="dxa" w:w="60"/>
              <w:left w:type="dxa" w:w="100"/>
              <w:bottom w:type="dxa" w:w="60"/>
              <w:right w:type="dxa" w:w="100"/>
            </w:tcMar>
          </w:tcPr>
          <w:p>
            <w:r>
              <w:rPr>
                <w:b w:val="false"/>
                <w:bCs w:val="false"/>
                <w:sz w:val="18"/>
                <w:szCs w:val="18"/>
              </w:rPr>
              <w:t xml:space="preserve">Outline of the System Reform Policy under the Triennial Review of the APPI</w:t>
            </w:r>
          </w:p>
        </w:tc>
        <w:tc>
          <w:tcPr>
            <w:tcW w:type="dxa" w:w="1872"/>
            <w:tcMar>
              <w:top w:type="dxa" w:w="60"/>
              <w:left w:type="dxa" w:w="100"/>
              <w:bottom w:type="dxa" w:w="60"/>
              <w:right w:type="dxa" w:w="100"/>
            </w:tcMar>
          </w:tcPr>
          <w:p>
            <w:r>
              <w:rPr>
                <w:b w:val="false"/>
                <w:bCs w:val="false"/>
                <w:sz w:val="18"/>
                <w:szCs w:val="18"/>
              </w:rPr>
              <w:t xml:space="preserve">Personal Information Protection Commission</w:t>
            </w:r>
          </w:p>
        </w:tc>
        <w:tc>
          <w:tcPr>
            <w:tcW w:type="dxa" w:w="1872"/>
            <w:tcMar>
              <w:top w:type="dxa" w:w="60"/>
              <w:left w:type="dxa" w:w="100"/>
              <w:bottom w:type="dxa" w:w="60"/>
              <w:right w:type="dxa" w:w="100"/>
            </w:tcMar>
          </w:tcPr>
          <w:p>
            <w:r>
              <w:rPr>
                <w:b w:val="false"/>
                <w:bCs w:val="false"/>
                <w:sz w:val="18"/>
                <w:szCs w:val="18"/>
              </w:rPr>
              <w:t xml:space="preserve">January 2026</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9f6274b9ef2ea31b</w:t>
            </w:r>
          </w:p>
        </w:tc>
        <w:tc>
          <w:tcPr>
            <w:tcW w:type="dxa" w:w="1872"/>
            <w:tcMar>
              <w:top w:type="dxa" w:w="60"/>
              <w:left w:type="dxa" w:w="100"/>
              <w:bottom w:type="dxa" w:w="60"/>
              <w:right w:type="dxa" w:w="100"/>
            </w:tcMar>
          </w:tcPr>
          <w:p>
            <w:r>
              <w:rPr>
                <w:b w:val="false"/>
                <w:bCs w:val="false"/>
                <w:sz w:val="18"/>
                <w:szCs w:val="18"/>
              </w:rPr>
              <w:t xml:space="preserve">States the decided 2026 amendment and its expected timing; policy clause 4.2; relied on for nothing binding</w:t>
            </w:r>
          </w:p>
        </w:tc>
      </w:tr>
      <w:tr>
        <w:trPr>
          <w:tblHeader w:val="false"/>
        </w:trPr>
        <w:tc>
          <w:tcPr>
            <w:tcW w:type="dxa" w:w="1872"/>
            <w:tcMar>
              <w:top w:type="dxa" w:w="60"/>
              <w:left w:type="dxa" w:w="100"/>
              <w:bottom w:type="dxa" w:w="60"/>
              <w:right w:type="dxa" w:w="100"/>
            </w:tcMar>
          </w:tcPr>
          <w:p>
            <w:r>
              <w:rPr>
                <w:b w:val="false"/>
                <w:bCs w:val="false"/>
                <w:sz w:val="18"/>
                <w:szCs w:val="18"/>
              </w:rPr>
              <w:t xml:space="preserve">Overview of the Amendment Act of the APPI</w:t>
            </w:r>
          </w:p>
        </w:tc>
        <w:tc>
          <w:tcPr>
            <w:tcW w:type="dxa" w:w="1872"/>
            <w:tcMar>
              <w:top w:type="dxa" w:w="60"/>
              <w:left w:type="dxa" w:w="100"/>
              <w:bottom w:type="dxa" w:w="60"/>
              <w:right w:type="dxa" w:w="100"/>
            </w:tcMar>
          </w:tcPr>
          <w:p>
            <w:r>
              <w:rPr>
                <w:b w:val="false"/>
                <w:bCs w:val="false"/>
                <w:sz w:val="18"/>
                <w:szCs w:val="18"/>
              </w:rPr>
              <w:t xml:space="preserve">Personal Information Protection Commission</w:t>
            </w:r>
          </w:p>
        </w:tc>
        <w:tc>
          <w:tcPr>
            <w:tcW w:type="dxa" w:w="1872"/>
            <w:tcMar>
              <w:top w:type="dxa" w:w="60"/>
              <w:left w:type="dxa" w:w="100"/>
              <w:bottom w:type="dxa" w:w="60"/>
              <w:right w:type="dxa" w:w="100"/>
            </w:tcMar>
          </w:tcPr>
          <w:p>
            <w:r>
              <w:rPr>
                <w:b w:val="false"/>
                <w:bCs w:val="false"/>
                <w:sz w:val="18"/>
                <w:szCs w:val="18"/>
              </w:rPr>
              <w:t xml:space="preserve">tentative translation</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[overview_amended_act.pdf]</w:t>
            </w:r>
          </w:p>
        </w:tc>
        <w:tc>
          <w:tcPr>
            <w:tcW w:type="dxa" w:w="1872"/>
            <w:tcMar>
              <w:top w:type="dxa" w:w="60"/>
              <w:left w:type="dxa" w:w="100"/>
              <w:bottom w:type="dxa" w:w="60"/>
              <w:right w:type="dxa" w:w="100"/>
            </w:tcMar>
          </w:tcPr>
          <w:p>
            <w:r>
              <w:rPr>
                <w:b w:val="false"/>
                <w:bCs w:val="false"/>
                <w:sz w:val="18"/>
                <w:szCs w:val="18"/>
              </w:rPr>
              <w:t xml:space="preserve">Held for reference on the prior amendment cycle</w:t>
            </w:r>
          </w:p>
        </w:tc>
      </w:tr>
    </w:tbl>
    <w:p>
      <w:pPr>
        <w:spacing w:after="120"/>
      </w:pPr>
    </w:p>
    <w:p>
      <w:pPr>
        <w:spacing w:after="120"/>
      </w:pPr>
      <w:r>
        <w:rPr>
          <w:b/>
          <w:bCs/>
        </w:rPr>
        <w:t xml:space="preserve">Status.</w:t>
      </w:r>
      <w:r>
        <w:t xml:space="preserve"> The AI Guidelines are issued under AI Promotion Act Article 13 and are voluntary; the reform policy is a statement of intent, not law.</w:t>
      </w:r>
    </w:p>
    <w:p>
      <w:pPr>
        <w:pStyle w:val="Heading1"/>
        <w:spacing w:after="120" w:before="280"/>
      </w:pPr>
      <w:r>
        <w:rPr>
          <w:color w:val="2E74B5"/>
        </w:rPr>
        <w:t xml:space="preserve">3. Discarded at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Item</w:t>
            </w:r>
          </w:p>
        </w:tc>
        <w:tc>
          <w:tcPr>
            <w:tcW w:type="dxa" w:w="4680"/>
            <w:shd w:fill="DEEAF6" w:color="auto" w:val="clear"/>
            <w:tcMar>
              <w:top w:type="dxa" w:w="60"/>
              <w:left w:type="dxa" w:w="100"/>
              <w:bottom w:type="dxa" w:w="60"/>
              <w:right w:type="dxa" w:w="100"/>
            </w:tcMar>
          </w:tcPr>
          <w:p>
            <w:r>
              <w:rPr>
                <w:b/>
                <w:bCs/>
                <w:sz w:val="18"/>
                <w:szCs w:val="18"/>
              </w:rPr>
              <w:t xml:space="preserve">Reason</w:t>
            </w:r>
          </w:p>
        </w:tc>
      </w:tr>
      <w:tr>
        <w:trPr>
          <w:tblHeader w:val="false"/>
        </w:trPr>
        <w:tc>
          <w:tcPr>
            <w:tcW w:type="dxa" w:w="4680"/>
            <w:tcMar>
              <w:top w:type="dxa" w:w="60"/>
              <w:left w:type="dxa" w:w="100"/>
              <w:bottom w:type="dxa" w:w="60"/>
              <w:right w:type="dxa" w:w="100"/>
            </w:tcMar>
          </w:tcPr>
          <w:p>
            <w:r>
              <w:rPr>
                <w:b w:val="false"/>
                <w:bCs w:val="false"/>
                <w:sz w:val="18"/>
                <w:szCs w:val="18"/>
              </w:rPr>
              <w:t xml:space="preserve">Law-firm and commentary summaries of the AI Promotion Act, the APPI amendment and the AI Guidelines</w:t>
            </w:r>
          </w:p>
        </w:tc>
        <w:tc>
          <w:tcPr>
            <w:tcW w:type="dxa" w:w="4680"/>
            <w:tcMar>
              <w:top w:type="dxa" w:w="60"/>
              <w:left w:type="dxa" w:w="100"/>
              <w:bottom w:type="dxa" w:w="60"/>
              <w:right w:type="dxa" w:w="100"/>
            </w:tcMar>
          </w:tcPr>
          <w:p>
            <w:r>
              <w:rPr>
                <w:b w:val="false"/>
                <w:bCs w:val="false"/>
                <w:sz w:val="18"/>
                <w:szCs w:val="18"/>
              </w:rPr>
              <w:t xml:space="preserve">Used only to locate official pages and to confirm dates and status to check against the primary sources. No content entered the set.</w:t>
            </w:r>
          </w:p>
        </w:tc>
      </w:tr>
      <w:tr>
        <w:trPr>
          <w:tblHeader w:val="false"/>
        </w:trPr>
        <w:tc>
          <w:tcPr>
            <w:tcW w:type="dxa" w:w="4680"/>
            <w:tcMar>
              <w:top w:type="dxa" w:w="60"/>
              <w:left w:type="dxa" w:w="100"/>
              <w:bottom w:type="dxa" w:w="60"/>
              <w:right w:type="dxa" w:w="100"/>
            </w:tcMar>
          </w:tcPr>
          <w:p>
            <w:r>
              <w:rPr>
                <w:b w:val="false"/>
                <w:bCs w:val="false"/>
                <w:sz w:val="18"/>
                <w:szCs w:val="18"/>
              </w:rPr>
              <w:t xml:space="preserve">Reporting that the 2026 amendment bill was Cabinet-approved and submitted to the Diet in April 2026</w:t>
            </w:r>
          </w:p>
        </w:tc>
        <w:tc>
          <w:tcPr>
            <w:tcW w:type="dxa" w:w="4680"/>
            <w:tcMar>
              <w:top w:type="dxa" w:w="60"/>
              <w:left w:type="dxa" w:w="100"/>
              <w:bottom w:type="dxa" w:w="60"/>
              <w:right w:type="dxa" w:w="100"/>
            </w:tcMar>
          </w:tcPr>
          <w:p>
            <w:r>
              <w:rPr>
                <w:b w:val="false"/>
                <w:bCs w:val="false"/>
                <w:sz w:val="18"/>
                <w:szCs w:val="18"/>
              </w:rPr>
              <w:t xml:space="preserve">Not confirmable from a primary Personal Information Protection Commission page at build; the set relies only on the Commission's own January 2026 reform policy, which states the amendment as decided and expected, and asserts no enacted status.</w:t>
            </w:r>
          </w:p>
        </w:tc>
      </w:tr>
    </w:tbl>
    <w:p>
      <w:pPr>
        <w:spacing w:after="120"/>
      </w:pPr>
    </w:p>
    <w:p>
      <w:pPr>
        <w:pStyle w:val="Heading1"/>
        <w:spacing w:after="120" w:before="280"/>
      </w:pPr>
      <w:r>
        <w:rPr>
          <w:color w:val="2E74B5"/>
        </w:rPr>
        <w:t xml:space="preserve">4. Named in the set, not held, not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Instrument or item</w:t>
            </w:r>
          </w:p>
        </w:tc>
        <w:tc>
          <w:tcPr>
            <w:tcW w:type="dxa" w:w="3120"/>
            <w:shd w:fill="DEEAF6" w:color="auto" w:val="clear"/>
            <w:tcMar>
              <w:top w:type="dxa" w:w="60"/>
              <w:left w:type="dxa" w:w="100"/>
              <w:bottom w:type="dxa" w:w="60"/>
              <w:right w:type="dxa" w:w="100"/>
            </w:tcMar>
          </w:tcPr>
          <w:p>
            <w:r>
              <w:rPr>
                <w:b/>
                <w:bCs/>
                <w:sz w:val="18"/>
                <w:szCs w:val="18"/>
              </w:rPr>
              <w:t xml:space="preserve">Why it matters</w:t>
            </w:r>
          </w:p>
        </w:tc>
        <w:tc>
          <w:tcPr>
            <w:tcW w:type="dxa" w:w="3120"/>
            <w:shd w:fill="DEEAF6" w:color="auto" w:val="clear"/>
            <w:tcMar>
              <w:top w:type="dxa" w:w="60"/>
              <w:left w:type="dxa" w:w="100"/>
              <w:bottom w:type="dxa" w:w="60"/>
              <w:right w:type="dxa" w:w="100"/>
            </w:tcMar>
          </w:tcPr>
          <w:p>
            <w:r>
              <w:rPr>
                <w:b/>
                <w:bCs/>
                <w:sz w:val="18"/>
                <w:szCs w:val="18"/>
              </w:rPr>
              <w:t xml:space="preserve">Status</w:t>
            </w:r>
          </w:p>
        </w:tc>
      </w:tr>
      <w:tr>
        <w:trPr>
          <w:tblHeader w:val="false"/>
        </w:trPr>
        <w:tc>
          <w:tcPr>
            <w:tcW w:type="dxa" w:w="3120"/>
            <w:tcMar>
              <w:top w:type="dxa" w:w="60"/>
              <w:left w:type="dxa" w:w="100"/>
              <w:bottom w:type="dxa" w:w="60"/>
              <w:right w:type="dxa" w:w="100"/>
            </w:tcMar>
          </w:tcPr>
          <w:p>
            <w:r>
              <w:rPr>
                <w:b w:val="false"/>
                <w:bCs w:val="false"/>
                <w:sz w:val="18"/>
                <w:szCs w:val="18"/>
              </w:rPr>
              <w:t xml:space="preserve">The 2026 APPI amendment (enacted text)</w:t>
            </w:r>
          </w:p>
        </w:tc>
        <w:tc>
          <w:tcPr>
            <w:tcW w:type="dxa" w:w="3120"/>
            <w:tcMar>
              <w:top w:type="dxa" w:w="60"/>
              <w:left w:type="dxa" w:w="100"/>
              <w:bottom w:type="dxa" w:w="60"/>
              <w:right w:type="dxa" w:w="100"/>
            </w:tcMar>
          </w:tcPr>
          <w:p>
            <w:r>
              <w:rPr>
                <w:b w:val="false"/>
                <w:bCs w:val="false"/>
                <w:sz w:val="18"/>
                <w:szCs w:val="18"/>
              </w:rPr>
              <w:t xml:space="preserve">Would add the statistics/AI consent exception, under-16 rules, facial-feature-data duties, targeting-information prohibition, and administrative monetary penalties</w:t>
            </w:r>
          </w:p>
        </w:tc>
        <w:tc>
          <w:tcPr>
            <w:tcW w:type="dxa" w:w="3120"/>
            <w:tcMar>
              <w:top w:type="dxa" w:w="60"/>
              <w:left w:type="dxa" w:w="100"/>
              <w:bottom w:type="dxa" w:w="60"/>
              <w:right w:type="dxa" w:w="100"/>
            </w:tcMar>
          </w:tcPr>
          <w:p>
            <w:r>
              <w:rPr>
                <w:b w:val="false"/>
                <w:bCs w:val="false"/>
                <w:sz w:val="18"/>
                <w:szCs w:val="18"/>
              </w:rPr>
              <w:t xml:space="preserve">Not law; described from the Commission's reform policy only</w:t>
            </w:r>
          </w:p>
        </w:tc>
      </w:tr>
      <w:tr>
        <w:trPr>
          <w:tblHeader w:val="false"/>
        </w:trPr>
        <w:tc>
          <w:tcPr>
            <w:tcW w:type="dxa" w:w="3120"/>
            <w:tcMar>
              <w:top w:type="dxa" w:w="60"/>
              <w:left w:type="dxa" w:w="100"/>
              <w:bottom w:type="dxa" w:w="60"/>
              <w:right w:type="dxa" w:w="100"/>
            </w:tcMar>
          </w:tcPr>
          <w:p>
            <w:r>
              <w:rPr>
                <w:b w:val="false"/>
                <w:bCs w:val="false"/>
                <w:sz w:val="18"/>
                <w:szCs w:val="18"/>
              </w:rPr>
              <w:t xml:space="preserve">APPI Cabinet Order and Enforcement Rules (detailed standards)</w:t>
            </w:r>
          </w:p>
        </w:tc>
        <w:tc>
          <w:tcPr>
            <w:tcW w:type="dxa" w:w="3120"/>
            <w:tcMar>
              <w:top w:type="dxa" w:w="60"/>
              <w:left w:type="dxa" w:w="100"/>
              <w:bottom w:type="dxa" w:w="60"/>
              <w:right w:type="dxa" w:w="100"/>
            </w:tcMar>
          </w:tcPr>
          <w:p>
            <w:r>
              <w:rPr>
                <w:b w:val="false"/>
                <w:bCs w:val="false"/>
                <w:sz w:val="18"/>
                <w:szCs w:val="18"/>
              </w:rPr>
              <w:t xml:space="preserve">Leak-report content and timing, opt-out filing particulars, equivalent-measures standard, disclosure procedure</w:t>
            </w:r>
          </w:p>
        </w:tc>
        <w:tc>
          <w:tcPr>
            <w:tcW w:type="dxa" w:w="3120"/>
            <w:tcMar>
              <w:top w:type="dxa" w:w="60"/>
              <w:left w:type="dxa" w:w="100"/>
              <w:bottom w:type="dxa" w:w="60"/>
              <w:right w:type="dxa" w:w="100"/>
            </w:tcMar>
          </w:tcPr>
          <w:p>
            <w:r>
              <w:rPr>
                <w:b w:val="false"/>
                <w:bCs w:val="false"/>
                <w:sz w:val="18"/>
                <w:szCs w:val="18"/>
              </w:rPr>
              <w:t xml:space="preserve">Held copies applied by reference; specific figures not restated</w:t>
            </w:r>
          </w:p>
        </w:tc>
      </w:tr>
      <w:tr>
        <w:trPr>
          <w:tblHeader w:val="false"/>
        </w:trPr>
        <w:tc>
          <w:tcPr>
            <w:tcW w:type="dxa" w:w="3120"/>
            <w:tcMar>
              <w:top w:type="dxa" w:w="60"/>
              <w:left w:type="dxa" w:w="100"/>
              <w:bottom w:type="dxa" w:w="60"/>
              <w:right w:type="dxa" w:w="100"/>
            </w:tcMar>
          </w:tcPr>
          <w:p>
            <w:r>
              <w:rPr>
                <w:b w:val="false"/>
                <w:bCs w:val="false"/>
                <w:sz w:val="18"/>
                <w:szCs w:val="18"/>
              </w:rPr>
              <w:t xml:space="preserve">APPI pseudonymised- and anonymised-information regime (Arts 41-46)</w:t>
            </w:r>
          </w:p>
        </w:tc>
        <w:tc>
          <w:tcPr>
            <w:tcW w:type="dxa" w:w="3120"/>
            <w:tcMar>
              <w:top w:type="dxa" w:w="60"/>
              <w:left w:type="dxa" w:w="100"/>
              <w:bottom w:type="dxa" w:w="60"/>
              <w:right w:type="dxa" w:w="100"/>
            </w:tcMar>
          </w:tcPr>
          <w:p>
            <w:r>
              <w:rPr>
                <w:b w:val="false"/>
                <w:bCs w:val="false"/>
                <w:sz w:val="18"/>
                <w:szCs w:val="18"/>
              </w:rPr>
              <w:t xml:space="preserve">Processing standards and the re-identification prohibition</w:t>
            </w:r>
          </w:p>
        </w:tc>
        <w:tc>
          <w:tcPr>
            <w:tcW w:type="dxa" w:w="3120"/>
            <w:tcMar>
              <w:top w:type="dxa" w:w="60"/>
              <w:left w:type="dxa" w:w="100"/>
              <w:bottom w:type="dxa" w:w="60"/>
              <w:right w:type="dxa" w:w="100"/>
            </w:tcMar>
          </w:tcPr>
          <w:p>
            <w:r>
              <w:rPr>
                <w:b w:val="false"/>
                <w:bCs w:val="false"/>
                <w:sz w:val="18"/>
                <w:szCs w:val="18"/>
              </w:rPr>
              <w:t xml:space="preserve">Named and applied for the prohibition; detailed standards not restated</w:t>
            </w:r>
          </w:p>
        </w:tc>
      </w:tr>
      <w:tr>
        <w:trPr>
          <w:tblHeader w:val="false"/>
        </w:trPr>
        <w:tc>
          <w:tcPr>
            <w:tcW w:type="dxa" w:w="3120"/>
            <w:tcMar>
              <w:top w:type="dxa" w:w="60"/>
              <w:left w:type="dxa" w:w="100"/>
              <w:bottom w:type="dxa" w:w="60"/>
              <w:right w:type="dxa" w:w="100"/>
            </w:tcMar>
          </w:tcPr>
          <w:p>
            <w:r>
              <w:rPr>
                <w:b w:val="false"/>
                <w:bCs w:val="false"/>
                <w:sz w:val="18"/>
                <w:szCs w:val="18"/>
              </w:rPr>
              <w:t xml:space="preserve">Act on the Use of Numbers to Identify a Specific Individual (My Number Act)</w:t>
            </w:r>
          </w:p>
        </w:tc>
        <w:tc>
          <w:tcPr>
            <w:tcW w:type="dxa" w:w="3120"/>
            <w:tcMar>
              <w:top w:type="dxa" w:w="60"/>
              <w:left w:type="dxa" w:w="100"/>
              <w:bottom w:type="dxa" w:w="60"/>
              <w:right w:type="dxa" w:w="100"/>
            </w:tcMar>
          </w:tcPr>
          <w:p>
            <w:r>
              <w:rPr>
                <w:b w:val="false"/>
                <w:bCs w:val="false"/>
                <w:sz w:val="18"/>
                <w:szCs w:val="18"/>
              </w:rPr>
              <w:t xml:space="preserve">Governs individual identification numbers</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r>
        <w:trPr>
          <w:tblHeader w:val="false"/>
        </w:trPr>
        <w:tc>
          <w:tcPr>
            <w:tcW w:type="dxa" w:w="3120"/>
            <w:tcMar>
              <w:top w:type="dxa" w:w="60"/>
              <w:left w:type="dxa" w:w="100"/>
              <w:bottom w:type="dxa" w:w="60"/>
              <w:right w:type="dxa" w:w="100"/>
            </w:tcMar>
          </w:tcPr>
          <w:p>
            <w:r>
              <w:rPr>
                <w:b w:val="false"/>
                <w:bCs w:val="false"/>
                <w:sz w:val="18"/>
                <w:szCs w:val="18"/>
              </w:rPr>
              <w:t xml:space="preserve">Sector rules (financial, medical, telecommunications)</w:t>
            </w:r>
          </w:p>
        </w:tc>
        <w:tc>
          <w:tcPr>
            <w:tcW w:type="dxa" w:w="3120"/>
            <w:tcMar>
              <w:top w:type="dxa" w:w="60"/>
              <w:left w:type="dxa" w:w="100"/>
              <w:bottom w:type="dxa" w:w="60"/>
              <w:right w:type="dxa" w:w="100"/>
            </w:tcMar>
          </w:tcPr>
          <w:p>
            <w:r>
              <w:rPr>
                <w:b w:val="false"/>
                <w:bCs w:val="false"/>
                <w:sz w:val="18"/>
                <w:szCs w:val="18"/>
              </w:rPr>
              <w:t xml:space="preserve">Overlays for regulated businesses</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r>
        <w:trPr>
          <w:tblHeader w:val="false"/>
        </w:trPr>
        <w:tc>
          <w:tcPr>
            <w:tcW w:type="dxa" w:w="3120"/>
            <w:tcMar>
              <w:top w:type="dxa" w:w="60"/>
              <w:left w:type="dxa" w:w="100"/>
              <w:bottom w:type="dxa" w:w="60"/>
              <w:right w:type="dxa" w:w="100"/>
            </w:tcMar>
          </w:tcPr>
          <w:p>
            <w:r>
              <w:rPr>
                <w:b w:val="false"/>
                <w:bCs w:val="false"/>
                <w:sz w:val="18"/>
                <w:szCs w:val="18"/>
              </w:rPr>
              <w:t xml:space="preserve">Unfair Competition Prevention Act; Copyright Act</w:t>
            </w:r>
          </w:p>
        </w:tc>
        <w:tc>
          <w:tcPr>
            <w:tcW w:type="dxa" w:w="3120"/>
            <w:tcMar>
              <w:top w:type="dxa" w:w="60"/>
              <w:left w:type="dxa" w:w="100"/>
              <w:bottom w:type="dxa" w:w="60"/>
              <w:right w:type="dxa" w:w="100"/>
            </w:tcMar>
          </w:tcPr>
          <w:p>
            <w:r>
              <w:rPr>
                <w:b w:val="false"/>
                <w:bCs w:val="false"/>
                <w:sz w:val="18"/>
                <w:szCs w:val="18"/>
              </w:rPr>
              <w:t xml:space="preserve">Trade secrets; training data and generated content</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r>
        <w:trPr>
          <w:tblHeader w:val="false"/>
        </w:trPr>
        <w:tc>
          <w:tcPr>
            <w:tcW w:type="dxa" w:w="3120"/>
            <w:tcMar>
              <w:top w:type="dxa" w:w="60"/>
              <w:left w:type="dxa" w:w="100"/>
              <w:bottom w:type="dxa" w:w="60"/>
              <w:right w:type="dxa" w:w="100"/>
            </w:tcMar>
          </w:tcPr>
          <w:p>
            <w:r>
              <w:rPr>
                <w:b w:val="false"/>
                <w:bCs w:val="false"/>
                <w:sz w:val="18"/>
                <w:szCs w:val="18"/>
              </w:rPr>
              <w:t xml:space="preserve">Personal Information Protection Commission generative-AI cautions</w:t>
            </w:r>
          </w:p>
        </w:tc>
        <w:tc>
          <w:tcPr>
            <w:tcW w:type="dxa" w:w="3120"/>
            <w:tcMar>
              <w:top w:type="dxa" w:w="60"/>
              <w:left w:type="dxa" w:w="100"/>
              <w:bottom w:type="dxa" w:w="60"/>
              <w:right w:type="dxa" w:w="100"/>
            </w:tcMar>
          </w:tcPr>
          <w:p>
            <w:r>
              <w:rPr>
                <w:b w:val="false"/>
                <w:bCs w:val="false"/>
                <w:sz w:val="18"/>
                <w:szCs w:val="18"/>
              </w:rPr>
              <w:t xml:space="preserve">The regulator's specific AI reading</w:t>
            </w:r>
          </w:p>
        </w:tc>
        <w:tc>
          <w:tcPr>
            <w:tcW w:type="dxa" w:w="3120"/>
            <w:tcMar>
              <w:top w:type="dxa" w:w="60"/>
              <w:left w:type="dxa" w:w="100"/>
              <w:bottom w:type="dxa" w:w="60"/>
              <w:right w:type="dxa" w:w="100"/>
            </w:tcMar>
          </w:tcPr>
          <w:p>
            <w:r>
              <w:rPr>
                <w:b w:val="false"/>
                <w:bCs w:val="false"/>
                <w:sz w:val="18"/>
                <w:szCs w:val="18"/>
              </w:rPr>
              <w:t xml:space="preserve">Not held as a discrete document; the guidelines carry the operating interpretation</w:t>
            </w:r>
          </w:p>
        </w:tc>
      </w:tr>
    </w:tbl>
    <w:p>
      <w:pPr>
        <w:spacing w:after="120"/>
      </w:pPr>
    </w:p>
    <w:p>
      <w:pPr>
        <w:pStyle w:val="Heading1"/>
        <w:spacing w:after="120" w:before="280"/>
      </w:pPr>
      <w:r>
        <w:rPr>
          <w:color w:val="2E74B5"/>
        </w:rPr>
        <w:t xml:space="preserve">5. Verification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Check</w:t>
            </w:r>
          </w:p>
        </w:tc>
        <w:tc>
          <w:tcPr>
            <w:tcW w:type="dxa" w:w="4680"/>
            <w:shd w:fill="DEEAF6" w:color="auto" w:val="clear"/>
            <w:tcMar>
              <w:top w:type="dxa" w:w="60"/>
              <w:left w:type="dxa" w:w="100"/>
              <w:bottom w:type="dxa" w:w="60"/>
              <w:right w:type="dxa" w:w="100"/>
            </w:tcMar>
          </w:tcPr>
          <w:p>
            <w:r>
              <w:rPr>
                <w:b/>
                <w:bCs/>
                <w:sz w:val="18"/>
                <w:szCs w:val="18"/>
              </w:rPr>
              <w:t xml:space="preserve">Result</w:t>
            </w:r>
          </w:p>
        </w:tc>
      </w:tr>
      <w:tr>
        <w:trPr>
          <w:tblHeader w:val="false"/>
        </w:trPr>
        <w:tc>
          <w:tcPr>
            <w:tcW w:type="dxa" w:w="4680"/>
            <w:tcMar>
              <w:top w:type="dxa" w:w="60"/>
              <w:left w:type="dxa" w:w="100"/>
              <w:bottom w:type="dxa" w:w="60"/>
              <w:right w:type="dxa" w:w="100"/>
            </w:tcMar>
          </w:tcPr>
          <w:p>
            <w:r>
              <w:rPr>
                <w:b w:val="false"/>
                <w:bCs w:val="false"/>
                <w:sz w:val="18"/>
                <w:szCs w:val="18"/>
              </w:rPr>
              <w:t xml:space="preserve">Every provision cited in the research note resolves to text read in the held translation</w:t>
            </w:r>
          </w:p>
        </w:tc>
        <w:tc>
          <w:tcPr>
            <w:tcW w:type="dxa" w:w="4680"/>
            <w:tcMar>
              <w:top w:type="dxa" w:w="60"/>
              <w:left w:type="dxa" w:w="100"/>
              <w:bottom w:type="dxa" w:w="60"/>
              <w:right w:type="dxa" w:w="100"/>
            </w:tcMar>
          </w:tcPr>
          <w:p>
            <w:r>
              <w:rPr>
                <w:b w:val="false"/>
                <w:bCs w:val="false"/>
                <w:sz w:val="18"/>
                <w:szCs w:val="18"/>
              </w:rPr>
              <w:t xml:space="preserve">Complete, 3 September 2026</w:t>
            </w:r>
          </w:p>
        </w:tc>
      </w:tr>
      <w:tr>
        <w:trPr>
          <w:tblHeader w:val="false"/>
        </w:trPr>
        <w:tc>
          <w:tcPr>
            <w:tcW w:type="dxa" w:w="4680"/>
            <w:tcMar>
              <w:top w:type="dxa" w:w="60"/>
              <w:left w:type="dxa" w:w="100"/>
              <w:bottom w:type="dxa" w:w="60"/>
              <w:right w:type="dxa" w:w="100"/>
            </w:tcMar>
          </w:tcPr>
          <w:p>
            <w:r>
              <w:rPr>
                <w:b w:val="false"/>
                <w:bCs w:val="false"/>
                <w:sz w:val="18"/>
                <w:szCs w:val="18"/>
              </w:rPr>
              <w:t xml:space="preserve">AI Promotion Act checked for any operator obligation or penalty</w:t>
            </w:r>
          </w:p>
        </w:tc>
        <w:tc>
          <w:tcPr>
            <w:tcW w:type="dxa" w:w="4680"/>
            <w:tcMar>
              <w:top w:type="dxa" w:w="60"/>
              <w:left w:type="dxa" w:w="100"/>
              <w:bottom w:type="dxa" w:w="60"/>
              <w:right w:type="dxa" w:w="100"/>
            </w:tcMar>
          </w:tcPr>
          <w:p>
            <w:r>
              <w:rPr>
                <w:b w:val="false"/>
                <w:bCs w:val="false"/>
                <w:sz w:val="18"/>
                <w:szCs w:val="18"/>
              </w:rPr>
              <w:t xml:space="preserve">None found; Arts 7 and 8 are endeavour duties; no penalty provision exists</w:t>
            </w:r>
          </w:p>
        </w:tc>
      </w:tr>
      <w:tr>
        <w:trPr>
          <w:tblHeader w:val="false"/>
        </w:trPr>
        <w:tc>
          <w:tcPr>
            <w:tcW w:type="dxa" w:w="4680"/>
            <w:tcMar>
              <w:top w:type="dxa" w:w="60"/>
              <w:left w:type="dxa" w:w="100"/>
              <w:bottom w:type="dxa" w:w="60"/>
              <w:right w:type="dxa" w:w="100"/>
            </w:tcMar>
          </w:tcPr>
          <w:p>
            <w:r>
              <w:rPr>
                <w:b w:val="false"/>
                <w:bCs w:val="false"/>
                <w:sz w:val="18"/>
                <w:szCs w:val="18"/>
              </w:rPr>
              <w:t xml:space="preserve">APPI Art 35(5) (cessation where handling is likely to harm rights or interests) read verbatim</w:t>
            </w:r>
          </w:p>
        </w:tc>
        <w:tc>
          <w:tcPr>
            <w:tcW w:type="dxa" w:w="4680"/>
            <w:tcMar>
              <w:top w:type="dxa" w:w="60"/>
              <w:left w:type="dxa" w:w="100"/>
              <w:bottom w:type="dxa" w:w="60"/>
              <w:right w:type="dxa" w:w="100"/>
            </w:tcMar>
          </w:tcPr>
          <w:p>
            <w:r>
              <w:rPr>
                <w:b w:val="false"/>
                <w:bCs w:val="false"/>
                <w:sz w:val="18"/>
                <w:szCs w:val="18"/>
              </w:rPr>
              <w:t xml:space="preserve">Confirmed</w:t>
            </w:r>
          </w:p>
        </w:tc>
      </w:tr>
      <w:tr>
        <w:trPr>
          <w:tblHeader w:val="false"/>
        </w:trPr>
        <w:tc>
          <w:tcPr>
            <w:tcW w:type="dxa" w:w="4680"/>
            <w:tcMar>
              <w:top w:type="dxa" w:w="60"/>
              <w:left w:type="dxa" w:w="100"/>
              <w:bottom w:type="dxa" w:w="60"/>
              <w:right w:type="dxa" w:w="100"/>
            </w:tcMar>
          </w:tcPr>
          <w:p>
            <w:r>
              <w:rPr>
                <w:b w:val="false"/>
                <w:bCs w:val="false"/>
                <w:sz w:val="18"/>
                <w:szCs w:val="18"/>
              </w:rPr>
              <w:t xml:space="preserve">APPI Art 171 (extraterritorial scope) read verbatim</w:t>
            </w:r>
          </w:p>
        </w:tc>
        <w:tc>
          <w:tcPr>
            <w:tcW w:type="dxa" w:w="4680"/>
            <w:tcMar>
              <w:top w:type="dxa" w:w="60"/>
              <w:left w:type="dxa" w:w="100"/>
              <w:bottom w:type="dxa" w:w="60"/>
              <w:right w:type="dxa" w:w="100"/>
            </w:tcMar>
          </w:tcPr>
          <w:p>
            <w:r>
              <w:rPr>
                <w:b w:val="false"/>
                <w:bCs w:val="false"/>
                <w:sz w:val="18"/>
                <w:szCs w:val="18"/>
              </w:rPr>
              <w:t xml:space="preserve">Confirmed</w:t>
            </w:r>
          </w:p>
        </w:tc>
      </w:tr>
      <w:tr>
        <w:trPr>
          <w:tblHeader w:val="false"/>
        </w:trPr>
        <w:tc>
          <w:tcPr>
            <w:tcW w:type="dxa" w:w="4680"/>
            <w:tcMar>
              <w:top w:type="dxa" w:w="60"/>
              <w:left w:type="dxa" w:w="100"/>
              <w:bottom w:type="dxa" w:w="60"/>
              <w:right w:type="dxa" w:w="100"/>
            </w:tcMar>
          </w:tcPr>
          <w:p>
            <w:r>
              <w:rPr>
                <w:b w:val="false"/>
                <w:bCs w:val="false"/>
                <w:sz w:val="18"/>
                <w:szCs w:val="18"/>
              </w:rPr>
              <w:t xml:space="preserve">2026 amendment status</w:t>
            </w:r>
          </w:p>
        </w:tc>
        <w:tc>
          <w:tcPr>
            <w:tcW w:type="dxa" w:w="4680"/>
            <w:tcMar>
              <w:top w:type="dxa" w:w="60"/>
              <w:left w:type="dxa" w:w="100"/>
              <w:bottom w:type="dxa" w:w="60"/>
              <w:right w:type="dxa" w:w="100"/>
            </w:tcMar>
          </w:tcPr>
          <w:p>
            <w:r>
              <w:rPr>
                <w:b w:val="false"/>
                <w:bCs w:val="false"/>
                <w:sz w:val="18"/>
                <w:szCs w:val="18"/>
              </w:rPr>
              <w:t xml:space="preserve">Stated as decided and expected by the Commission's January 2026 reform policy; no enacted status asserted</w:t>
            </w:r>
          </w:p>
        </w:tc>
      </w:tr>
      <w:tr>
        <w:trPr>
          <w:tblHeader w:val="false"/>
        </w:trPr>
        <w:tc>
          <w:tcPr>
            <w:tcW w:type="dxa" w:w="4680"/>
            <w:tcMar>
              <w:top w:type="dxa" w:w="60"/>
              <w:left w:type="dxa" w:w="100"/>
              <w:bottom w:type="dxa" w:w="60"/>
              <w:right w:type="dxa" w:w="100"/>
            </w:tcMar>
          </w:tcPr>
          <w:p>
            <w:r>
              <w:rPr>
                <w:b w:val="false"/>
                <w:bCs w:val="false"/>
                <w:sz w:val="18"/>
                <w:szCs w:val="18"/>
              </w:rPr>
              <w:t xml:space="preserve">Policy and annex bodies searched for provision identifiers</w:t>
            </w:r>
          </w:p>
        </w:tc>
        <w:tc>
          <w:tcPr>
            <w:tcW w:type="dxa" w:w="4680"/>
            <w:tcMar>
              <w:top w:type="dxa" w:w="60"/>
              <w:left w:type="dxa" w:w="100"/>
              <w:bottom w:type="dxa" w:w="60"/>
              <w:right w:type="dxa" w:w="100"/>
            </w:tcMar>
          </w:tcPr>
          <w:p>
            <w:r>
              <w:rPr>
                <w:b w:val="false"/>
                <w:bCs w:val="false"/>
                <w:sz w:val="18"/>
                <w:szCs w:val="18"/>
              </w:rPr>
              <w:t xml:space="preserve">None present</w:t>
            </w:r>
          </w:p>
        </w:tc>
      </w:tr>
      <w:tr>
        <w:trPr>
          <w:tblHeader w:val="false"/>
        </w:trPr>
        <w:tc>
          <w:tcPr>
            <w:tcW w:type="dxa" w:w="4680"/>
            <w:tcMar>
              <w:top w:type="dxa" w:w="60"/>
              <w:left w:type="dxa" w:w="100"/>
              <w:bottom w:type="dxa" w:w="60"/>
              <w:right w:type="dxa" w:w="100"/>
            </w:tcMar>
          </w:tcPr>
          <w:p>
            <w:r>
              <w:rPr>
                <w:b w:val="false"/>
                <w:bCs w:val="false"/>
                <w:sz w:val="18"/>
                <w:szCs w:val="18"/>
              </w:rPr>
              <w:t xml:space="preserve">Policy and annex bodies searched for cross-jurisdiction comparison</w:t>
            </w:r>
          </w:p>
        </w:tc>
        <w:tc>
          <w:tcPr>
            <w:tcW w:type="dxa" w:w="4680"/>
            <w:tcMar>
              <w:top w:type="dxa" w:w="60"/>
              <w:left w:type="dxa" w:w="100"/>
              <w:bottom w:type="dxa" w:w="60"/>
              <w:right w:type="dxa" w:w="100"/>
            </w:tcMar>
          </w:tcPr>
          <w:p>
            <w:r>
              <w:rPr>
                <w:b w:val="false"/>
                <w:bCs w:val="false"/>
                <w:sz w:val="18"/>
                <w:szCs w:val="18"/>
              </w:rPr>
              <w:t xml:space="preserve">None</w:t>
            </w:r>
          </w:p>
        </w:tc>
      </w:tr>
      <w:tr>
        <w:trPr>
          <w:tblHeader w:val="false"/>
        </w:trPr>
        <w:tc>
          <w:tcPr>
            <w:tcW w:type="dxa" w:w="4680"/>
            <w:tcMar>
              <w:top w:type="dxa" w:w="60"/>
              <w:left w:type="dxa" w:w="100"/>
              <w:bottom w:type="dxa" w:w="60"/>
              <w:right w:type="dxa" w:w="100"/>
            </w:tcMar>
          </w:tcPr>
          <w:p>
            <w:r>
              <w:rPr>
                <w:b w:val="false"/>
                <w:bCs w:val="false"/>
                <w:sz w:val="18"/>
                <w:szCs w:val="18"/>
              </w:rPr>
              <w:t xml:space="preserve">Policy and annex bodies searched for em dashes</w:t>
            </w:r>
          </w:p>
        </w:tc>
        <w:tc>
          <w:tcPr>
            <w:tcW w:type="dxa" w:w="4680"/>
            <w:tcMar>
              <w:top w:type="dxa" w:w="60"/>
              <w:left w:type="dxa" w:w="100"/>
              <w:bottom w:type="dxa" w:w="60"/>
              <w:right w:type="dxa" w:w="100"/>
            </w:tcMar>
          </w:tcPr>
          <w:p>
            <w:r>
              <w:rPr>
                <w:b w:val="false"/>
                <w:bCs w:val="false"/>
                <w:sz w:val="18"/>
                <w:szCs w:val="18"/>
              </w:rPr>
              <w:t xml:space="preserve">None</w:t>
            </w:r>
          </w:p>
        </w:tc>
      </w:tr>
      <w:tr>
        <w:trPr>
          <w:tblHeader w:val="false"/>
        </w:trPr>
        <w:tc>
          <w:tcPr>
            <w:tcW w:type="dxa" w:w="4680"/>
            <w:tcMar>
              <w:top w:type="dxa" w:w="60"/>
              <w:left w:type="dxa" w:w="100"/>
              <w:bottom w:type="dxa" w:w="60"/>
              <w:right w:type="dxa" w:w="100"/>
            </w:tcMar>
          </w:tcPr>
          <w:p>
            <w:r>
              <w:rPr>
                <w:b w:val="false"/>
                <w:bCs w:val="false"/>
                <w:sz w:val="18"/>
                <w:szCs w:val="18"/>
              </w:rPr>
              <w:t xml:space="preserve">Internal cross-references written as "clause N"</w:t>
            </w:r>
          </w:p>
        </w:tc>
        <w:tc>
          <w:tcPr>
            <w:tcW w:type="dxa" w:w="4680"/>
            <w:tcMar>
              <w:top w:type="dxa" w:w="60"/>
              <w:left w:type="dxa" w:w="100"/>
              <w:bottom w:type="dxa" w:w="60"/>
              <w:right w:type="dxa" w:w="100"/>
            </w:tcMar>
          </w:tcPr>
          <w:p>
            <w:r>
              <w:rPr>
                <w:b w:val="false"/>
                <w:bCs w:val="false"/>
                <w:sz w:val="18"/>
                <w:szCs w:val="18"/>
              </w:rPr>
              <w:t xml:space="preserve">Yes, throughout</w:t>
            </w:r>
          </w:p>
        </w:tc>
      </w:tr>
      <w:tr>
        <w:trPr>
          <w:tblHeader w:val="false"/>
        </w:trPr>
        <w:tc>
          <w:tcPr>
            <w:tcW w:type="dxa" w:w="4680"/>
            <w:tcMar>
              <w:top w:type="dxa" w:w="60"/>
              <w:left w:type="dxa" w:w="100"/>
              <w:bottom w:type="dxa" w:w="60"/>
              <w:right w:type="dxa" w:w="100"/>
            </w:tcMar>
          </w:tcPr>
          <w:p>
            <w:r>
              <w:rPr>
                <w:b w:val="false"/>
                <w:bCs w:val="false"/>
                <w:sz w:val="18"/>
                <w:szCs w:val="18"/>
              </w:rPr>
              <w:t xml:space="preserve">Run through the Data Privacy platform verification pipeline</w:t>
            </w:r>
          </w:p>
        </w:tc>
        <w:tc>
          <w:tcPr>
            <w:tcW w:type="dxa" w:w="4680"/>
            <w:tcMar>
              <w:top w:type="dxa" w:w="60"/>
              <w:left w:type="dxa" w:w="100"/>
              <w:bottom w:type="dxa" w:w="60"/>
              <w:right w:type="dxa" w:w="100"/>
            </w:tcMar>
          </w:tcPr>
          <w:p>
            <w:r>
              <w:rPr>
                <w:b w:val="false"/>
                <w:bCs w:val="false"/>
                <w:sz w:val="18"/>
                <w:szCs w:val="18"/>
              </w:rPr>
              <w:t xml:space="preserve">Not possible: Japan is not a platform jurisdiction. Verification by direct reading, recorded here</w:t>
            </w:r>
          </w:p>
        </w:tc>
      </w:tr>
    </w:tbl>
    <w:p>
      <w:pPr>
        <w:spacing w:after="120"/>
      </w:pPr>
    </w:p>
    <w:p>
      <w:pPr>
        <w:spacing w:after="120"/>
      </w:pPr>
      <w:r>
        <w:rPr>
          <w:i/>
          <w:iCs/>
          <w:color w:val="666666"/>
        </w:rPr>
        <w:t xml:space="preserve">Educational, not legal advice. No provision has been reviewed by qualified counsel.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Source register - Japan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2026-09-03T18:36:03.843Z</dcterms:created>
  <dcterms:modified xsi:type="dcterms:W3CDTF">2026-09-03T18:36:03.843Z</dcterms:modified>
</cp:coreProperties>
</file>

<file path=docProps/custom.xml><?xml version="1.0" encoding="utf-8"?>
<Properties xmlns="http://schemas.openxmlformats.org/officeDocument/2006/custom-properties" xmlns:vt="http://schemas.openxmlformats.org/officeDocument/2006/docPropsVTypes"/>
</file>