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Research note - Australia AI policy set</w:t>
      </w:r>
    </w:p>
    <w:p>
      <w:pPr>
        <w:spacing w:after="120"/>
      </w:pPr>
      <w:r>
        <w:rPr>
          <w:b/>
          <w:bCs/>
        </w:rPr>
        <w:t xml:space="preserve">Built:</w:t>
      </w:r>
      <w:r>
        <w:t xml:space="preserve"> 3 September 2026</w:t>
      </w:r>
    </w:p>
    <w:p>
      <w:pPr>
        <w:spacing w:after="120"/>
      </w:pPr>
      <w:r>
        <w:rPr>
          <w:b/>
          <w:bCs/>
        </w:rPr>
        <w:t xml:space="preserve">Purpose:</w:t>
      </w:r>
      <w:r>
        <w:t xml:space="preserve"> every clause of the policy and annex traced to the provision or guidance it rests on. Provision identifiers live here, not in the policy body.</w:t>
      </w:r>
    </w:p>
    <w:p>
      <w:pPr>
        <w:spacing w:after="120"/>
      </w:pPr>
      <w:r>
        <w:rPr>
          <w:b/>
          <w:bCs/>
        </w:rPr>
        <w:t xml:space="preserve">Method:</w:t>
      </w:r>
      <w:r>
        <w:t xml:space="preserve"> primary sources only; every citation read in the held instrument; nothing asserted that is not held.</w:t>
      </w:r>
    </w:p>
    <w:p>
      <w:pPr>
        <w:pStyle w:val="Heading1"/>
        <w:spacing w:after="120" w:before="280"/>
      </w:pPr>
      <w:r>
        <w:rPr>
          <w:color w:val="2E74B5"/>
        </w:rPr>
        <w:t xml:space="preserve">1. Instruments held and how they were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Instrument</w:t>
            </w:r>
          </w:p>
        </w:tc>
        <w:tc>
          <w:tcPr>
            <w:tcW w:type="dxa" w:w="3120"/>
            <w:shd w:fill="DEEAF6" w:color="auto" w:val="clear"/>
            <w:tcMar>
              <w:top w:type="dxa" w:w="60"/>
              <w:left w:type="dxa" w:w="100"/>
              <w:bottom w:type="dxa" w:w="60"/>
              <w:right w:type="dxa" w:w="100"/>
            </w:tcMar>
          </w:tcPr>
          <w:p>
            <w:r>
              <w:rPr>
                <w:b/>
                <w:bCs/>
                <w:sz w:val="18"/>
                <w:szCs w:val="18"/>
              </w:rPr>
              <w:t xml:space="preserve">Version held</w:t>
            </w:r>
          </w:p>
        </w:tc>
        <w:tc>
          <w:tcPr>
            <w:tcW w:type="dxa" w:w="3120"/>
            <w:shd w:fill="DEEAF6" w:color="auto" w:val="clear"/>
            <w:tcMar>
              <w:top w:type="dxa" w:w="60"/>
              <w:left w:type="dxa" w:w="100"/>
              <w:bottom w:type="dxa" w:w="60"/>
              <w:right w:type="dxa" w:w="100"/>
            </w:tcMar>
          </w:tcPr>
          <w:p>
            <w:r>
              <w:rPr>
                <w:b/>
                <w:bCs/>
                <w:sz w:val="18"/>
                <w:szCs w:val="18"/>
              </w:rPr>
              <w:t xml:space="preserve">Read</w:t>
            </w:r>
          </w:p>
        </w:tc>
      </w:tr>
      <w:tr>
        <w:trPr>
          <w:tblHeader w:val="false"/>
        </w:trPr>
        <w:tc>
          <w:tcPr>
            <w:tcW w:type="dxa" w:w="3120"/>
            <w:tcMar>
              <w:top w:type="dxa" w:w="60"/>
              <w:left w:type="dxa" w:w="100"/>
              <w:bottom w:type="dxa" w:w="60"/>
              <w:right w:type="dxa" w:w="100"/>
            </w:tcMar>
          </w:tcPr>
          <w:p>
            <w:r>
              <w:rPr>
                <w:b w:val="false"/>
                <w:bCs w:val="false"/>
                <w:sz w:val="18"/>
                <w:szCs w:val="18"/>
              </w:rPr>
              <w:t xml:space="preserve">Privacy Act 1988 (Cth)</w:t>
            </w:r>
          </w:p>
        </w:tc>
        <w:tc>
          <w:tcPr>
            <w:tcW w:type="dxa" w:w="3120"/>
            <w:tcMar>
              <w:top w:type="dxa" w:w="60"/>
              <w:left w:type="dxa" w:w="100"/>
              <w:bottom w:type="dxa" w:w="60"/>
              <w:right w:type="dxa" w:w="100"/>
            </w:tcMar>
          </w:tcPr>
          <w:p>
            <w:r>
              <w:rPr>
                <w:b w:val="false"/>
                <w:bCs w:val="false"/>
                <w:sz w:val="18"/>
                <w:szCs w:val="18"/>
              </w:rPr>
              <w:t xml:space="preserve">Compilation No. 104, C2026C00227, compilation date 4 June 2026, registered 17 June 2026, includes amendments to Act No. 75 of 2025</w:t>
            </w:r>
          </w:p>
        </w:tc>
        <w:tc>
          <w:tcPr>
            <w:tcW w:type="dxa" w:w="3120"/>
            <w:tcMar>
              <w:top w:type="dxa" w:w="60"/>
              <w:left w:type="dxa" w:w="100"/>
              <w:bottom w:type="dxa" w:w="60"/>
              <w:right w:type="dxa" w:w="100"/>
            </w:tcMar>
          </w:tcPr>
          <w:p>
            <w:r>
              <w:rPr>
                <w:b w:val="false"/>
                <w:bCs w:val="false"/>
                <w:sz w:val="18"/>
                <w:szCs w:val="18"/>
              </w:rPr>
              <w:t xml:space="preserve">Schedule 1 (APPs) in full; Part I ss 5B, 6, 6D, 7B; Part III ss 13G, 13H, 13J, 13K; Part IIIB s 26GC; Part IIIC ss 26WE to 26WL; Schedule 2 Part 2; endnote 4 (amendment history) for the uncommenced items</w:t>
            </w:r>
          </w:p>
        </w:tc>
      </w:tr>
      <w:tr>
        <w:trPr>
          <w:tblHeader w:val="false"/>
        </w:trPr>
        <w:tc>
          <w:tcPr>
            <w:tcW w:type="dxa" w:w="3120"/>
            <w:tcMar>
              <w:top w:type="dxa" w:w="60"/>
              <w:left w:type="dxa" w:w="100"/>
              <w:bottom w:type="dxa" w:w="60"/>
              <w:right w:type="dxa" w:w="100"/>
            </w:tcMar>
          </w:tcPr>
          <w:p>
            <w:r>
              <w:rPr>
                <w:b w:val="false"/>
                <w:bCs w:val="false"/>
                <w:sz w:val="18"/>
                <w:szCs w:val="18"/>
              </w:rPr>
              <w:t xml:space="preserve">Privacy and Other Legislation Amendment Act 2024 (Cth), No. 128 of 2024</w:t>
            </w:r>
          </w:p>
        </w:tc>
        <w:tc>
          <w:tcPr>
            <w:tcW w:type="dxa" w:w="3120"/>
            <w:tcMar>
              <w:top w:type="dxa" w:w="60"/>
              <w:left w:type="dxa" w:w="100"/>
              <w:bottom w:type="dxa" w:w="60"/>
              <w:right w:type="dxa" w:w="100"/>
            </w:tcMar>
          </w:tcPr>
          <w:p>
            <w:r>
              <w:rPr>
                <w:b w:val="false"/>
                <w:bCs w:val="false"/>
                <w:sz w:val="18"/>
                <w:szCs w:val="18"/>
              </w:rPr>
              <w:t xml:space="preserve">Replaced authorised version C2024A00128, registered 11 June 2025</w:t>
            </w:r>
          </w:p>
        </w:tc>
        <w:tc>
          <w:tcPr>
            <w:tcW w:type="dxa" w:w="3120"/>
            <w:tcMar>
              <w:top w:type="dxa" w:w="60"/>
              <w:left w:type="dxa" w:w="100"/>
              <w:bottom w:type="dxa" w:w="60"/>
              <w:right w:type="dxa" w:w="100"/>
            </w:tcMar>
          </w:tcPr>
          <w:p>
            <w:r>
              <w:rPr>
                <w:b w:val="false"/>
                <w:bCs w:val="false"/>
                <w:sz w:val="18"/>
                <w:szCs w:val="18"/>
              </w:rPr>
              <w:t xml:space="preserve">s 2 (commencement table); Schedule 1 Parts 1 to 15 headings; Part 5 (security); Part 15 (automated decisions) in full including item 89; Schedule 2</w:t>
            </w:r>
          </w:p>
        </w:tc>
      </w:tr>
      <w:tr>
        <w:trPr>
          <w:tblHeader w:val="false"/>
        </w:trPr>
        <w:tc>
          <w:tcPr>
            <w:tcW w:type="dxa" w:w="3120"/>
            <w:tcMar>
              <w:top w:type="dxa" w:w="60"/>
              <w:left w:type="dxa" w:w="100"/>
              <w:bottom w:type="dxa" w:w="60"/>
              <w:right w:type="dxa" w:w="100"/>
            </w:tcMar>
          </w:tcPr>
          <w:p>
            <w:r>
              <w:rPr>
                <w:b w:val="false"/>
                <w:bCs w:val="false"/>
                <w:sz w:val="18"/>
                <w:szCs w:val="18"/>
              </w:rPr>
              <w:t xml:space="preserve">OAIC, Guidance on privacy and the use of commercially available AI products</w:t>
            </w:r>
          </w:p>
        </w:tc>
        <w:tc>
          <w:tcPr>
            <w:tcW w:type="dxa" w:w="3120"/>
            <w:tcMar>
              <w:top w:type="dxa" w:w="60"/>
              <w:left w:type="dxa" w:w="100"/>
              <w:bottom w:type="dxa" w:w="60"/>
              <w:right w:type="dxa" w:w="100"/>
            </w:tcMar>
          </w:tcPr>
          <w:p>
            <w:r>
              <w:rPr>
                <w:b w:val="false"/>
                <w:bCs w:val="false"/>
                <w:sz w:val="18"/>
                <w:szCs w:val="18"/>
              </w:rPr>
              <w:t xml:space="preserve">Published 21 October 2024, updated 17 January 2025</w:t>
            </w:r>
          </w:p>
        </w:tc>
        <w:tc>
          <w:tcPr>
            <w:tcW w:type="dxa" w:w="3120"/>
            <w:tcMar>
              <w:top w:type="dxa" w:w="60"/>
              <w:left w:type="dxa" w:w="100"/>
              <w:bottom w:type="dxa" w:w="60"/>
              <w:right w:type="dxa" w:w="100"/>
            </w:tcMar>
          </w:tcPr>
          <w:p>
            <w:r>
              <w:rPr>
                <w:b w:val="false"/>
                <w:bCs w:val="false"/>
                <w:sz w:val="18"/>
                <w:szCs w:val="18"/>
              </w:rPr>
              <w:t xml:space="preserve">In full</w:t>
            </w:r>
          </w:p>
        </w:tc>
      </w:tr>
      <w:tr>
        <w:trPr>
          <w:tblHeader w:val="false"/>
        </w:trPr>
        <w:tc>
          <w:tcPr>
            <w:tcW w:type="dxa" w:w="3120"/>
            <w:tcMar>
              <w:top w:type="dxa" w:w="60"/>
              <w:left w:type="dxa" w:w="100"/>
              <w:bottom w:type="dxa" w:w="60"/>
              <w:right w:type="dxa" w:w="100"/>
            </w:tcMar>
          </w:tcPr>
          <w:p>
            <w:r>
              <w:rPr>
                <w:b w:val="false"/>
                <w:bCs w:val="false"/>
                <w:sz w:val="18"/>
                <w:szCs w:val="18"/>
              </w:rPr>
              <w:t xml:space="preserve">OAIC, Guidance on privacy and developing and training generative AI models</w:t>
            </w:r>
          </w:p>
        </w:tc>
        <w:tc>
          <w:tcPr>
            <w:tcW w:type="dxa" w:w="3120"/>
            <w:tcMar>
              <w:top w:type="dxa" w:w="60"/>
              <w:left w:type="dxa" w:w="100"/>
              <w:bottom w:type="dxa" w:w="60"/>
              <w:right w:type="dxa" w:w="100"/>
            </w:tcMar>
          </w:tcPr>
          <w:p>
            <w:r>
              <w:rPr>
                <w:b w:val="false"/>
                <w:bCs w:val="false"/>
                <w:sz w:val="18"/>
                <w:szCs w:val="18"/>
              </w:rPr>
              <w:t xml:space="preserve">Published 21 October 2024, updated 23 October 2024</w:t>
            </w:r>
          </w:p>
        </w:tc>
        <w:tc>
          <w:tcPr>
            <w:tcW w:type="dxa" w:w="3120"/>
            <w:tcMar>
              <w:top w:type="dxa" w:w="60"/>
              <w:left w:type="dxa" w:w="100"/>
              <w:bottom w:type="dxa" w:w="60"/>
              <w:right w:type="dxa" w:w="100"/>
            </w:tcMar>
          </w:tcPr>
          <w:p>
            <w:r>
              <w:rPr>
                <w:b w:val="false"/>
                <w:bCs w:val="false"/>
                <w:sz w:val="18"/>
                <w:szCs w:val="18"/>
              </w:rPr>
              <w:t xml:space="preserve">In full</w:t>
            </w:r>
          </w:p>
        </w:tc>
      </w:tr>
      <w:tr>
        <w:trPr>
          <w:tblHeader w:val="false"/>
        </w:trPr>
        <w:tc>
          <w:tcPr>
            <w:tcW w:type="dxa" w:w="3120"/>
            <w:tcMar>
              <w:top w:type="dxa" w:w="60"/>
              <w:left w:type="dxa" w:w="100"/>
              <w:bottom w:type="dxa" w:w="60"/>
              <w:right w:type="dxa" w:w="100"/>
            </w:tcMar>
          </w:tcPr>
          <w:p>
            <w:r>
              <w:rPr>
                <w:b w:val="false"/>
                <w:bCs w:val="false"/>
                <w:sz w:val="18"/>
                <w:szCs w:val="18"/>
              </w:rPr>
              <w:t xml:space="preserve">OAIC, Automated Decision-Making Transparency Obligation (APP 1) - Issues Paper</w:t>
            </w:r>
          </w:p>
        </w:tc>
        <w:tc>
          <w:tcPr>
            <w:tcW w:type="dxa" w:w="3120"/>
            <w:tcMar>
              <w:top w:type="dxa" w:w="60"/>
              <w:left w:type="dxa" w:w="100"/>
              <w:bottom w:type="dxa" w:w="60"/>
              <w:right w:type="dxa" w:w="100"/>
            </w:tcMar>
          </w:tcPr>
          <w:p>
            <w:r>
              <w:rPr>
                <w:b w:val="false"/>
                <w:bCs w:val="false"/>
                <w:sz w:val="18"/>
                <w:szCs w:val="18"/>
              </w:rPr>
              <w:t xml:space="preserve">May 2026; submissions closed 15 June 2026</w:t>
            </w:r>
          </w:p>
        </w:tc>
        <w:tc>
          <w:tcPr>
            <w:tcW w:type="dxa" w:w="3120"/>
            <w:tcMar>
              <w:top w:type="dxa" w:w="60"/>
              <w:left w:type="dxa" w:w="100"/>
              <w:bottom w:type="dxa" w:w="60"/>
              <w:right w:type="dxa" w:w="100"/>
            </w:tcMar>
          </w:tcPr>
          <w:p>
            <w:r>
              <w:rPr>
                <w:b w:val="false"/>
                <w:bCs w:val="false"/>
                <w:sz w:val="18"/>
                <w:szCs w:val="18"/>
              </w:rPr>
              <w:t xml:space="preserve">In full, including Attachment A</w:t>
            </w:r>
          </w:p>
        </w:tc>
      </w:tr>
      <w:tr>
        <w:trPr>
          <w:tblHeader w:val="false"/>
        </w:trPr>
        <w:tc>
          <w:tcPr>
            <w:tcW w:type="dxa" w:w="3120"/>
            <w:tcMar>
              <w:top w:type="dxa" w:w="60"/>
              <w:left w:type="dxa" w:w="100"/>
              <w:bottom w:type="dxa" w:w="60"/>
              <w:right w:type="dxa" w:w="100"/>
            </w:tcMar>
          </w:tcPr>
          <w:p>
            <w:r>
              <w:rPr>
                <w:b w:val="false"/>
                <w:bCs w:val="false"/>
                <w:sz w:val="18"/>
                <w:szCs w:val="18"/>
              </w:rPr>
              <w:t xml:space="preserve">National AI Centre, Guidance for AI adoption: foundations</w:t>
            </w:r>
          </w:p>
        </w:tc>
        <w:tc>
          <w:tcPr>
            <w:tcW w:type="dxa" w:w="3120"/>
            <w:tcMar>
              <w:top w:type="dxa" w:w="60"/>
              <w:left w:type="dxa" w:w="100"/>
              <w:bottom w:type="dxa" w:w="60"/>
              <w:right w:type="dxa" w:w="100"/>
            </w:tcMar>
          </w:tcPr>
          <w:p>
            <w:r>
              <w:rPr>
                <w:b w:val="false"/>
                <w:bCs w:val="false"/>
                <w:sz w:val="18"/>
                <w:szCs w:val="18"/>
              </w:rPr>
              <w:t xml:space="preserve">October 2025</w:t>
            </w:r>
          </w:p>
        </w:tc>
        <w:tc>
          <w:tcPr>
            <w:tcW w:type="dxa" w:w="3120"/>
            <w:tcMar>
              <w:top w:type="dxa" w:w="60"/>
              <w:left w:type="dxa" w:w="100"/>
              <w:bottom w:type="dxa" w:w="60"/>
              <w:right w:type="dxa" w:w="100"/>
            </w:tcMar>
          </w:tcPr>
          <w:p>
            <w:r>
              <w:rPr>
                <w:b w:val="false"/>
                <w:bCs w:val="false"/>
                <w:sz w:val="18"/>
                <w:szCs w:val="18"/>
              </w:rPr>
              <w:t xml:space="preserve">In full</w:t>
            </w:r>
          </w:p>
        </w:tc>
      </w:tr>
      <w:tr>
        <w:trPr>
          <w:tblHeader w:val="false"/>
        </w:trPr>
        <w:tc>
          <w:tcPr>
            <w:tcW w:type="dxa" w:w="3120"/>
            <w:tcMar>
              <w:top w:type="dxa" w:w="60"/>
              <w:left w:type="dxa" w:w="100"/>
              <w:bottom w:type="dxa" w:w="60"/>
              <w:right w:type="dxa" w:w="100"/>
            </w:tcMar>
          </w:tcPr>
          <w:p>
            <w:r>
              <w:rPr>
                <w:b w:val="false"/>
                <w:bCs w:val="false"/>
                <w:sz w:val="18"/>
                <w:szCs w:val="18"/>
              </w:rPr>
              <w:t xml:space="preserve">National AI Centre, Guidance for AI adoption: implementation guidance</w:t>
            </w:r>
          </w:p>
        </w:tc>
        <w:tc>
          <w:tcPr>
            <w:tcW w:type="dxa" w:w="3120"/>
            <w:tcMar>
              <w:top w:type="dxa" w:w="60"/>
              <w:left w:type="dxa" w:w="100"/>
              <w:bottom w:type="dxa" w:w="60"/>
              <w:right w:type="dxa" w:w="100"/>
            </w:tcMar>
          </w:tcPr>
          <w:p>
            <w:r>
              <w:rPr>
                <w:b w:val="false"/>
                <w:bCs w:val="false"/>
                <w:sz w:val="18"/>
                <w:szCs w:val="18"/>
              </w:rPr>
              <w:t xml:space="preserve">October 2025 (published render)</w:t>
            </w:r>
          </w:p>
        </w:tc>
        <w:tc>
          <w:tcPr>
            <w:tcW w:type="dxa" w:w="3120"/>
            <w:tcMar>
              <w:top w:type="dxa" w:w="60"/>
              <w:left w:type="dxa" w:w="100"/>
              <w:bottom w:type="dxa" w:w="60"/>
              <w:right w:type="dxa" w:w="100"/>
            </w:tcMar>
          </w:tcPr>
          <w:p>
            <w:r>
              <w:rPr>
                <w:b w:val="false"/>
                <w:bCs w:val="false"/>
                <w:sz w:val="18"/>
                <w:szCs w:val="18"/>
              </w:rPr>
              <w:t xml:space="preserve">Introduction, risk attributes, laws table, practices 1 to 6, terms</w:t>
            </w:r>
          </w:p>
        </w:tc>
      </w:tr>
      <w:tr>
        <w:trPr>
          <w:tblHeader w:val="false"/>
        </w:trPr>
        <w:tc>
          <w:tcPr>
            <w:tcW w:type="dxa" w:w="3120"/>
            <w:tcMar>
              <w:top w:type="dxa" w:w="60"/>
              <w:left w:type="dxa" w:w="100"/>
              <w:bottom w:type="dxa" w:w="60"/>
              <w:right w:type="dxa" w:w="100"/>
            </w:tcMar>
          </w:tcPr>
          <w:p>
            <w:r>
              <w:rPr>
                <w:b w:val="false"/>
                <w:bCs w:val="false"/>
                <w:sz w:val="18"/>
                <w:szCs w:val="18"/>
              </w:rPr>
              <w:t xml:space="preserve">Department of Industry, Science and Resources, National AI Plan</w:t>
            </w:r>
          </w:p>
        </w:tc>
        <w:tc>
          <w:tcPr>
            <w:tcW w:type="dxa" w:w="3120"/>
            <w:tcMar>
              <w:top w:type="dxa" w:w="60"/>
              <w:left w:type="dxa" w:w="100"/>
              <w:bottom w:type="dxa" w:w="60"/>
              <w:right w:type="dxa" w:w="100"/>
            </w:tcMar>
          </w:tcPr>
          <w:p>
            <w:r>
              <w:rPr>
                <w:b w:val="false"/>
                <w:bCs w:val="false"/>
                <w:sz w:val="18"/>
                <w:szCs w:val="18"/>
              </w:rPr>
              <w:t xml:space="preserve">December 2025</w:t>
            </w:r>
          </w:p>
        </w:tc>
        <w:tc>
          <w:tcPr>
            <w:tcW w:type="dxa" w:w="3120"/>
            <w:tcMar>
              <w:top w:type="dxa" w:w="60"/>
              <w:left w:type="dxa" w:w="100"/>
              <w:bottom w:type="dxa" w:w="60"/>
              <w:right w:type="dxa" w:w="100"/>
            </w:tcMar>
          </w:tcPr>
          <w:p>
            <w:r>
              <w:rPr>
                <w:b w:val="false"/>
                <w:bCs w:val="false"/>
                <w:sz w:val="18"/>
                <w:szCs w:val="18"/>
              </w:rPr>
              <w:t xml:space="preserve">"Keep Australians Safe", Actions 7 and 8</w:t>
            </w:r>
          </w:p>
        </w:tc>
      </w:tr>
    </w:tbl>
    <w:p>
      <w:pPr>
        <w:spacing w:after="120"/>
      </w:pPr>
    </w:p>
    <w:p>
      <w:pPr>
        <w:spacing w:after="120"/>
      </w:pPr>
      <w:r>
        <w:t xml:space="preserve">A second copy of the implementation guidance, downloaded from the same site, was a draft render with placeholder front matter ("[ADD DOCUMENT TITLE]", "[ADD MONTH YEAR]") and is recorded in the source register as discarded at intake. Only the published render is relied on.</w:t>
      </w:r>
    </w:p>
    <w:p>
      <w:pPr>
        <w:pStyle w:val="Heading1"/>
        <w:spacing w:after="120" w:before="280"/>
      </w:pPr>
      <w:r>
        <w:rPr>
          <w:color w:val="2E74B5"/>
        </w:rPr>
        <w:t xml:space="preserve">2. Findings</w:t>
      </w:r>
    </w:p>
    <w:p>
      <w:pPr>
        <w:pStyle w:val="Heading2"/>
        <w:spacing w:after="100" w:before="200"/>
      </w:pPr>
      <w:r>
        <w:rPr>
          <w:color w:val="2E74B5"/>
        </w:rPr>
        <w:t xml:space="preserve">2.1 The compiled Act does not show the automated-decision duty</w:t>
      </w:r>
    </w:p>
    <w:p>
      <w:pPr>
        <w:spacing w:after="120"/>
      </w:pPr>
      <w:r>
        <w:t xml:space="preserve">Compilation No. 104 shows the law as in force on 4 June 2026. Uncommenced amendments are not shown in the text; they are recorded in the endnotes. Endnote 4 lists, for the Privacy and Other Legislation Amendment Act 2024, "sch 1 (items 87-89): 10 Dec 2026 (s 2(1) item 7)". Items 87 to 89 are Part 15, Automated decisions and privacy policies. So APP 1 in the compiled text ends at 1.6, and a reader who holds only the compilation would not find APP 1.7 to 1.9 at all. The text was read in the amending Act (Schedule 1, Part 15, item 88) and cross-checked against Attachment A of the OAIC issues paper, which reproduces it. The two agree word for word.</w:t>
      </w:r>
    </w:p>
    <w:p>
      <w:pPr>
        <w:pStyle w:val="Heading2"/>
        <w:spacing w:after="100" w:before="200"/>
      </w:pPr>
      <w:r>
        <w:rPr>
          <w:color w:val="2E74B5"/>
        </w:rPr>
        <w:t xml:space="preserve">2.2 The duty attaches to decisions, not to systems, and reaches back</w:t>
      </w:r>
    </w:p>
    <w:p>
      <w:pPr>
        <w:spacing w:after="120"/>
      </w:pPr>
      <w:r>
        <w:t xml:space="preserve">Item 89 of Schedule 1 to the amending Act provides that the amendment applies in relation to decisions made after commencement, whether the arrangement for the program was made, the use of personal information occurred, or the personal information was acquired or created before or after that commencement. Policy clause 1.3 and clause 4.4 state this. It is the reason the set treats the duty as a design requirement from today.</w:t>
      </w:r>
    </w:p>
    <w:p>
      <w:pPr>
        <w:pStyle w:val="Heading2"/>
        <w:spacing w:after="100" w:before="200"/>
      </w:pPr>
      <w:r>
        <w:rPr>
          <w:color w:val="2E74B5"/>
        </w:rPr>
        <w:t xml:space="preserve">2.3 The duty is disclosure only</w:t>
      </w:r>
    </w:p>
    <w:p>
      <w:pPr>
        <w:spacing w:after="120"/>
      </w:pPr>
      <w:r>
        <w:t xml:space="preserve">APP 1.7 requires the privacy policy to contain the APP 1.8 information. Nothing in Part 15 confers a right to an explanation, to human review, to contest the decision, or to be notified when a decision is made. The OAIC issues paper says so in terms, contrasting Western Australia's regime which does confer such rights (issues paper p. 10). Policy clause 13.3 records the gap and clause 14 fills it as a house standard.</w:t>
      </w:r>
    </w:p>
    <w:p>
      <w:pPr>
        <w:pStyle w:val="Heading2"/>
        <w:spacing w:after="100" w:before="200"/>
      </w:pPr>
      <w:r>
        <w:rPr>
          <w:color w:val="2E74B5"/>
        </w:rPr>
        <w:t xml:space="preserve">2.4 False information about a person is personal information</w:t>
      </w:r>
    </w:p>
    <w:p>
      <w:pPr>
        <w:spacing w:after="120"/>
      </w:pPr>
      <w:r>
        <w:t xml:space="preserve">Section 6(1) defines personal information as information or an opinion about an identified or reasonably identifiable individual, "whether the information or opinion is true or not". The OAIC's commercial AI guidance applies this to hallucinations and deepfakes expressly. Policy clause 1.2 and clause 7.3 rest on the definition, and the guidance is cited as the regulator's confirmation, not as the source of the rule.</w:t>
      </w:r>
    </w:p>
    <w:p>
      <w:pPr>
        <w:pStyle w:val="Heading2"/>
        <w:spacing w:after="100" w:before="200"/>
      </w:pPr>
      <w:r>
        <w:rPr>
          <w:color w:val="2E74B5"/>
        </w:rPr>
        <w:t xml:space="preserve">2.5 Generating or inferring personal information is a collection</w:t>
      </w:r>
    </w:p>
    <w:p>
      <w:pPr>
        <w:spacing w:after="120"/>
      </w:pPr>
      <w:r>
        <w:t xml:space="preserve">The OAIC's commercial AI guidance states that where an entity uses AI to infer or generate personal information, the Act treats this as a collection and APP 3 applies, including the reasonably-necessary test (APP 3.2), lawful and fair means (APP 3.5) and collection from the individual unless unreasonable or impracticable (APP 3.6(b)). This is the regulator's reading of the Act's broad concept of collection; the policy adopts it as the operating position (clause 7.2). It is guidance, and the register records it at that tier.</w:t>
      </w:r>
    </w:p>
    <w:p>
      <w:pPr>
        <w:pStyle w:val="Heading2"/>
        <w:spacing w:after="100" w:before="200"/>
      </w:pPr>
      <w:r>
        <w:rPr>
          <w:color w:val="2E74B5"/>
        </w:rPr>
        <w:t xml:space="preserve">2.6 There is no AI Act, and the government has said so</w:t>
      </w:r>
    </w:p>
    <w:p>
      <w:pPr>
        <w:spacing w:after="120"/>
      </w:pPr>
      <w:r>
        <w:t xml:space="preserve">The National AI Plan (December 2025), "Keep Australians Safe", p. 27: "The government's regulatory approach to AI will continue to build on Australia's robust existing legal and regulatory frameworks, ensuring that established laws remain the foundation for addressing and mitigating AI-related risks." Action 8 (p. 32) points organisations to the Guidance for AI Adoption's six essential practices. The Voluntary AI Safety Standard of September 2024 was superseded by that guidance on 21 October 2025 (the OAIC guidance, written in 2024, still refers to the Standard's ten guardrails; the set follows the current guidance). Policy clause 1.1 and clause 17.</w:t>
      </w:r>
    </w:p>
    <w:p>
      <w:pPr>
        <w:pStyle w:val="Heading2"/>
        <w:spacing w:after="100" w:before="200"/>
      </w:pPr>
      <w:r>
        <w:rPr>
          <w:color w:val="2E74B5"/>
        </w:rPr>
        <w:t xml:space="preserve">2.7 The statutory tort commenced on 10 June 2025</w:t>
      </w:r>
    </w:p>
    <w:p>
      <w:pPr>
        <w:spacing w:after="120"/>
      </w:pPr>
      <w:r>
        <w:t xml:space="preserve">Section 2 of the amending Act, table item 8: Schedule 2 commences on a day fixed by Proclamation or, failing that, the day after six months from Royal Assent; column 3 records 10 June 2025. Endnote 4 of the compilation agrees. The compiled Act now carries Schedule 2, Statutory Tort for Serious Invasions of Privacy; clause 7 states the cause of action. Policy clause 1.4 and clause 18.</w:t>
      </w:r>
    </w:p>
    <w:p>
      <w:pPr>
        <w:pStyle w:val="Heading2"/>
        <w:spacing w:after="100" w:before="200"/>
      </w:pPr>
      <w:r>
        <w:rPr>
          <w:color w:val="2E74B5"/>
        </w:rPr>
        <w:t xml:space="preserve">2.8 Technical and organisational measures are now in the security principle</w:t>
      </w:r>
    </w:p>
    <w:p>
      <w:pPr>
        <w:spacing w:after="120"/>
      </w:pPr>
      <w:r>
        <w:t xml:space="preserve">APP 11.3, inserted by Schedule 1 Part 5 of the amending Act (commenced 11 December 2024 under table item 2), provides that the reasonable steps in APP 11.1 and 11.2 include technical and organisational measures. Policy clause 9.1.</w:t>
      </w:r>
    </w:p>
    <w:p>
      <w:pPr>
        <w:pStyle w:val="Heading2"/>
        <w:spacing w:after="100" w:before="200"/>
      </w:pPr>
      <w:r>
        <w:rPr>
          <w:color w:val="2E74B5"/>
        </w:rPr>
        <w:t xml:space="preserve">2.9 Penalty tiers</w:t>
      </w:r>
    </w:p>
    <w:p>
      <w:pPr>
        <w:spacing w:after="120"/>
      </w:pPr>
      <w:r>
        <w:t xml:space="preserve">Section 13G(1): serious interference with privacy; s 13G(3) sets the body corporate maximum at the greater of $50,000,000, three times the benefit, or 30 per cent of adjusted turnover during the breach turnover period. Section 13H: interference with privacy, maximum 2,000 penalty units. Section 13K: infringement and compliance notices for breaches of listed APPs, to which item 87 of the amending Act adds APP 1.7 from 10 December 2026. Policy clause 4.1 states the structure without figures beyond the statutory maximum for s 13G, which the Act itself states in dollars.</w:t>
      </w:r>
    </w:p>
    <w:p>
      <w:pPr>
        <w:pStyle w:val="Heading2"/>
        <w:spacing w:after="100" w:before="200"/>
      </w:pPr>
      <w:r>
        <w:rPr>
          <w:color w:val="2E74B5"/>
        </w:rPr>
        <w:t xml:space="preserve">2.10 The employee records exemption and the decision not to rely on it</w:t>
      </w:r>
    </w:p>
    <w:p>
      <w:pPr>
        <w:spacing w:after="120"/>
      </w:pPr>
      <w:r>
        <w:t xml:space="preserve">Section 7B(3) exempts an act or practice of an employer directly related to a current or former employment relationship and an employee record. The set does not rely on it (policy clause 2.1.3). This is a house decision: the exemption is narrow, does not reach the tort, and the OAIC's recruitment example treats AI in hiring as within the Act's concerns. No provision of the Act is asserted to apply where the exemption applies; the policy applies its own standard.</w:t>
      </w:r>
    </w:p>
    <w:p>
      <w:pPr>
        <w:pStyle w:val="Heading2"/>
        <w:spacing w:after="100" w:before="200"/>
      </w:pPr>
      <w:r>
        <w:rPr>
          <w:color w:val="2E74B5"/>
        </w:rPr>
        <w:t xml:space="preserve">2.11 The regulator's transparency guidance is not final</w:t>
      </w:r>
    </w:p>
    <w:p>
      <w:pPr>
        <w:spacing w:after="120"/>
      </w:pPr>
      <w:r>
        <w:t xml:space="preserve">The OAIC issues paper (May 2026) states the OAIC intends to release guidance by September 2026, before commencement. It was not available at the time of writing. The set relies on the statutory text and on the Explanatory Memorandum passages the issues paper quotes (paras 336, 337, 343). The final guidance is an open verification (annex A3, source register).</w:t>
      </w:r>
    </w:p>
    <w:p>
      <w:pPr>
        <w:pStyle w:val="Heading1"/>
        <w:spacing w:after="120" w:before="280"/>
      </w:pPr>
      <w:r>
        <w:rPr>
          <w:color w:val="2E74B5"/>
        </w:rPr>
        <w:t xml:space="preserve">3. Clause-by-clause basis -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Clause</w:t>
            </w:r>
          </w:p>
        </w:tc>
        <w:tc>
          <w:tcPr>
            <w:tcW w:type="dxa" w:w="4680"/>
            <w:shd w:fill="DEEAF6" w:color="auto" w:val="clear"/>
            <w:tcMar>
              <w:top w:type="dxa" w:w="60"/>
              <w:left w:type="dxa" w:w="100"/>
              <w:bottom w:type="dxa" w:w="60"/>
              <w:right w:type="dxa" w:w="100"/>
            </w:tcMar>
          </w:tcPr>
          <w:p>
            <w:r>
              <w:rPr>
                <w:b/>
                <w:bCs/>
                <w:sz w:val="18"/>
                <w:szCs w:val="18"/>
              </w:rPr>
              <w:t xml:space="preserve">Rests on</w:t>
            </w:r>
          </w:p>
        </w:tc>
      </w:tr>
      <w:tr>
        <w:trPr>
          <w:tblHeader w:val="false"/>
        </w:trPr>
        <w:tc>
          <w:tcPr>
            <w:tcW w:type="dxa" w:w="4680"/>
            <w:tcMar>
              <w:top w:type="dxa" w:w="60"/>
              <w:left w:type="dxa" w:w="100"/>
              <w:bottom w:type="dxa" w:w="60"/>
              <w:right w:type="dxa" w:w="100"/>
            </w:tcMar>
          </w:tcPr>
          <w:p>
            <w:r>
              <w:rPr>
                <w:b w:val="false"/>
                <w:bCs w:val="false"/>
                <w:sz w:val="18"/>
                <w:szCs w:val="18"/>
              </w:rPr>
              <w:t xml:space="preserve">1.1</w:t>
            </w:r>
          </w:p>
        </w:tc>
        <w:tc>
          <w:tcPr>
            <w:tcW w:type="dxa" w:w="4680"/>
            <w:tcMar>
              <w:top w:type="dxa" w:w="60"/>
              <w:left w:type="dxa" w:w="100"/>
              <w:bottom w:type="dxa" w:w="60"/>
              <w:right w:type="dxa" w:w="100"/>
            </w:tcMar>
          </w:tcPr>
          <w:p>
            <w:r>
              <w:rPr>
                <w:b w:val="false"/>
                <w:bCs w:val="false"/>
                <w:sz w:val="18"/>
                <w:szCs w:val="18"/>
              </w:rPr>
              <w:t xml:space="preserve">National AI Plan pp. 27-28, 32; Guidance for AI adoption: foundations p. 2 (six practices; first update of VAISS)</w:t>
            </w:r>
          </w:p>
        </w:tc>
      </w:tr>
      <w:tr>
        <w:trPr>
          <w:tblHeader w:val="false"/>
        </w:trPr>
        <w:tc>
          <w:tcPr>
            <w:tcW w:type="dxa" w:w="4680"/>
            <w:tcMar>
              <w:top w:type="dxa" w:w="60"/>
              <w:left w:type="dxa" w:w="100"/>
              <w:bottom w:type="dxa" w:w="60"/>
              <w:right w:type="dxa" w:w="100"/>
            </w:tcMar>
          </w:tcPr>
          <w:p>
            <w:r>
              <w:rPr>
                <w:b w:val="false"/>
                <w:bCs w:val="false"/>
                <w:sz w:val="18"/>
                <w:szCs w:val="18"/>
              </w:rPr>
              <w:t xml:space="preserve">1.2</w:t>
            </w:r>
          </w:p>
        </w:tc>
        <w:tc>
          <w:tcPr>
            <w:tcW w:type="dxa" w:w="4680"/>
            <w:tcMar>
              <w:top w:type="dxa" w:w="60"/>
              <w:left w:type="dxa" w:w="100"/>
              <w:bottom w:type="dxa" w:w="60"/>
              <w:right w:type="dxa" w:w="100"/>
            </w:tcMar>
          </w:tcPr>
          <w:p>
            <w:r>
              <w:rPr>
                <w:b w:val="false"/>
                <w:bCs w:val="false"/>
                <w:sz w:val="18"/>
                <w:szCs w:val="18"/>
              </w:rPr>
              <w:t xml:space="preserve">Privacy Act s 6(1) "personal information"; OAIC commercial AI guidance, "What is personal information?", "Can we use an AI product to generate or infer personal information?"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1.3</w:t>
            </w:r>
          </w:p>
        </w:tc>
        <w:tc>
          <w:tcPr>
            <w:tcW w:type="dxa" w:w="4680"/>
            <w:tcMar>
              <w:top w:type="dxa" w:w="60"/>
              <w:left w:type="dxa" w:w="100"/>
              <w:bottom w:type="dxa" w:w="60"/>
              <w:right w:type="dxa" w:w="100"/>
            </w:tcMar>
          </w:tcPr>
          <w:p>
            <w:r>
              <w:rPr>
                <w:b w:val="false"/>
                <w:bCs w:val="false"/>
                <w:sz w:val="18"/>
                <w:szCs w:val="18"/>
              </w:rPr>
              <w:t xml:space="preserve">Amending Act Sch 1 items 88 (APP 1.7-1.9) and 89 (application); s 2 table item 7 (10 December 2026)</w:t>
            </w:r>
          </w:p>
        </w:tc>
      </w:tr>
      <w:tr>
        <w:trPr>
          <w:tblHeader w:val="false"/>
        </w:trPr>
        <w:tc>
          <w:tcPr>
            <w:tcW w:type="dxa" w:w="4680"/>
            <w:tcMar>
              <w:top w:type="dxa" w:w="60"/>
              <w:left w:type="dxa" w:w="100"/>
              <w:bottom w:type="dxa" w:w="60"/>
              <w:right w:type="dxa" w:w="100"/>
            </w:tcMar>
          </w:tcPr>
          <w:p>
            <w:r>
              <w:rPr>
                <w:b w:val="false"/>
                <w:bCs w:val="false"/>
                <w:sz w:val="18"/>
                <w:szCs w:val="18"/>
              </w:rPr>
              <w:t xml:space="preserve">1.4</w:t>
            </w:r>
          </w:p>
        </w:tc>
        <w:tc>
          <w:tcPr>
            <w:tcW w:type="dxa" w:w="4680"/>
            <w:tcMar>
              <w:top w:type="dxa" w:w="60"/>
              <w:left w:type="dxa" w:w="100"/>
              <w:bottom w:type="dxa" w:w="60"/>
              <w:right w:type="dxa" w:w="100"/>
            </w:tcMar>
          </w:tcPr>
          <w:p>
            <w:r>
              <w:rPr>
                <w:b w:val="false"/>
                <w:bCs w:val="false"/>
                <w:sz w:val="18"/>
                <w:szCs w:val="18"/>
              </w:rPr>
              <w:t xml:space="preserve">Amending Act s 2 table item 8; Privacy Act Sch 2 cl 7(1)-(2)</w:t>
            </w:r>
          </w:p>
        </w:tc>
      </w:tr>
      <w:tr>
        <w:trPr>
          <w:tblHeader w:val="false"/>
        </w:trPr>
        <w:tc>
          <w:tcPr>
            <w:tcW w:type="dxa" w:w="4680"/>
            <w:tcMar>
              <w:top w:type="dxa" w:w="60"/>
              <w:left w:type="dxa" w:w="100"/>
              <w:bottom w:type="dxa" w:w="60"/>
              <w:right w:type="dxa" w:w="100"/>
            </w:tcMar>
          </w:tcPr>
          <w:p>
            <w:r>
              <w:rPr>
                <w:b w:val="false"/>
                <w:bCs w:val="false"/>
                <w:sz w:val="18"/>
                <w:szCs w:val="18"/>
              </w:rPr>
              <w:t xml:space="preserve">2.1.1</w:t>
            </w:r>
          </w:p>
        </w:tc>
        <w:tc>
          <w:tcPr>
            <w:tcW w:type="dxa" w:w="4680"/>
            <w:tcMar>
              <w:top w:type="dxa" w:w="60"/>
              <w:left w:type="dxa" w:w="100"/>
              <w:bottom w:type="dxa" w:w="60"/>
              <w:right w:type="dxa" w:w="100"/>
            </w:tcMar>
          </w:tcPr>
          <w:p>
            <w:r>
              <w:rPr>
                <w:b w:val="false"/>
                <w:bCs w:val="false"/>
                <w:sz w:val="18"/>
                <w:szCs w:val="18"/>
              </w:rPr>
              <w:t xml:space="preserve">Privacy Act s 6D(1)-(4) (small business, $3,000,000 turnover; exclusions in s 6D(4)(b)-(d)); s 6(1) "APP entity", "organisation"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2.1.2</w:t>
            </w:r>
          </w:p>
        </w:tc>
        <w:tc>
          <w:tcPr>
            <w:tcW w:type="dxa" w:w="4680"/>
            <w:tcMar>
              <w:top w:type="dxa" w:w="60"/>
              <w:left w:type="dxa" w:w="100"/>
              <w:bottom w:type="dxa" w:w="60"/>
              <w:right w:type="dxa" w:w="100"/>
            </w:tcMar>
          </w:tcPr>
          <w:p>
            <w:r>
              <w:rPr>
                <w:b w:val="false"/>
                <w:bCs w:val="false"/>
                <w:sz w:val="18"/>
                <w:szCs w:val="18"/>
              </w:rPr>
              <w:t xml:space="preserve">Privacy Act s 5B(1A)-(2) (Australian link)</w:t>
            </w:r>
          </w:p>
        </w:tc>
      </w:tr>
      <w:tr>
        <w:trPr>
          <w:tblHeader w:val="false"/>
        </w:trPr>
        <w:tc>
          <w:tcPr>
            <w:tcW w:type="dxa" w:w="4680"/>
            <w:tcMar>
              <w:top w:type="dxa" w:w="60"/>
              <w:left w:type="dxa" w:w="100"/>
              <w:bottom w:type="dxa" w:w="60"/>
              <w:right w:type="dxa" w:w="100"/>
            </w:tcMar>
          </w:tcPr>
          <w:p>
            <w:r>
              <w:rPr>
                <w:b w:val="false"/>
                <w:bCs w:val="false"/>
                <w:sz w:val="18"/>
                <w:szCs w:val="18"/>
              </w:rPr>
              <w:t xml:space="preserve">2.1.3</w:t>
            </w:r>
          </w:p>
        </w:tc>
        <w:tc>
          <w:tcPr>
            <w:tcW w:type="dxa" w:w="4680"/>
            <w:tcMar>
              <w:top w:type="dxa" w:w="60"/>
              <w:left w:type="dxa" w:w="100"/>
              <w:bottom w:type="dxa" w:w="60"/>
              <w:right w:type="dxa" w:w="100"/>
            </w:tcMar>
          </w:tcPr>
          <w:p>
            <w:r>
              <w:rPr>
                <w:b w:val="false"/>
                <w:bCs w:val="false"/>
                <w:sz w:val="18"/>
                <w:szCs w:val="18"/>
              </w:rPr>
              <w:t xml:space="preserve">Privacy Act s 7B(3); house decision, finding 2.10</w:t>
            </w:r>
          </w:p>
        </w:tc>
      </w:tr>
      <w:tr>
        <w:trPr>
          <w:tblHeader w:val="false"/>
        </w:trPr>
        <w:tc>
          <w:tcPr>
            <w:tcW w:type="dxa" w:w="4680"/>
            <w:tcMar>
              <w:top w:type="dxa" w:w="60"/>
              <w:left w:type="dxa" w:w="100"/>
              <w:bottom w:type="dxa" w:w="60"/>
              <w:right w:type="dxa" w:w="100"/>
            </w:tcMar>
          </w:tcPr>
          <w:p>
            <w:r>
              <w:rPr>
                <w:b w:val="false"/>
                <w:bCs w:val="false"/>
                <w:sz w:val="18"/>
                <w:szCs w:val="18"/>
              </w:rPr>
              <w:t xml:space="preserve">3.2</w:t>
            </w:r>
          </w:p>
        </w:tc>
        <w:tc>
          <w:tcPr>
            <w:tcW w:type="dxa" w:w="4680"/>
            <w:tcMar>
              <w:top w:type="dxa" w:w="60"/>
              <w:left w:type="dxa" w:w="100"/>
              <w:bottom w:type="dxa" w:w="60"/>
              <w:right w:type="dxa" w:w="100"/>
            </w:tcMar>
          </w:tcPr>
          <w:p>
            <w:r>
              <w:rPr>
                <w:b w:val="false"/>
                <w:bCs w:val="false"/>
                <w:sz w:val="18"/>
                <w:szCs w:val="18"/>
              </w:rPr>
              <w:t xml:space="preserve">APP 1.2 (practices, procedures and systems); OAIC commercial AI guidance, "What should organisations consider when selecting an AI product?" and Checklist 1</w:t>
            </w:r>
          </w:p>
        </w:tc>
      </w:tr>
      <w:tr>
        <w:trPr>
          <w:tblHeader w:val="false"/>
        </w:trPr>
        <w:tc>
          <w:tcPr>
            <w:tcW w:type="dxa" w:w="4680"/>
            <w:tcMar>
              <w:top w:type="dxa" w:w="60"/>
              <w:left w:type="dxa" w:w="100"/>
              <w:bottom w:type="dxa" w:w="60"/>
              <w:right w:type="dxa" w:w="100"/>
            </w:tcMar>
          </w:tcPr>
          <w:p>
            <w:r>
              <w:rPr>
                <w:b w:val="false"/>
                <w:bCs w:val="false"/>
                <w:sz w:val="18"/>
                <w:szCs w:val="18"/>
              </w:rPr>
              <w:t xml:space="preserve">3.4</w:t>
            </w:r>
          </w:p>
        </w:tc>
        <w:tc>
          <w:tcPr>
            <w:tcW w:type="dxa" w:w="4680"/>
            <w:tcMar>
              <w:top w:type="dxa" w:w="60"/>
              <w:left w:type="dxa" w:w="100"/>
              <w:bottom w:type="dxa" w:w="60"/>
              <w:right w:type="dxa" w:w="100"/>
            </w:tcMar>
          </w:tcPr>
          <w:p>
            <w:r>
              <w:rPr>
                <w:b w:val="false"/>
                <w:bCs w:val="false"/>
                <w:sz w:val="18"/>
                <w:szCs w:val="18"/>
              </w:rPr>
              <w:t xml:space="preserve">OAIC commercial AI guidance, top five takeaways item 5 and "Can we input personal information into an AI system?" (best-practice recommendation, made a rule here)</w:t>
            </w:r>
          </w:p>
        </w:tc>
      </w:tr>
      <w:tr>
        <w:trPr>
          <w:tblHeader w:val="false"/>
        </w:trPr>
        <w:tc>
          <w:tcPr>
            <w:tcW w:type="dxa" w:w="4680"/>
            <w:tcMar>
              <w:top w:type="dxa" w:w="60"/>
              <w:left w:type="dxa" w:w="100"/>
              <w:bottom w:type="dxa" w:w="60"/>
              <w:right w:type="dxa" w:w="100"/>
            </w:tcMar>
          </w:tcPr>
          <w:p>
            <w:r>
              <w:rPr>
                <w:b w:val="false"/>
                <w:bCs w:val="false"/>
                <w:sz w:val="18"/>
                <w:szCs w:val="18"/>
              </w:rPr>
              <w:t xml:space="preserve">4.1</w:t>
            </w:r>
          </w:p>
        </w:tc>
        <w:tc>
          <w:tcPr>
            <w:tcW w:type="dxa" w:w="4680"/>
            <w:tcMar>
              <w:top w:type="dxa" w:w="60"/>
              <w:left w:type="dxa" w:w="100"/>
              <w:bottom w:type="dxa" w:w="60"/>
              <w:right w:type="dxa" w:w="100"/>
            </w:tcMar>
          </w:tcPr>
          <w:p>
            <w:r>
              <w:rPr>
                <w:b w:val="false"/>
                <w:bCs w:val="false"/>
                <w:sz w:val="18"/>
                <w:szCs w:val="18"/>
              </w:rPr>
              <w:t xml:space="preserve">APPs 1-13; APP 11.3; Part IIIC; Sch 2; ss 13G, 13H, 13K</w:t>
            </w:r>
          </w:p>
        </w:tc>
      </w:tr>
      <w:tr>
        <w:trPr>
          <w:tblHeader w:val="false"/>
        </w:trPr>
        <w:tc>
          <w:tcPr>
            <w:tcW w:type="dxa" w:w="4680"/>
            <w:tcMar>
              <w:top w:type="dxa" w:w="60"/>
              <w:left w:type="dxa" w:w="100"/>
              <w:bottom w:type="dxa" w:w="60"/>
              <w:right w:type="dxa" w:w="100"/>
            </w:tcMar>
          </w:tcPr>
          <w:p>
            <w:r>
              <w:rPr>
                <w:b w:val="false"/>
                <w:bCs w:val="false"/>
                <w:sz w:val="18"/>
                <w:szCs w:val="18"/>
              </w:rPr>
              <w:t xml:space="preserve">4.2</w:t>
            </w:r>
          </w:p>
        </w:tc>
        <w:tc>
          <w:tcPr>
            <w:tcW w:type="dxa" w:w="4680"/>
            <w:tcMar>
              <w:top w:type="dxa" w:w="60"/>
              <w:left w:type="dxa" w:w="100"/>
              <w:bottom w:type="dxa" w:w="60"/>
              <w:right w:type="dxa" w:w="100"/>
            </w:tcMar>
          </w:tcPr>
          <w:p>
            <w:r>
              <w:rPr>
                <w:b w:val="false"/>
                <w:bCs w:val="false"/>
                <w:sz w:val="18"/>
                <w:szCs w:val="18"/>
              </w:rPr>
              <w:t xml:space="preserve">Amending Act s 2 item 7; Privacy Act s 26GC(1) and amending Act Sch 1 Part 4 (s 26GC(10): register within 24 months of Royal Assent)</w:t>
            </w:r>
          </w:p>
        </w:tc>
      </w:tr>
      <w:tr>
        <w:trPr>
          <w:tblHeader w:val="false"/>
        </w:trPr>
        <w:tc>
          <w:tcPr>
            <w:tcW w:type="dxa" w:w="4680"/>
            <w:tcMar>
              <w:top w:type="dxa" w:w="60"/>
              <w:left w:type="dxa" w:w="100"/>
              <w:bottom w:type="dxa" w:w="60"/>
              <w:right w:type="dxa" w:w="100"/>
            </w:tcMar>
          </w:tcPr>
          <w:p>
            <w:r>
              <w:rPr>
                <w:b w:val="false"/>
                <w:bCs w:val="false"/>
                <w:sz w:val="18"/>
                <w:szCs w:val="18"/>
              </w:rPr>
              <w:t xml:space="preserve">4.3</w:t>
            </w:r>
          </w:p>
        </w:tc>
        <w:tc>
          <w:tcPr>
            <w:tcW w:type="dxa" w:w="4680"/>
            <w:tcMar>
              <w:top w:type="dxa" w:w="60"/>
              <w:left w:type="dxa" w:w="100"/>
              <w:bottom w:type="dxa" w:w="60"/>
              <w:right w:type="dxa" w:w="100"/>
            </w:tcMar>
          </w:tcPr>
          <w:p>
            <w:r>
              <w:rPr>
                <w:b w:val="false"/>
                <w:bCs w:val="false"/>
                <w:sz w:val="18"/>
                <w:szCs w:val="18"/>
              </w:rPr>
              <w:t xml:space="preserve">Instruments held, section 1 above; guidance tier</w:t>
            </w:r>
          </w:p>
        </w:tc>
      </w:tr>
      <w:tr>
        <w:trPr>
          <w:tblHeader w:val="false"/>
        </w:trPr>
        <w:tc>
          <w:tcPr>
            <w:tcW w:type="dxa" w:w="4680"/>
            <w:tcMar>
              <w:top w:type="dxa" w:w="60"/>
              <w:left w:type="dxa" w:w="100"/>
              <w:bottom w:type="dxa" w:w="60"/>
              <w:right w:type="dxa" w:w="100"/>
            </w:tcMar>
          </w:tcPr>
          <w:p>
            <w:r>
              <w:rPr>
                <w:b w:val="false"/>
                <w:bCs w:val="false"/>
                <w:sz w:val="18"/>
                <w:szCs w:val="18"/>
              </w:rPr>
              <w:t xml:space="preserve">4.4</w:t>
            </w:r>
          </w:p>
        </w:tc>
        <w:tc>
          <w:tcPr>
            <w:tcW w:type="dxa" w:w="4680"/>
            <w:tcMar>
              <w:top w:type="dxa" w:w="60"/>
              <w:left w:type="dxa" w:w="100"/>
              <w:bottom w:type="dxa" w:w="60"/>
              <w:right w:type="dxa" w:w="100"/>
            </w:tcMar>
          </w:tcPr>
          <w:p>
            <w:r>
              <w:rPr>
                <w:b w:val="false"/>
                <w:bCs w:val="false"/>
                <w:sz w:val="18"/>
                <w:szCs w:val="18"/>
              </w:rPr>
              <w:t xml:space="preserve">Amending Act Sch 1 item 89</w:t>
            </w:r>
          </w:p>
        </w:tc>
      </w:tr>
      <w:tr>
        <w:trPr>
          <w:tblHeader w:val="false"/>
        </w:trPr>
        <w:tc>
          <w:tcPr>
            <w:tcW w:type="dxa" w:w="4680"/>
            <w:tcMar>
              <w:top w:type="dxa" w:w="60"/>
              <w:left w:type="dxa" w:w="100"/>
              <w:bottom w:type="dxa" w:w="60"/>
              <w:right w:type="dxa" w:w="100"/>
            </w:tcMar>
          </w:tcPr>
          <w:p>
            <w:r>
              <w:rPr>
                <w:b w:val="false"/>
                <w:bCs w:val="false"/>
                <w:sz w:val="18"/>
                <w:szCs w:val="18"/>
              </w:rPr>
              <w:t xml:space="preserve">5</w:t>
            </w:r>
          </w:p>
        </w:tc>
        <w:tc>
          <w:tcPr>
            <w:tcW w:type="dxa" w:w="4680"/>
            <w:tcMar>
              <w:top w:type="dxa" w:w="60"/>
              <w:left w:type="dxa" w:w="100"/>
              <w:bottom w:type="dxa" w:w="60"/>
              <w:right w:type="dxa" w:w="100"/>
            </w:tcMar>
          </w:tcPr>
          <w:p>
            <w:r>
              <w:rPr>
                <w:b w:val="false"/>
                <w:bCs w:val="false"/>
                <w:sz w:val="18"/>
                <w:szCs w:val="18"/>
              </w:rPr>
              <w:t xml:space="preserve">House classification. Sensitive information list: s 6(1) "sensitive information". Level 4 test: APP 1.7</w:t>
            </w:r>
          </w:p>
        </w:tc>
      </w:tr>
      <w:tr>
        <w:trPr>
          <w:tblHeader w:val="false"/>
        </w:trPr>
        <w:tc>
          <w:tcPr>
            <w:tcW w:type="dxa" w:w="4680"/>
            <w:tcMar>
              <w:top w:type="dxa" w:w="60"/>
              <w:left w:type="dxa" w:w="100"/>
              <w:bottom w:type="dxa" w:w="60"/>
              <w:right w:type="dxa" w:w="100"/>
            </w:tcMar>
          </w:tcPr>
          <w:p>
            <w:r>
              <w:rPr>
                <w:b w:val="false"/>
                <w:bCs w:val="false"/>
                <w:sz w:val="18"/>
                <w:szCs w:val="18"/>
              </w:rPr>
              <w:t xml:space="preserve">6.2</w:t>
            </w:r>
          </w:p>
        </w:tc>
        <w:tc>
          <w:tcPr>
            <w:tcW w:type="dxa" w:w="4680"/>
            <w:tcMar>
              <w:top w:type="dxa" w:w="60"/>
              <w:left w:type="dxa" w:w="100"/>
              <w:bottom w:type="dxa" w:w="60"/>
              <w:right w:type="dxa" w:w="100"/>
            </w:tcMar>
          </w:tcPr>
          <w:p>
            <w:r>
              <w:rPr>
                <w:b w:val="false"/>
                <w:bCs w:val="false"/>
                <w:sz w:val="18"/>
                <w:szCs w:val="18"/>
              </w:rPr>
              <w:t xml:space="preserve">APP 3.3 (sensitive information), APP 3.5 (lawful and fair), Sch 2 (tort); remaining items house standards</w:t>
            </w:r>
          </w:p>
        </w:tc>
      </w:tr>
      <w:tr>
        <w:trPr>
          <w:tblHeader w:val="false"/>
        </w:trPr>
        <w:tc>
          <w:tcPr>
            <w:tcW w:type="dxa" w:w="4680"/>
            <w:tcMar>
              <w:top w:type="dxa" w:w="60"/>
              <w:left w:type="dxa" w:w="100"/>
              <w:bottom w:type="dxa" w:w="60"/>
              <w:right w:type="dxa" w:w="100"/>
            </w:tcMar>
          </w:tcPr>
          <w:p>
            <w:r>
              <w:rPr>
                <w:b w:val="false"/>
                <w:bCs w:val="false"/>
                <w:sz w:val="18"/>
                <w:szCs w:val="18"/>
              </w:rPr>
              <w:t xml:space="preserve">7.1.1</w:t>
            </w:r>
          </w:p>
        </w:tc>
        <w:tc>
          <w:tcPr>
            <w:tcW w:type="dxa" w:w="4680"/>
            <w:tcMar>
              <w:top w:type="dxa" w:w="60"/>
              <w:left w:type="dxa" w:w="100"/>
              <w:bottom w:type="dxa" w:w="60"/>
              <w:right w:type="dxa" w:w="100"/>
            </w:tcMar>
          </w:tcPr>
          <w:p>
            <w:r>
              <w:rPr>
                <w:b w:val="false"/>
                <w:bCs w:val="false"/>
                <w:sz w:val="18"/>
                <w:szCs w:val="18"/>
              </w:rPr>
              <w:t xml:space="preserve">OAIC commercial AI guidance, "What are the requirements of APP 6?" (use where within effective control; disclosure where released)</w:t>
            </w:r>
          </w:p>
        </w:tc>
      </w:tr>
      <w:tr>
        <w:trPr>
          <w:tblHeader w:val="false"/>
        </w:trPr>
        <w:tc>
          <w:tcPr>
            <w:tcW w:type="dxa" w:w="4680"/>
            <w:tcMar>
              <w:top w:type="dxa" w:w="60"/>
              <w:left w:type="dxa" w:w="100"/>
              <w:bottom w:type="dxa" w:w="60"/>
              <w:right w:type="dxa" w:w="100"/>
            </w:tcMar>
          </w:tcPr>
          <w:p>
            <w:r>
              <w:rPr>
                <w:b w:val="false"/>
                <w:bCs w:val="false"/>
                <w:sz w:val="18"/>
                <w:szCs w:val="18"/>
              </w:rPr>
              <w:t xml:space="preserve">7.1.2</w:t>
            </w:r>
          </w:p>
        </w:tc>
        <w:tc>
          <w:tcPr>
            <w:tcW w:type="dxa" w:w="4680"/>
            <w:tcMar>
              <w:top w:type="dxa" w:w="60"/>
              <w:left w:type="dxa" w:w="100"/>
              <w:bottom w:type="dxa" w:w="60"/>
              <w:right w:type="dxa" w:w="100"/>
            </w:tcMar>
          </w:tcPr>
          <w:p>
            <w:r>
              <w:rPr>
                <w:b w:val="false"/>
                <w:bCs w:val="false"/>
                <w:sz w:val="18"/>
                <w:szCs w:val="18"/>
              </w:rPr>
              <w:t xml:space="preserve">APP 6.1, 6.2(a)(i)-(ii)</w:t>
            </w:r>
          </w:p>
        </w:tc>
      </w:tr>
      <w:tr>
        <w:trPr>
          <w:tblHeader w:val="false"/>
        </w:trPr>
        <w:tc>
          <w:tcPr>
            <w:tcW w:type="dxa" w:w="4680"/>
            <w:tcMar>
              <w:top w:type="dxa" w:w="60"/>
              <w:left w:type="dxa" w:w="100"/>
              <w:bottom w:type="dxa" w:w="60"/>
              <w:right w:type="dxa" w:w="100"/>
            </w:tcMar>
          </w:tcPr>
          <w:p>
            <w:r>
              <w:rPr>
                <w:b w:val="false"/>
                <w:bCs w:val="false"/>
                <w:sz w:val="18"/>
                <w:szCs w:val="18"/>
              </w:rPr>
              <w:t xml:space="preserve">7.1.3</w:t>
            </w:r>
          </w:p>
        </w:tc>
        <w:tc>
          <w:tcPr>
            <w:tcW w:type="dxa" w:w="4680"/>
            <w:tcMar>
              <w:top w:type="dxa" w:w="60"/>
              <w:left w:type="dxa" w:w="100"/>
              <w:bottom w:type="dxa" w:w="60"/>
              <w:right w:type="dxa" w:w="100"/>
            </w:tcMar>
          </w:tcPr>
          <w:p>
            <w:r>
              <w:rPr>
                <w:b w:val="false"/>
                <w:bCs w:val="false"/>
                <w:sz w:val="18"/>
                <w:szCs w:val="18"/>
              </w:rPr>
              <w:t xml:space="preserve">OAIC commercial AI guidance, example on primary purpose construed narrowly; "When will an individual reasonably expect a secondary use"</w:t>
            </w:r>
          </w:p>
        </w:tc>
      </w:tr>
      <w:tr>
        <w:trPr>
          <w:tblHeader w:val="false"/>
        </w:trPr>
        <w:tc>
          <w:tcPr>
            <w:tcW w:type="dxa" w:w="4680"/>
            <w:tcMar>
              <w:top w:type="dxa" w:w="60"/>
              <w:left w:type="dxa" w:w="100"/>
              <w:bottom w:type="dxa" w:w="60"/>
              <w:right w:type="dxa" w:w="100"/>
            </w:tcMar>
          </w:tcPr>
          <w:p>
            <w:r>
              <w:rPr>
                <w:b w:val="false"/>
                <w:bCs w:val="false"/>
                <w:sz w:val="18"/>
                <w:szCs w:val="18"/>
              </w:rPr>
              <w:t xml:space="preserve">7.1.4</w:t>
            </w:r>
          </w:p>
        </w:tc>
        <w:tc>
          <w:tcPr>
            <w:tcW w:type="dxa" w:w="4680"/>
            <w:tcMar>
              <w:top w:type="dxa" w:w="60"/>
              <w:left w:type="dxa" w:w="100"/>
              <w:bottom w:type="dxa" w:w="60"/>
              <w:right w:type="dxa" w:w="100"/>
            </w:tcMar>
          </w:tcPr>
          <w:p>
            <w:r>
              <w:rPr>
                <w:b w:val="false"/>
                <w:bCs w:val="false"/>
                <w:sz w:val="18"/>
                <w:szCs w:val="18"/>
              </w:rPr>
              <w:t xml:space="preserve">OAIC commercial AI guidance, same section (seek consent and/or opt-out); OAIC training guidance, "Consent" (four elements)</w:t>
            </w:r>
          </w:p>
        </w:tc>
      </w:tr>
      <w:tr>
        <w:trPr>
          <w:tblHeader w:val="false"/>
        </w:trPr>
        <w:tc>
          <w:tcPr>
            <w:tcW w:type="dxa" w:w="4680"/>
            <w:tcMar>
              <w:top w:type="dxa" w:w="60"/>
              <w:left w:type="dxa" w:w="100"/>
              <w:bottom w:type="dxa" w:w="60"/>
              <w:right w:type="dxa" w:w="100"/>
            </w:tcMar>
          </w:tcPr>
          <w:p>
            <w:r>
              <w:rPr>
                <w:b w:val="false"/>
                <w:bCs w:val="false"/>
                <w:sz w:val="18"/>
                <w:szCs w:val="18"/>
              </w:rPr>
              <w:t xml:space="preserve">7.1.5</w:t>
            </w:r>
          </w:p>
        </w:tc>
        <w:tc>
          <w:tcPr>
            <w:tcW w:type="dxa" w:w="4680"/>
            <w:tcMar>
              <w:top w:type="dxa" w:w="60"/>
              <w:left w:type="dxa" w:w="100"/>
              <w:bottom w:type="dxa" w:w="60"/>
              <w:right w:type="dxa" w:w="100"/>
            </w:tcMar>
          </w:tcPr>
          <w:p>
            <w:r>
              <w:rPr>
                <w:b w:val="false"/>
                <w:bCs w:val="false"/>
                <w:sz w:val="18"/>
                <w:szCs w:val="18"/>
              </w:rPr>
              <w:t xml:space="preserve">OAIC commercial AI guidance (minimum information; privacy-preserving techniques)</w:t>
            </w:r>
          </w:p>
        </w:tc>
      </w:tr>
      <w:tr>
        <w:trPr>
          <w:tblHeader w:val="false"/>
        </w:trPr>
        <w:tc>
          <w:tcPr>
            <w:tcW w:type="dxa" w:w="4680"/>
            <w:tcMar>
              <w:top w:type="dxa" w:w="60"/>
              <w:left w:type="dxa" w:w="100"/>
              <w:bottom w:type="dxa" w:w="60"/>
              <w:right w:type="dxa" w:w="100"/>
            </w:tcMar>
          </w:tcPr>
          <w:p>
            <w:r>
              <w:rPr>
                <w:b w:val="false"/>
                <w:bCs w:val="false"/>
                <w:sz w:val="18"/>
                <w:szCs w:val="18"/>
              </w:rPr>
              <w:t xml:space="preserve">7.2.1</w:t>
            </w:r>
          </w:p>
        </w:tc>
        <w:tc>
          <w:tcPr>
            <w:tcW w:type="dxa" w:w="4680"/>
            <w:tcMar>
              <w:top w:type="dxa" w:w="60"/>
              <w:left w:type="dxa" w:w="100"/>
              <w:bottom w:type="dxa" w:w="60"/>
              <w:right w:type="dxa" w:w="100"/>
            </w:tcMar>
          </w:tcPr>
          <w:p>
            <w:r>
              <w:rPr>
                <w:b w:val="false"/>
                <w:bCs w:val="false"/>
                <w:sz w:val="18"/>
                <w:szCs w:val="18"/>
              </w:rPr>
              <w:t xml:space="preserve">APP 3.2, 3.5, 3.6(b); OAIC commercial AI guidance, "Can we use an AI product to generate or infer personal information?"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7.2.2</w:t>
            </w:r>
          </w:p>
        </w:tc>
        <w:tc>
          <w:tcPr>
            <w:tcW w:type="dxa" w:w="4680"/>
            <w:tcMar>
              <w:top w:type="dxa" w:w="60"/>
              <w:left w:type="dxa" w:w="100"/>
              <w:bottom w:type="dxa" w:w="60"/>
              <w:right w:type="dxa" w:w="100"/>
            </w:tcMar>
          </w:tcPr>
          <w:p>
            <w:r>
              <w:rPr>
                <w:b w:val="false"/>
                <w:bCs w:val="false"/>
                <w:sz w:val="18"/>
                <w:szCs w:val="18"/>
              </w:rPr>
              <w:t xml:space="preserve">APP 4.3 by analogy and OAIC guidance ("will need to be destroyed or de-identified")</w:t>
            </w:r>
          </w:p>
        </w:tc>
      </w:tr>
      <w:tr>
        <w:trPr>
          <w:tblHeader w:val="false"/>
        </w:trPr>
        <w:tc>
          <w:tcPr>
            <w:tcW w:type="dxa" w:w="4680"/>
            <w:tcMar>
              <w:top w:type="dxa" w:w="60"/>
              <w:left w:type="dxa" w:w="100"/>
              <w:bottom w:type="dxa" w:w="60"/>
              <w:right w:type="dxa" w:w="100"/>
            </w:tcMar>
          </w:tcPr>
          <w:p>
            <w:r>
              <w:rPr>
                <w:b w:val="false"/>
                <w:bCs w:val="false"/>
                <w:sz w:val="18"/>
                <w:szCs w:val="18"/>
              </w:rPr>
              <w:t xml:space="preserve">7.2.3</w:t>
            </w:r>
          </w:p>
        </w:tc>
        <w:tc>
          <w:tcPr>
            <w:tcW w:type="dxa" w:w="4680"/>
            <w:tcMar>
              <w:top w:type="dxa" w:w="60"/>
              <w:left w:type="dxa" w:w="100"/>
              <w:bottom w:type="dxa" w:w="60"/>
              <w:right w:type="dxa" w:w="100"/>
            </w:tcMar>
          </w:tcPr>
          <w:p>
            <w:r>
              <w:rPr>
                <w:b w:val="false"/>
                <w:bCs w:val="false"/>
                <w:sz w:val="18"/>
                <w:szCs w:val="18"/>
              </w:rPr>
              <w:t xml:space="preserve">OAIC commercial AI guidance, "What will constitute lawful and fair means?" (covert collection usually unfair)</w:t>
            </w:r>
          </w:p>
        </w:tc>
      </w:tr>
      <w:tr>
        <w:trPr>
          <w:tblHeader w:val="false"/>
        </w:trPr>
        <w:tc>
          <w:tcPr>
            <w:tcW w:type="dxa" w:w="4680"/>
            <w:tcMar>
              <w:top w:type="dxa" w:w="60"/>
              <w:left w:type="dxa" w:w="100"/>
              <w:bottom w:type="dxa" w:w="60"/>
              <w:right w:type="dxa" w:w="100"/>
            </w:tcMar>
          </w:tcPr>
          <w:p>
            <w:r>
              <w:rPr>
                <w:b w:val="false"/>
                <w:bCs w:val="false"/>
                <w:sz w:val="18"/>
                <w:szCs w:val="18"/>
              </w:rPr>
              <w:t xml:space="preserve">7.3</w:t>
            </w:r>
          </w:p>
        </w:tc>
        <w:tc>
          <w:tcPr>
            <w:tcW w:type="dxa" w:w="4680"/>
            <w:tcMar>
              <w:top w:type="dxa" w:w="60"/>
              <w:left w:type="dxa" w:w="100"/>
              <w:bottom w:type="dxa" w:w="60"/>
              <w:right w:type="dxa" w:w="100"/>
            </w:tcMar>
          </w:tcPr>
          <w:p>
            <w:r>
              <w:rPr>
                <w:b w:val="false"/>
                <w:bCs w:val="false"/>
                <w:sz w:val="18"/>
                <w:szCs w:val="18"/>
              </w:rPr>
              <w:t xml:space="preserve">s 6(1) "whether the information or opinion is true or not"; APP 10, 12, 13</w:t>
            </w:r>
          </w:p>
        </w:tc>
      </w:tr>
      <w:tr>
        <w:trPr>
          <w:tblHeader w:val="false"/>
        </w:trPr>
        <w:tc>
          <w:tcPr>
            <w:tcW w:type="dxa" w:w="4680"/>
            <w:tcMar>
              <w:top w:type="dxa" w:w="60"/>
              <w:left w:type="dxa" w:w="100"/>
              <w:bottom w:type="dxa" w:w="60"/>
              <w:right w:type="dxa" w:w="100"/>
            </w:tcMar>
          </w:tcPr>
          <w:p>
            <w:r>
              <w:rPr>
                <w:b w:val="false"/>
                <w:bCs w:val="false"/>
                <w:sz w:val="18"/>
                <w:szCs w:val="18"/>
              </w:rPr>
              <w:t xml:space="preserve">7.4.1</w:t>
            </w:r>
          </w:p>
        </w:tc>
        <w:tc>
          <w:tcPr>
            <w:tcW w:type="dxa" w:w="4680"/>
            <w:tcMar>
              <w:top w:type="dxa" w:w="60"/>
              <w:left w:type="dxa" w:w="100"/>
              <w:bottom w:type="dxa" w:w="60"/>
              <w:right w:type="dxa" w:w="100"/>
            </w:tcMar>
          </w:tcPr>
          <w:p>
            <w:r>
              <w:rPr>
                <w:b w:val="false"/>
                <w:bCs w:val="false"/>
                <w:sz w:val="18"/>
                <w:szCs w:val="18"/>
              </w:rPr>
              <w:t xml:space="preserve">APP 3.3(a), 3.4; s 6(1) "sensitive information" (d) biometric; OAIC training guidance, "Sensitive information"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7.4.2</w:t>
            </w:r>
          </w:p>
        </w:tc>
        <w:tc>
          <w:tcPr>
            <w:tcW w:type="dxa" w:w="4680"/>
            <w:tcMar>
              <w:top w:type="dxa" w:w="60"/>
              <w:left w:type="dxa" w:w="100"/>
              <w:bottom w:type="dxa" w:w="60"/>
              <w:right w:type="dxa" w:w="100"/>
            </w:tcMar>
          </w:tcPr>
          <w:p>
            <w:r>
              <w:rPr>
                <w:b w:val="false"/>
                <w:bCs w:val="false"/>
                <w:sz w:val="18"/>
                <w:szCs w:val="18"/>
              </w:rPr>
              <w:t xml:space="preserve">APP 3.3; OAIC commercial AI guidance, "Using sensitive information in relation to AI products" (consent cannot be implied from notice)</w:t>
            </w:r>
          </w:p>
        </w:tc>
      </w:tr>
      <w:tr>
        <w:trPr>
          <w:tblHeader w:val="false"/>
        </w:trPr>
        <w:tc>
          <w:tcPr>
            <w:tcW w:type="dxa" w:w="4680"/>
            <w:tcMar>
              <w:top w:type="dxa" w:w="60"/>
              <w:left w:type="dxa" w:w="100"/>
              <w:bottom w:type="dxa" w:w="60"/>
              <w:right w:type="dxa" w:w="100"/>
            </w:tcMar>
          </w:tcPr>
          <w:p>
            <w:r>
              <w:rPr>
                <w:b w:val="false"/>
                <w:bCs w:val="false"/>
                <w:sz w:val="18"/>
                <w:szCs w:val="18"/>
              </w:rPr>
              <w:t xml:space="preserve">7.5.1</w:t>
            </w:r>
          </w:p>
        </w:tc>
        <w:tc>
          <w:tcPr>
            <w:tcW w:type="dxa" w:w="4680"/>
            <w:tcMar>
              <w:top w:type="dxa" w:w="60"/>
              <w:left w:type="dxa" w:w="100"/>
              <w:bottom w:type="dxa" w:w="60"/>
              <w:right w:type="dxa" w:w="100"/>
            </w:tcMar>
          </w:tcPr>
          <w:p>
            <w:r>
              <w:rPr>
                <w:b w:val="false"/>
                <w:bCs w:val="false"/>
                <w:sz w:val="18"/>
                <w:szCs w:val="18"/>
              </w:rPr>
              <w:t xml:space="preserve">APP 3.5, 3.6; OAIC training guidance, "Collecting data through data scraping" (factors list) and caution box</w:t>
            </w:r>
          </w:p>
        </w:tc>
      </w:tr>
      <w:tr>
        <w:trPr>
          <w:tblHeader w:val="false"/>
        </w:trPr>
        <w:tc>
          <w:tcPr>
            <w:tcW w:type="dxa" w:w="4680"/>
            <w:tcMar>
              <w:top w:type="dxa" w:w="60"/>
              <w:left w:type="dxa" w:w="100"/>
              <w:bottom w:type="dxa" w:w="60"/>
              <w:right w:type="dxa" w:w="100"/>
            </w:tcMar>
          </w:tcPr>
          <w:p>
            <w:r>
              <w:rPr>
                <w:b w:val="false"/>
                <w:bCs w:val="false"/>
                <w:sz w:val="18"/>
                <w:szCs w:val="18"/>
              </w:rPr>
              <w:t xml:space="preserve">7.5.2</w:t>
            </w:r>
          </w:p>
        </w:tc>
        <w:tc>
          <w:tcPr>
            <w:tcW w:type="dxa" w:w="4680"/>
            <w:tcMar>
              <w:top w:type="dxa" w:w="60"/>
              <w:left w:type="dxa" w:w="100"/>
              <w:bottom w:type="dxa" w:w="60"/>
              <w:right w:type="dxa" w:w="100"/>
            </w:tcMar>
          </w:tcPr>
          <w:p>
            <w:r>
              <w:rPr>
                <w:b w:val="false"/>
                <w:bCs w:val="false"/>
                <w:sz w:val="18"/>
                <w:szCs w:val="18"/>
              </w:rPr>
              <w:t xml:space="preserve">OAIC training guidance, "Collecting a third party dataset" (contractual assurance, source information, notices)</w:t>
            </w:r>
          </w:p>
        </w:tc>
      </w:tr>
      <w:tr>
        <w:trPr>
          <w:tblHeader w:val="false"/>
        </w:trPr>
        <w:tc>
          <w:tcPr>
            <w:tcW w:type="dxa" w:w="4680"/>
            <w:tcMar>
              <w:top w:type="dxa" w:w="60"/>
              <w:left w:type="dxa" w:w="100"/>
              <w:bottom w:type="dxa" w:w="60"/>
              <w:right w:type="dxa" w:w="100"/>
            </w:tcMar>
          </w:tcPr>
          <w:p>
            <w:r>
              <w:rPr>
                <w:b w:val="false"/>
                <w:bCs w:val="false"/>
                <w:sz w:val="18"/>
                <w:szCs w:val="18"/>
              </w:rPr>
              <w:t xml:space="preserve">7.5.3</w:t>
            </w:r>
          </w:p>
        </w:tc>
        <w:tc>
          <w:tcPr>
            <w:tcW w:type="dxa" w:w="4680"/>
            <w:tcMar>
              <w:top w:type="dxa" w:w="60"/>
              <w:left w:type="dxa" w:w="100"/>
              <w:bottom w:type="dxa" w:w="60"/>
              <w:right w:type="dxa" w:w="100"/>
            </w:tcMar>
          </w:tcPr>
          <w:p>
            <w:r>
              <w:rPr>
                <w:b w:val="false"/>
                <w:bCs w:val="false"/>
                <w:sz w:val="18"/>
                <w:szCs w:val="18"/>
              </w:rPr>
              <w:t xml:space="preserve">OAIC training guidance (delete sensitive information where consent cannot be obtained)</w:t>
            </w:r>
          </w:p>
        </w:tc>
      </w:tr>
      <w:tr>
        <w:trPr>
          <w:tblHeader w:val="false"/>
        </w:trPr>
        <w:tc>
          <w:tcPr>
            <w:tcW w:type="dxa" w:w="4680"/>
            <w:tcMar>
              <w:top w:type="dxa" w:w="60"/>
              <w:left w:type="dxa" w:w="100"/>
              <w:bottom w:type="dxa" w:w="60"/>
              <w:right w:type="dxa" w:w="100"/>
            </w:tcMar>
          </w:tcPr>
          <w:p>
            <w:r>
              <w:rPr>
                <w:b w:val="false"/>
                <w:bCs w:val="false"/>
                <w:sz w:val="18"/>
                <w:szCs w:val="18"/>
              </w:rPr>
              <w:t xml:space="preserve">7.6</w:t>
            </w:r>
          </w:p>
        </w:tc>
        <w:tc>
          <w:tcPr>
            <w:tcW w:type="dxa" w:w="4680"/>
            <w:tcMar>
              <w:top w:type="dxa" w:w="60"/>
              <w:left w:type="dxa" w:w="100"/>
              <w:bottom w:type="dxa" w:w="60"/>
              <w:right w:type="dxa" w:w="100"/>
            </w:tcMar>
          </w:tcPr>
          <w:p>
            <w:r>
              <w:rPr>
                <w:b w:val="false"/>
                <w:bCs w:val="false"/>
                <w:sz w:val="18"/>
                <w:szCs w:val="18"/>
              </w:rPr>
              <w:t xml:space="preserve">APP 3.2, 3.3; OAIC commercial AI guidance, meeting minutes example</w:t>
            </w:r>
          </w:p>
        </w:tc>
      </w:tr>
      <w:tr>
        <w:trPr>
          <w:tblHeader w:val="false"/>
        </w:trPr>
        <w:tc>
          <w:tcPr>
            <w:tcW w:type="dxa" w:w="4680"/>
            <w:tcMar>
              <w:top w:type="dxa" w:w="60"/>
              <w:left w:type="dxa" w:w="100"/>
              <w:bottom w:type="dxa" w:w="60"/>
              <w:right w:type="dxa" w:w="100"/>
            </w:tcMar>
          </w:tcPr>
          <w:p>
            <w:r>
              <w:rPr>
                <w:b w:val="false"/>
                <w:bCs w:val="false"/>
                <w:sz w:val="18"/>
                <w:szCs w:val="18"/>
              </w:rPr>
              <w:t xml:space="preserve">8.1</w:t>
            </w:r>
          </w:p>
        </w:tc>
        <w:tc>
          <w:tcPr>
            <w:tcW w:type="dxa" w:w="4680"/>
            <w:tcMar>
              <w:top w:type="dxa" w:w="60"/>
              <w:left w:type="dxa" w:w="100"/>
              <w:bottom w:type="dxa" w:w="60"/>
              <w:right w:type="dxa" w:w="100"/>
            </w:tcMar>
          </w:tcPr>
          <w:p>
            <w:r>
              <w:rPr>
                <w:b w:val="false"/>
                <w:bCs w:val="false"/>
                <w:sz w:val="18"/>
                <w:szCs w:val="18"/>
              </w:rPr>
              <w:t xml:space="preserve">APP 1.3, 1.4(c), (f), (g)</w:t>
            </w:r>
          </w:p>
        </w:tc>
      </w:tr>
      <w:tr>
        <w:trPr>
          <w:tblHeader w:val="false"/>
        </w:trPr>
        <w:tc>
          <w:tcPr>
            <w:tcW w:type="dxa" w:w="4680"/>
            <w:tcMar>
              <w:top w:type="dxa" w:w="60"/>
              <w:left w:type="dxa" w:w="100"/>
              <w:bottom w:type="dxa" w:w="60"/>
              <w:right w:type="dxa" w:w="100"/>
            </w:tcMar>
          </w:tcPr>
          <w:p>
            <w:r>
              <w:rPr>
                <w:b w:val="false"/>
                <w:bCs w:val="false"/>
                <w:sz w:val="18"/>
                <w:szCs w:val="18"/>
              </w:rPr>
              <w:t xml:space="preserve">8.2</w:t>
            </w:r>
          </w:p>
        </w:tc>
        <w:tc>
          <w:tcPr>
            <w:tcW w:type="dxa" w:w="4680"/>
            <w:tcMar>
              <w:top w:type="dxa" w:w="60"/>
              <w:left w:type="dxa" w:w="100"/>
              <w:bottom w:type="dxa" w:w="60"/>
              <w:right w:type="dxa" w:w="100"/>
            </w:tcMar>
          </w:tcPr>
          <w:p>
            <w:r>
              <w:rPr>
                <w:b w:val="false"/>
                <w:bCs w:val="false"/>
                <w:sz w:val="18"/>
                <w:szCs w:val="18"/>
              </w:rPr>
              <w:t xml:space="preserve">APP 5.1, 5.2(d), (f), (i), (j); OAIC commercial AI guidance, "What practical measures can we take to promote transparency?"</w:t>
            </w:r>
          </w:p>
        </w:tc>
      </w:tr>
      <w:tr>
        <w:trPr>
          <w:tblHeader w:val="false"/>
        </w:trPr>
        <w:tc>
          <w:tcPr>
            <w:tcW w:type="dxa" w:w="4680"/>
            <w:tcMar>
              <w:top w:type="dxa" w:w="60"/>
              <w:left w:type="dxa" w:w="100"/>
              <w:bottom w:type="dxa" w:w="60"/>
              <w:right w:type="dxa" w:w="100"/>
            </w:tcMar>
          </w:tcPr>
          <w:p>
            <w:r>
              <w:rPr>
                <w:b w:val="false"/>
                <w:bCs w:val="false"/>
                <w:sz w:val="18"/>
                <w:szCs w:val="18"/>
              </w:rPr>
              <w:t xml:space="preserve">8.3</w:t>
            </w:r>
          </w:p>
        </w:tc>
        <w:tc>
          <w:tcPr>
            <w:tcW w:type="dxa" w:w="4680"/>
            <w:tcMar>
              <w:top w:type="dxa" w:w="60"/>
              <w:left w:type="dxa" w:w="100"/>
              <w:bottom w:type="dxa" w:w="60"/>
              <w:right w:type="dxa" w:w="100"/>
            </w:tcMar>
          </w:tcPr>
          <w:p>
            <w:r>
              <w:rPr>
                <w:b w:val="false"/>
                <w:bCs w:val="false"/>
                <w:sz w:val="18"/>
                <w:szCs w:val="18"/>
              </w:rPr>
              <w:t xml:space="preserve">OAIC training guidance, "Notice and transparency obligations" (policy is not a notice); "Reasonable expectations" (updating a policy generally insufficient)</w:t>
            </w:r>
          </w:p>
        </w:tc>
      </w:tr>
      <w:tr>
        <w:trPr>
          <w:tblHeader w:val="false"/>
        </w:trPr>
        <w:tc>
          <w:tcPr>
            <w:tcW w:type="dxa" w:w="4680"/>
            <w:tcMar>
              <w:top w:type="dxa" w:w="60"/>
              <w:left w:type="dxa" w:w="100"/>
              <w:bottom w:type="dxa" w:w="60"/>
              <w:right w:type="dxa" w:w="100"/>
            </w:tcMar>
          </w:tcPr>
          <w:p>
            <w:r>
              <w:rPr>
                <w:b w:val="false"/>
                <w:bCs w:val="false"/>
                <w:sz w:val="18"/>
                <w:szCs w:val="18"/>
              </w:rPr>
              <w:t xml:space="preserve">9.1</w:t>
            </w:r>
          </w:p>
        </w:tc>
        <w:tc>
          <w:tcPr>
            <w:tcW w:type="dxa" w:w="4680"/>
            <w:tcMar>
              <w:top w:type="dxa" w:w="60"/>
              <w:left w:type="dxa" w:w="100"/>
              <w:bottom w:type="dxa" w:w="60"/>
              <w:right w:type="dxa" w:w="100"/>
            </w:tcMar>
          </w:tcPr>
          <w:p>
            <w:r>
              <w:rPr>
                <w:b w:val="false"/>
                <w:bCs w:val="false"/>
                <w:sz w:val="18"/>
                <w:szCs w:val="18"/>
              </w:rPr>
              <w:t xml:space="preserve">APP 11.1, 11.3</w:t>
            </w:r>
          </w:p>
        </w:tc>
      </w:tr>
      <w:tr>
        <w:trPr>
          <w:tblHeader w:val="false"/>
        </w:trPr>
        <w:tc>
          <w:tcPr>
            <w:tcW w:type="dxa" w:w="4680"/>
            <w:tcMar>
              <w:top w:type="dxa" w:w="60"/>
              <w:left w:type="dxa" w:w="100"/>
              <w:bottom w:type="dxa" w:w="60"/>
              <w:right w:type="dxa" w:w="100"/>
            </w:tcMar>
          </w:tcPr>
          <w:p>
            <w:r>
              <w:rPr>
                <w:b w:val="false"/>
                <w:bCs w:val="false"/>
                <w:sz w:val="18"/>
                <w:szCs w:val="18"/>
              </w:rPr>
              <w:t xml:space="preserve">9.2</w:t>
            </w:r>
          </w:p>
        </w:tc>
        <w:tc>
          <w:tcPr>
            <w:tcW w:type="dxa" w:w="4680"/>
            <w:tcMar>
              <w:top w:type="dxa" w:w="60"/>
              <w:left w:type="dxa" w:w="100"/>
              <w:bottom w:type="dxa" w:w="60"/>
              <w:right w:type="dxa" w:w="100"/>
            </w:tcMar>
          </w:tcPr>
          <w:p>
            <w:r>
              <w:rPr>
                <w:b w:val="false"/>
                <w:bCs w:val="false"/>
                <w:sz w:val="18"/>
                <w:szCs w:val="18"/>
              </w:rPr>
              <w:t xml:space="preserve">APP 11.1; OAIC commercial AI guidance, "What are the potential security risks?"; house detail</w:t>
            </w:r>
          </w:p>
        </w:tc>
      </w:tr>
      <w:tr>
        <w:trPr>
          <w:tblHeader w:val="false"/>
        </w:trPr>
        <w:tc>
          <w:tcPr>
            <w:tcW w:type="dxa" w:w="4680"/>
            <w:tcMar>
              <w:top w:type="dxa" w:w="60"/>
              <w:left w:type="dxa" w:w="100"/>
              <w:bottom w:type="dxa" w:w="60"/>
              <w:right w:type="dxa" w:w="100"/>
            </w:tcMar>
          </w:tcPr>
          <w:p>
            <w:r>
              <w:rPr>
                <w:b w:val="false"/>
                <w:bCs w:val="false"/>
                <w:sz w:val="18"/>
                <w:szCs w:val="18"/>
              </w:rPr>
              <w:t xml:space="preserve">9.3</w:t>
            </w:r>
          </w:p>
        </w:tc>
        <w:tc>
          <w:tcPr>
            <w:tcW w:type="dxa" w:w="4680"/>
            <w:tcMar>
              <w:top w:type="dxa" w:w="60"/>
              <w:left w:type="dxa" w:w="100"/>
              <w:bottom w:type="dxa" w:w="60"/>
              <w:right w:type="dxa" w:w="100"/>
            </w:tcMar>
          </w:tcPr>
          <w:p>
            <w:r>
              <w:rPr>
                <w:b w:val="false"/>
                <w:bCs w:val="false"/>
                <w:sz w:val="18"/>
                <w:szCs w:val="18"/>
              </w:rPr>
              <w:t xml:space="preserve">APP 11.2</w:t>
            </w:r>
          </w:p>
        </w:tc>
      </w:tr>
      <w:tr>
        <w:trPr>
          <w:tblHeader w:val="false"/>
        </w:trPr>
        <w:tc>
          <w:tcPr>
            <w:tcW w:type="dxa" w:w="4680"/>
            <w:tcMar>
              <w:top w:type="dxa" w:w="60"/>
              <w:left w:type="dxa" w:w="100"/>
              <w:bottom w:type="dxa" w:w="60"/>
              <w:right w:type="dxa" w:w="100"/>
            </w:tcMar>
          </w:tcPr>
          <w:p>
            <w:r>
              <w:rPr>
                <w:b w:val="false"/>
                <w:bCs w:val="false"/>
                <w:sz w:val="18"/>
                <w:szCs w:val="18"/>
              </w:rPr>
              <w:t xml:space="preserve">10</w:t>
            </w:r>
          </w:p>
        </w:tc>
        <w:tc>
          <w:tcPr>
            <w:tcW w:type="dxa" w:w="4680"/>
            <w:tcMar>
              <w:top w:type="dxa" w:w="60"/>
              <w:left w:type="dxa" w:w="100"/>
              <w:bottom w:type="dxa" w:w="60"/>
              <w:right w:type="dxa" w:w="100"/>
            </w:tcMar>
          </w:tcPr>
          <w:p>
            <w:r>
              <w:rPr>
                <w:b w:val="false"/>
                <w:bCs w:val="false"/>
                <w:sz w:val="18"/>
                <w:szCs w:val="18"/>
              </w:rPr>
              <w:t xml:space="preserve">House standard, drawing on OAIC accuracy tips ("records clearly indicate ... probabilistic assessment") and adoption guidance practice 6</w:t>
            </w:r>
          </w:p>
        </w:tc>
      </w:tr>
      <w:tr>
        <w:trPr>
          <w:tblHeader w:val="false"/>
        </w:trPr>
        <w:tc>
          <w:tcPr>
            <w:tcW w:type="dxa" w:w="4680"/>
            <w:tcMar>
              <w:top w:type="dxa" w:w="60"/>
              <w:left w:type="dxa" w:w="100"/>
              <w:bottom w:type="dxa" w:w="60"/>
              <w:right w:type="dxa" w:w="100"/>
            </w:tcMar>
          </w:tcPr>
          <w:p>
            <w:r>
              <w:rPr>
                <w:b w:val="false"/>
                <w:bCs w:val="false"/>
                <w:sz w:val="18"/>
                <w:szCs w:val="18"/>
              </w:rPr>
              <w:t xml:space="preserve">11.1</w:t>
            </w:r>
          </w:p>
        </w:tc>
        <w:tc>
          <w:tcPr>
            <w:tcW w:type="dxa" w:w="4680"/>
            <w:tcMar>
              <w:top w:type="dxa" w:w="60"/>
              <w:left w:type="dxa" w:w="100"/>
              <w:bottom w:type="dxa" w:w="60"/>
              <w:right w:type="dxa" w:w="100"/>
            </w:tcMar>
          </w:tcPr>
          <w:p>
            <w:r>
              <w:rPr>
                <w:b w:val="false"/>
                <w:bCs w:val="false"/>
                <w:sz w:val="18"/>
                <w:szCs w:val="18"/>
              </w:rPr>
              <w:t xml:space="preserve">APP 10.1, 10.2</w:t>
            </w:r>
          </w:p>
        </w:tc>
      </w:tr>
      <w:tr>
        <w:trPr>
          <w:tblHeader w:val="false"/>
        </w:trPr>
        <w:tc>
          <w:tcPr>
            <w:tcW w:type="dxa" w:w="4680"/>
            <w:tcMar>
              <w:top w:type="dxa" w:w="60"/>
              <w:left w:type="dxa" w:w="100"/>
              <w:bottom w:type="dxa" w:w="60"/>
              <w:right w:type="dxa" w:w="100"/>
            </w:tcMar>
          </w:tcPr>
          <w:p>
            <w:r>
              <w:rPr>
                <w:b w:val="false"/>
                <w:bCs w:val="false"/>
                <w:sz w:val="18"/>
                <w:szCs w:val="18"/>
              </w:rPr>
              <w:t xml:space="preserve">11.2</w:t>
            </w:r>
          </w:p>
        </w:tc>
        <w:tc>
          <w:tcPr>
            <w:tcW w:type="dxa" w:w="4680"/>
            <w:tcMar>
              <w:top w:type="dxa" w:w="60"/>
              <w:left w:type="dxa" w:w="100"/>
              <w:bottom w:type="dxa" w:w="60"/>
              <w:right w:type="dxa" w:w="100"/>
            </w:tcMar>
          </w:tcPr>
          <w:p>
            <w:r>
              <w:rPr>
                <w:b w:val="false"/>
                <w:bCs w:val="false"/>
                <w:sz w:val="18"/>
                <w:szCs w:val="18"/>
              </w:rPr>
              <w:t xml:space="preserve">OAIC commercial AI guidance, "Practical tips - accuracy measures"</w:t>
            </w:r>
          </w:p>
        </w:tc>
      </w:tr>
      <w:tr>
        <w:trPr>
          <w:tblHeader w:val="false"/>
        </w:trPr>
        <w:tc>
          <w:tcPr>
            <w:tcW w:type="dxa" w:w="4680"/>
            <w:tcMar>
              <w:top w:type="dxa" w:w="60"/>
              <w:left w:type="dxa" w:w="100"/>
              <w:bottom w:type="dxa" w:w="60"/>
              <w:right w:type="dxa" w:w="100"/>
            </w:tcMar>
          </w:tcPr>
          <w:p>
            <w:r>
              <w:rPr>
                <w:b w:val="false"/>
                <w:bCs w:val="false"/>
                <w:sz w:val="18"/>
                <w:szCs w:val="18"/>
              </w:rPr>
              <w:t xml:space="preserve">11.3</w:t>
            </w:r>
          </w:p>
        </w:tc>
        <w:tc>
          <w:tcPr>
            <w:tcW w:type="dxa" w:w="4680"/>
            <w:tcMar>
              <w:top w:type="dxa" w:w="60"/>
              <w:left w:type="dxa" w:w="100"/>
              <w:bottom w:type="dxa" w:w="60"/>
              <w:right w:type="dxa" w:w="100"/>
            </w:tcMar>
          </w:tcPr>
          <w:p>
            <w:r>
              <w:rPr>
                <w:b w:val="false"/>
                <w:bCs w:val="false"/>
                <w:sz w:val="18"/>
                <w:szCs w:val="18"/>
              </w:rPr>
              <w:t xml:space="preserve">APP 12.1, 12.4(a)(ii), 12.9; APP 13.1, 13.3, 13.4, 13.5</w:t>
            </w:r>
          </w:p>
        </w:tc>
      </w:tr>
      <w:tr>
        <w:trPr>
          <w:tblHeader w:val="false"/>
        </w:trPr>
        <w:tc>
          <w:tcPr>
            <w:tcW w:type="dxa" w:w="4680"/>
            <w:tcMar>
              <w:top w:type="dxa" w:w="60"/>
              <w:left w:type="dxa" w:w="100"/>
              <w:bottom w:type="dxa" w:w="60"/>
              <w:right w:type="dxa" w:w="100"/>
            </w:tcMar>
          </w:tcPr>
          <w:p>
            <w:r>
              <w:rPr>
                <w:b w:val="false"/>
                <w:bCs w:val="false"/>
                <w:sz w:val="18"/>
                <w:szCs w:val="18"/>
              </w:rPr>
              <w:t xml:space="preserve">12.1</w:t>
            </w:r>
          </w:p>
        </w:tc>
        <w:tc>
          <w:tcPr>
            <w:tcW w:type="dxa" w:w="4680"/>
            <w:tcMar>
              <w:top w:type="dxa" w:w="60"/>
              <w:left w:type="dxa" w:w="100"/>
              <w:bottom w:type="dxa" w:w="60"/>
              <w:right w:type="dxa" w:w="100"/>
            </w:tcMar>
          </w:tcPr>
          <w:p>
            <w:r>
              <w:rPr>
                <w:b w:val="false"/>
                <w:bCs w:val="false"/>
                <w:sz w:val="18"/>
                <w:szCs w:val="18"/>
              </w:rPr>
              <w:t xml:space="preserve">APP 1.7(a)-(c) as inserted by amending Act item 88</w:t>
            </w:r>
          </w:p>
        </w:tc>
      </w:tr>
      <w:tr>
        <w:trPr>
          <w:tblHeader w:val="false"/>
        </w:trPr>
        <w:tc>
          <w:tcPr>
            <w:tcW w:type="dxa" w:w="4680"/>
            <w:tcMar>
              <w:top w:type="dxa" w:w="60"/>
              <w:left w:type="dxa" w:w="100"/>
              <w:bottom w:type="dxa" w:w="60"/>
              <w:right w:type="dxa" w:w="100"/>
            </w:tcMar>
          </w:tcPr>
          <w:p>
            <w:r>
              <w:rPr>
                <w:b w:val="false"/>
                <w:bCs w:val="false"/>
                <w:sz w:val="18"/>
                <w:szCs w:val="18"/>
              </w:rPr>
              <w:t xml:space="preserve">12.2</w:t>
            </w:r>
          </w:p>
        </w:tc>
        <w:tc>
          <w:tcPr>
            <w:tcW w:type="dxa" w:w="4680"/>
            <w:tcMar>
              <w:top w:type="dxa" w:w="60"/>
              <w:left w:type="dxa" w:w="100"/>
              <w:bottom w:type="dxa" w:w="60"/>
              <w:right w:type="dxa" w:w="100"/>
            </w:tcMar>
          </w:tcPr>
          <w:p>
            <w:r>
              <w:rPr>
                <w:b w:val="false"/>
                <w:bCs w:val="false"/>
                <w:sz w:val="18"/>
                <w:szCs w:val="18"/>
              </w:rPr>
              <w:t xml:space="preserve">Explanatory Memorandum para 336 as quoted in OAIC issues paper p. 12</w:t>
            </w:r>
          </w:p>
        </w:tc>
      </w:tr>
      <w:tr>
        <w:trPr>
          <w:tblHeader w:val="false"/>
        </w:trPr>
        <w:tc>
          <w:tcPr>
            <w:tcW w:type="dxa" w:w="4680"/>
            <w:tcMar>
              <w:top w:type="dxa" w:w="60"/>
              <w:left w:type="dxa" w:w="100"/>
              <w:bottom w:type="dxa" w:w="60"/>
              <w:right w:type="dxa" w:w="100"/>
            </w:tcMar>
          </w:tcPr>
          <w:p>
            <w:r>
              <w:rPr>
                <w:b w:val="false"/>
                <w:bCs w:val="false"/>
                <w:sz w:val="18"/>
                <w:szCs w:val="18"/>
              </w:rPr>
              <w:t xml:space="preserve">12.3</w:t>
            </w:r>
          </w:p>
        </w:tc>
        <w:tc>
          <w:tcPr>
            <w:tcW w:type="dxa" w:w="4680"/>
            <w:tcMar>
              <w:top w:type="dxa" w:w="60"/>
              <w:left w:type="dxa" w:w="100"/>
              <w:bottom w:type="dxa" w:w="60"/>
              <w:right w:type="dxa" w:w="100"/>
            </w:tcMar>
          </w:tcPr>
          <w:p>
            <w:r>
              <w:rPr>
                <w:b w:val="false"/>
                <w:bCs w:val="false"/>
                <w:sz w:val="18"/>
                <w:szCs w:val="18"/>
              </w:rPr>
              <w:t xml:space="preserve">APP 1.7(a); Explanatory Memorandum para 337 and Excel examples as quoted, issues paper pp. 12-13</w:t>
            </w:r>
          </w:p>
        </w:tc>
      </w:tr>
      <w:tr>
        <w:trPr>
          <w:tblHeader w:val="false"/>
        </w:trPr>
        <w:tc>
          <w:tcPr>
            <w:tcW w:type="dxa" w:w="4680"/>
            <w:tcMar>
              <w:top w:type="dxa" w:w="60"/>
              <w:left w:type="dxa" w:w="100"/>
              <w:bottom w:type="dxa" w:w="60"/>
              <w:right w:type="dxa" w:w="100"/>
            </w:tcMar>
          </w:tcPr>
          <w:p>
            <w:r>
              <w:rPr>
                <w:b w:val="false"/>
                <w:bCs w:val="false"/>
                <w:sz w:val="18"/>
                <w:szCs w:val="18"/>
              </w:rPr>
              <w:t xml:space="preserve">12.4</w:t>
            </w:r>
          </w:p>
        </w:tc>
        <w:tc>
          <w:tcPr>
            <w:tcW w:type="dxa" w:w="4680"/>
            <w:tcMar>
              <w:top w:type="dxa" w:w="60"/>
              <w:left w:type="dxa" w:w="100"/>
              <w:bottom w:type="dxa" w:w="60"/>
              <w:right w:type="dxa" w:w="100"/>
            </w:tcMar>
          </w:tcPr>
          <w:p>
            <w:r>
              <w:rPr>
                <w:b w:val="false"/>
                <w:bCs w:val="false"/>
                <w:sz w:val="18"/>
                <w:szCs w:val="18"/>
              </w:rPr>
              <w:t xml:space="preserve">APP 1.9(a)-(d)</w:t>
            </w:r>
          </w:p>
        </w:tc>
      </w:tr>
      <w:tr>
        <w:trPr>
          <w:tblHeader w:val="false"/>
        </w:trPr>
        <w:tc>
          <w:tcPr>
            <w:tcW w:type="dxa" w:w="4680"/>
            <w:tcMar>
              <w:top w:type="dxa" w:w="60"/>
              <w:left w:type="dxa" w:w="100"/>
              <w:bottom w:type="dxa" w:w="60"/>
              <w:right w:type="dxa" w:w="100"/>
            </w:tcMar>
          </w:tcPr>
          <w:p>
            <w:r>
              <w:rPr>
                <w:b w:val="false"/>
                <w:bCs w:val="false"/>
                <w:sz w:val="18"/>
                <w:szCs w:val="18"/>
              </w:rPr>
              <w:t xml:space="preserve">12.5</w:t>
            </w:r>
          </w:p>
        </w:tc>
        <w:tc>
          <w:tcPr>
            <w:tcW w:type="dxa" w:w="4680"/>
            <w:tcMar>
              <w:top w:type="dxa" w:w="60"/>
              <w:left w:type="dxa" w:w="100"/>
              <w:bottom w:type="dxa" w:w="60"/>
              <w:right w:type="dxa" w:w="100"/>
            </w:tcMar>
          </w:tcPr>
          <w:p>
            <w:r>
              <w:rPr>
                <w:b w:val="false"/>
                <w:bCs w:val="false"/>
                <w:sz w:val="18"/>
                <w:szCs w:val="18"/>
              </w:rPr>
              <w:t xml:space="preserve">House operation; APP 1.8(a)-(c) drive the recorded fields</w:t>
            </w:r>
          </w:p>
        </w:tc>
      </w:tr>
      <w:tr>
        <w:trPr>
          <w:tblHeader w:val="false"/>
        </w:trPr>
        <w:tc>
          <w:tcPr>
            <w:tcW w:type="dxa" w:w="4680"/>
            <w:tcMar>
              <w:top w:type="dxa" w:w="60"/>
              <w:left w:type="dxa" w:w="100"/>
              <w:bottom w:type="dxa" w:w="60"/>
              <w:right w:type="dxa" w:w="100"/>
            </w:tcMar>
          </w:tcPr>
          <w:p>
            <w:r>
              <w:rPr>
                <w:b w:val="false"/>
                <w:bCs w:val="false"/>
                <w:sz w:val="18"/>
                <w:szCs w:val="18"/>
              </w:rPr>
              <w:t xml:space="preserve">12.6</w:t>
            </w:r>
          </w:p>
        </w:tc>
        <w:tc>
          <w:tcPr>
            <w:tcW w:type="dxa" w:w="4680"/>
            <w:tcMar>
              <w:top w:type="dxa" w:w="60"/>
              <w:left w:type="dxa" w:w="100"/>
              <w:bottom w:type="dxa" w:w="60"/>
              <w:right w:type="dxa" w:w="100"/>
            </w:tcMar>
          </w:tcPr>
          <w:p>
            <w:r>
              <w:rPr>
                <w:b w:val="false"/>
                <w:bCs w:val="false"/>
                <w:sz w:val="18"/>
                <w:szCs w:val="18"/>
              </w:rPr>
              <w:t xml:space="preserve">House standard</w:t>
            </w:r>
          </w:p>
        </w:tc>
      </w:tr>
      <w:tr>
        <w:trPr>
          <w:tblHeader w:val="false"/>
        </w:trPr>
        <w:tc>
          <w:tcPr>
            <w:tcW w:type="dxa" w:w="4680"/>
            <w:tcMar>
              <w:top w:type="dxa" w:w="60"/>
              <w:left w:type="dxa" w:w="100"/>
              <w:bottom w:type="dxa" w:w="60"/>
              <w:right w:type="dxa" w:w="100"/>
            </w:tcMar>
          </w:tcPr>
          <w:p>
            <w:r>
              <w:rPr>
                <w:b w:val="false"/>
                <w:bCs w:val="false"/>
                <w:sz w:val="18"/>
                <w:szCs w:val="18"/>
              </w:rPr>
              <w:t xml:space="preserve">13.1</w:t>
            </w:r>
          </w:p>
        </w:tc>
        <w:tc>
          <w:tcPr>
            <w:tcW w:type="dxa" w:w="4680"/>
            <w:tcMar>
              <w:top w:type="dxa" w:w="60"/>
              <w:left w:type="dxa" w:w="100"/>
              <w:bottom w:type="dxa" w:w="60"/>
              <w:right w:type="dxa" w:w="100"/>
            </w:tcMar>
          </w:tcPr>
          <w:p>
            <w:r>
              <w:rPr>
                <w:b w:val="false"/>
                <w:bCs w:val="false"/>
                <w:sz w:val="18"/>
                <w:szCs w:val="18"/>
              </w:rPr>
              <w:t xml:space="preserve">APP 1.8(a)-(c)</w:t>
            </w:r>
          </w:p>
        </w:tc>
      </w:tr>
      <w:tr>
        <w:trPr>
          <w:tblHeader w:val="false"/>
        </w:trPr>
        <w:tc>
          <w:tcPr>
            <w:tcW w:type="dxa" w:w="4680"/>
            <w:tcMar>
              <w:top w:type="dxa" w:w="60"/>
              <w:left w:type="dxa" w:w="100"/>
              <w:bottom w:type="dxa" w:w="60"/>
              <w:right w:type="dxa" w:w="100"/>
            </w:tcMar>
          </w:tcPr>
          <w:p>
            <w:r>
              <w:rPr>
                <w:b w:val="false"/>
                <w:bCs w:val="false"/>
                <w:sz w:val="18"/>
                <w:szCs w:val="18"/>
              </w:rPr>
              <w:t xml:space="preserve">13.3</w:t>
            </w:r>
          </w:p>
        </w:tc>
        <w:tc>
          <w:tcPr>
            <w:tcW w:type="dxa" w:w="4680"/>
            <w:tcMar>
              <w:top w:type="dxa" w:w="60"/>
              <w:left w:type="dxa" w:w="100"/>
              <w:bottom w:type="dxa" w:w="60"/>
              <w:right w:type="dxa" w:w="100"/>
            </w:tcMar>
          </w:tcPr>
          <w:p>
            <w:r>
              <w:rPr>
                <w:b w:val="false"/>
                <w:bCs w:val="false"/>
                <w:sz w:val="18"/>
                <w:szCs w:val="18"/>
              </w:rPr>
              <w:t xml:space="preserve">Finding 2.3; issues paper p. 10</w:t>
            </w:r>
          </w:p>
        </w:tc>
      </w:tr>
      <w:tr>
        <w:trPr>
          <w:tblHeader w:val="false"/>
        </w:trPr>
        <w:tc>
          <w:tcPr>
            <w:tcW w:type="dxa" w:w="4680"/>
            <w:tcMar>
              <w:top w:type="dxa" w:w="60"/>
              <w:left w:type="dxa" w:w="100"/>
              <w:bottom w:type="dxa" w:w="60"/>
              <w:right w:type="dxa" w:w="100"/>
            </w:tcMar>
          </w:tcPr>
          <w:p>
            <w:r>
              <w:rPr>
                <w:b w:val="false"/>
                <w:bCs w:val="false"/>
                <w:sz w:val="18"/>
                <w:szCs w:val="18"/>
              </w:rPr>
              <w:t xml:space="preserve">14</w:t>
            </w:r>
          </w:p>
        </w:tc>
        <w:tc>
          <w:tcPr>
            <w:tcW w:type="dxa" w:w="4680"/>
            <w:tcMar>
              <w:top w:type="dxa" w:w="60"/>
              <w:left w:type="dxa" w:w="100"/>
              <w:bottom w:type="dxa" w:w="60"/>
              <w:right w:type="dxa" w:w="100"/>
            </w:tcMar>
          </w:tcPr>
          <w:p>
            <w:r>
              <w:rPr>
                <w:b w:val="false"/>
                <w:bCs w:val="false"/>
                <w:sz w:val="18"/>
                <w:szCs w:val="18"/>
              </w:rPr>
              <w:t xml:space="preserve">House standards; OAIC commercial AI guidance, decision-making example (human responsible for verifying and able to overturn)</w:t>
            </w:r>
          </w:p>
        </w:tc>
      </w:tr>
      <w:tr>
        <w:trPr>
          <w:tblHeader w:val="false"/>
        </w:trPr>
        <w:tc>
          <w:tcPr>
            <w:tcW w:type="dxa" w:w="4680"/>
            <w:tcMar>
              <w:top w:type="dxa" w:w="60"/>
              <w:left w:type="dxa" w:w="100"/>
              <w:bottom w:type="dxa" w:w="60"/>
              <w:right w:type="dxa" w:w="100"/>
            </w:tcMar>
          </w:tcPr>
          <w:p>
            <w:r>
              <w:rPr>
                <w:b w:val="false"/>
                <w:bCs w:val="false"/>
                <w:sz w:val="18"/>
                <w:szCs w:val="18"/>
              </w:rPr>
              <w:t xml:space="preserve">15.1</w:t>
            </w:r>
          </w:p>
        </w:tc>
        <w:tc>
          <w:tcPr>
            <w:tcW w:type="dxa" w:w="4680"/>
            <w:tcMar>
              <w:top w:type="dxa" w:w="60"/>
              <w:left w:type="dxa" w:w="100"/>
              <w:bottom w:type="dxa" w:w="60"/>
              <w:right w:type="dxa" w:w="100"/>
            </w:tcMar>
          </w:tcPr>
          <w:p>
            <w:r>
              <w:rPr>
                <w:b w:val="false"/>
                <w:bCs w:val="false"/>
                <w:sz w:val="18"/>
                <w:szCs w:val="18"/>
              </w:rPr>
              <w:t xml:space="preserve">APP 3.5; OAIC commercial AI guidance, "Can we collect personal information through an AI chatbot?" (aware they are interacting with AI)</w:t>
            </w:r>
          </w:p>
        </w:tc>
      </w:tr>
      <w:tr>
        <w:trPr>
          <w:tblHeader w:val="false"/>
        </w:trPr>
        <w:tc>
          <w:tcPr>
            <w:tcW w:type="dxa" w:w="4680"/>
            <w:tcMar>
              <w:top w:type="dxa" w:w="60"/>
              <w:left w:type="dxa" w:w="100"/>
              <w:bottom w:type="dxa" w:w="60"/>
              <w:right w:type="dxa" w:w="100"/>
            </w:tcMar>
          </w:tcPr>
          <w:p>
            <w:r>
              <w:rPr>
                <w:b w:val="false"/>
                <w:bCs w:val="false"/>
                <w:sz w:val="18"/>
                <w:szCs w:val="18"/>
              </w:rPr>
              <w:t xml:space="preserve">15.4</w:t>
            </w:r>
          </w:p>
        </w:tc>
        <w:tc>
          <w:tcPr>
            <w:tcW w:type="dxa" w:w="4680"/>
            <w:tcMar>
              <w:top w:type="dxa" w:w="60"/>
              <w:left w:type="dxa" w:w="100"/>
              <w:bottom w:type="dxa" w:w="60"/>
              <w:right w:type="dxa" w:w="100"/>
            </w:tcMar>
          </w:tcPr>
          <w:p>
            <w:r>
              <w:rPr>
                <w:b w:val="false"/>
                <w:bCs w:val="false"/>
                <w:sz w:val="18"/>
                <w:szCs w:val="18"/>
              </w:rPr>
              <w:t xml:space="preserve">Implementation guidance, laws table, "Misleading outputs / statements" (Australian Consumer Law named, not held)</w:t>
            </w:r>
          </w:p>
        </w:tc>
      </w:tr>
      <w:tr>
        <w:trPr>
          <w:tblHeader w:val="false"/>
        </w:trPr>
        <w:tc>
          <w:tcPr>
            <w:tcW w:type="dxa" w:w="4680"/>
            <w:tcMar>
              <w:top w:type="dxa" w:w="60"/>
              <w:left w:type="dxa" w:w="100"/>
              <w:bottom w:type="dxa" w:w="60"/>
              <w:right w:type="dxa" w:w="100"/>
            </w:tcMar>
          </w:tcPr>
          <w:p>
            <w:r>
              <w:rPr>
                <w:b w:val="false"/>
                <w:bCs w:val="false"/>
                <w:sz w:val="18"/>
                <w:szCs w:val="18"/>
              </w:rPr>
              <w:t xml:space="preserve">16.1</w:t>
            </w:r>
          </w:p>
        </w:tc>
        <w:tc>
          <w:tcPr>
            <w:tcW w:type="dxa" w:w="4680"/>
            <w:tcMar>
              <w:top w:type="dxa" w:w="60"/>
              <w:left w:type="dxa" w:w="100"/>
              <w:bottom w:type="dxa" w:w="60"/>
              <w:right w:type="dxa" w:w="100"/>
            </w:tcMar>
          </w:tcPr>
          <w:p>
            <w:r>
              <w:rPr>
                <w:b w:val="false"/>
                <w:bCs w:val="false"/>
                <w:sz w:val="18"/>
                <w:szCs w:val="18"/>
              </w:rPr>
              <w:t xml:space="preserve">APP 6.1, 6.2(a); OAIC training guidance, "Use and disclosure obligations (APP 6)"</w:t>
            </w:r>
          </w:p>
        </w:tc>
      </w:tr>
      <w:tr>
        <w:trPr>
          <w:tblHeader w:val="false"/>
        </w:trPr>
        <w:tc>
          <w:tcPr>
            <w:tcW w:type="dxa" w:w="4680"/>
            <w:tcMar>
              <w:top w:type="dxa" w:w="60"/>
              <w:left w:type="dxa" w:w="100"/>
              <w:bottom w:type="dxa" w:w="60"/>
              <w:right w:type="dxa" w:w="100"/>
            </w:tcMar>
          </w:tcPr>
          <w:p>
            <w:r>
              <w:rPr>
                <w:b w:val="false"/>
                <w:bCs w:val="false"/>
                <w:sz w:val="18"/>
                <w:szCs w:val="18"/>
              </w:rPr>
              <w:t xml:space="preserve">16.2</w:t>
            </w:r>
          </w:p>
        </w:tc>
        <w:tc>
          <w:tcPr>
            <w:tcW w:type="dxa" w:w="4680"/>
            <w:tcMar>
              <w:top w:type="dxa" w:w="60"/>
              <w:left w:type="dxa" w:w="100"/>
              <w:bottom w:type="dxa" w:w="60"/>
              <w:right w:type="dxa" w:w="100"/>
            </w:tcMar>
          </w:tcPr>
          <w:p>
            <w:r>
              <w:rPr>
                <w:b w:val="false"/>
                <w:bCs w:val="false"/>
                <w:sz w:val="18"/>
                <w:szCs w:val="18"/>
              </w:rPr>
              <w:t xml:space="preserve">OAIC training guidance, "Reasonable expectations" and Example 1 (social media historic posts), Example 3 (bank fine-tuning)</w:t>
            </w:r>
          </w:p>
        </w:tc>
      </w:tr>
      <w:tr>
        <w:trPr>
          <w:tblHeader w:val="false"/>
        </w:trPr>
        <w:tc>
          <w:tcPr>
            <w:tcW w:type="dxa" w:w="4680"/>
            <w:tcMar>
              <w:top w:type="dxa" w:w="60"/>
              <w:left w:type="dxa" w:w="100"/>
              <w:bottom w:type="dxa" w:w="60"/>
              <w:right w:type="dxa" w:w="100"/>
            </w:tcMar>
          </w:tcPr>
          <w:p>
            <w:r>
              <w:rPr>
                <w:b w:val="false"/>
                <w:bCs w:val="false"/>
                <w:sz w:val="18"/>
                <w:szCs w:val="18"/>
              </w:rPr>
              <w:t xml:space="preserve">16.3</w:t>
            </w:r>
          </w:p>
        </w:tc>
        <w:tc>
          <w:tcPr>
            <w:tcW w:type="dxa" w:w="4680"/>
            <w:tcMar>
              <w:top w:type="dxa" w:w="60"/>
              <w:left w:type="dxa" w:w="100"/>
              <w:bottom w:type="dxa" w:w="60"/>
              <w:right w:type="dxa" w:w="100"/>
            </w:tcMar>
          </w:tcPr>
          <w:p>
            <w:r>
              <w:rPr>
                <w:b w:val="false"/>
                <w:bCs w:val="false"/>
                <w:sz w:val="18"/>
                <w:szCs w:val="18"/>
              </w:rPr>
              <w:t xml:space="preserve">OAIC training guidance, Example 3 (filters; contractual protections)</w:t>
            </w:r>
          </w:p>
        </w:tc>
      </w:tr>
      <w:tr>
        <w:trPr>
          <w:tblHeader w:val="false"/>
        </w:trPr>
        <w:tc>
          <w:tcPr>
            <w:tcW w:type="dxa" w:w="4680"/>
            <w:tcMar>
              <w:top w:type="dxa" w:w="60"/>
              <w:left w:type="dxa" w:w="100"/>
              <w:bottom w:type="dxa" w:w="60"/>
              <w:right w:type="dxa" w:w="100"/>
            </w:tcMar>
          </w:tcPr>
          <w:p>
            <w:r>
              <w:rPr>
                <w:b w:val="false"/>
                <w:bCs w:val="false"/>
                <w:sz w:val="18"/>
                <w:szCs w:val="18"/>
              </w:rPr>
              <w:t xml:space="preserve">17</w:t>
            </w:r>
          </w:p>
        </w:tc>
        <w:tc>
          <w:tcPr>
            <w:tcW w:type="dxa" w:w="4680"/>
            <w:tcMar>
              <w:top w:type="dxa" w:w="60"/>
              <w:left w:type="dxa" w:w="100"/>
              <w:bottom w:type="dxa" w:w="60"/>
              <w:right w:type="dxa" w:w="100"/>
            </w:tcMar>
          </w:tcPr>
          <w:p>
            <w:r>
              <w:rPr>
                <w:b w:val="false"/>
                <w:bCs w:val="false"/>
                <w:sz w:val="18"/>
                <w:szCs w:val="18"/>
              </w:rPr>
              <w:t xml:space="preserve">Guidance for AI adoption: foundations, practices 1.1-1.6, 2.1-2.4, 3.1-3.5, 4.1-4.5, 5.1-5.6, 6.1-6.4</w:t>
            </w:r>
          </w:p>
        </w:tc>
      </w:tr>
      <w:tr>
        <w:trPr>
          <w:tblHeader w:val="false"/>
        </w:trPr>
        <w:tc>
          <w:tcPr>
            <w:tcW w:type="dxa" w:w="4680"/>
            <w:tcMar>
              <w:top w:type="dxa" w:w="60"/>
              <w:left w:type="dxa" w:w="100"/>
              <w:bottom w:type="dxa" w:w="60"/>
              <w:right w:type="dxa" w:w="100"/>
            </w:tcMar>
          </w:tcPr>
          <w:p>
            <w:r>
              <w:rPr>
                <w:b w:val="false"/>
                <w:bCs w:val="false"/>
                <w:sz w:val="18"/>
                <w:szCs w:val="18"/>
              </w:rPr>
              <w:t xml:space="preserve">18.1</w:t>
            </w:r>
          </w:p>
        </w:tc>
        <w:tc>
          <w:tcPr>
            <w:tcW w:type="dxa" w:w="4680"/>
            <w:tcMar>
              <w:top w:type="dxa" w:w="60"/>
              <w:left w:type="dxa" w:w="100"/>
              <w:bottom w:type="dxa" w:w="60"/>
              <w:right w:type="dxa" w:w="100"/>
            </w:tcMar>
          </w:tcPr>
          <w:p>
            <w:r>
              <w:rPr>
                <w:b w:val="false"/>
                <w:bCs w:val="false"/>
                <w:sz w:val="18"/>
                <w:szCs w:val="18"/>
              </w:rPr>
              <w:t xml:space="preserve">Sch 2 cl 7(1)(a)-(e), 7(2), 7(3), 7(5)(a)-(b)</w:t>
            </w:r>
          </w:p>
        </w:tc>
      </w:tr>
      <w:tr>
        <w:trPr>
          <w:tblHeader w:val="false"/>
        </w:trPr>
        <w:tc>
          <w:tcPr>
            <w:tcW w:type="dxa" w:w="4680"/>
            <w:tcMar>
              <w:top w:type="dxa" w:w="60"/>
              <w:left w:type="dxa" w:w="100"/>
              <w:bottom w:type="dxa" w:w="60"/>
              <w:right w:type="dxa" w:w="100"/>
            </w:tcMar>
          </w:tcPr>
          <w:p>
            <w:r>
              <w:rPr>
                <w:b w:val="false"/>
                <w:bCs w:val="false"/>
                <w:sz w:val="18"/>
                <w:szCs w:val="18"/>
              </w:rPr>
              <w:t xml:space="preserve">18.4</w:t>
            </w:r>
          </w:p>
        </w:tc>
        <w:tc>
          <w:tcPr>
            <w:tcW w:type="dxa" w:w="4680"/>
            <w:tcMar>
              <w:top w:type="dxa" w:w="60"/>
              <w:left w:type="dxa" w:w="100"/>
              <w:bottom w:type="dxa" w:w="60"/>
              <w:right w:type="dxa" w:w="100"/>
            </w:tcMar>
          </w:tcPr>
          <w:p>
            <w:r>
              <w:rPr>
                <w:b w:val="false"/>
                <w:bCs w:val="false"/>
                <w:sz w:val="18"/>
                <w:szCs w:val="18"/>
              </w:rPr>
              <w:t xml:space="preserve">s 6(1) "sensitive information" (d); APP 3.3; implementation guidance risk attributes, "Context" (children, public spaces)</w:t>
            </w:r>
          </w:p>
        </w:tc>
      </w:tr>
      <w:tr>
        <w:trPr>
          <w:tblHeader w:val="false"/>
        </w:trPr>
        <w:tc>
          <w:tcPr>
            <w:tcW w:type="dxa" w:w="4680"/>
            <w:tcMar>
              <w:top w:type="dxa" w:w="60"/>
              <w:left w:type="dxa" w:w="100"/>
              <w:bottom w:type="dxa" w:w="60"/>
              <w:right w:type="dxa" w:w="100"/>
            </w:tcMar>
          </w:tcPr>
          <w:p>
            <w:r>
              <w:rPr>
                <w:b w:val="false"/>
                <w:bCs w:val="false"/>
                <w:sz w:val="18"/>
                <w:szCs w:val="18"/>
              </w:rPr>
              <w:t xml:space="preserve">19.1</w:t>
            </w:r>
          </w:p>
        </w:tc>
        <w:tc>
          <w:tcPr>
            <w:tcW w:type="dxa" w:w="4680"/>
            <w:tcMar>
              <w:top w:type="dxa" w:w="60"/>
              <w:left w:type="dxa" w:w="100"/>
              <w:bottom w:type="dxa" w:w="60"/>
              <w:right w:type="dxa" w:w="100"/>
            </w:tcMar>
          </w:tcPr>
          <w:p>
            <w:r>
              <w:rPr>
                <w:b w:val="false"/>
                <w:bCs w:val="false"/>
                <w:sz w:val="18"/>
                <w:szCs w:val="18"/>
              </w:rPr>
              <w:t xml:space="preserve">OAIC commercial AI guidance (impacts acute for children and vulnerable people); implementation guidance, "Context"</w:t>
            </w:r>
          </w:p>
        </w:tc>
      </w:tr>
      <w:tr>
        <w:trPr>
          <w:tblHeader w:val="false"/>
        </w:trPr>
        <w:tc>
          <w:tcPr>
            <w:tcW w:type="dxa" w:w="4680"/>
            <w:tcMar>
              <w:top w:type="dxa" w:w="60"/>
              <w:left w:type="dxa" w:w="100"/>
              <w:bottom w:type="dxa" w:w="60"/>
              <w:right w:type="dxa" w:w="100"/>
            </w:tcMar>
          </w:tcPr>
          <w:p>
            <w:r>
              <w:rPr>
                <w:b w:val="false"/>
                <w:bCs w:val="false"/>
                <w:sz w:val="18"/>
                <w:szCs w:val="18"/>
              </w:rPr>
              <w:t xml:space="preserve">19.2</w:t>
            </w:r>
          </w:p>
        </w:tc>
        <w:tc>
          <w:tcPr>
            <w:tcW w:type="dxa" w:w="4680"/>
            <w:tcMar>
              <w:top w:type="dxa" w:w="60"/>
              <w:left w:type="dxa" w:w="100"/>
              <w:bottom w:type="dxa" w:w="60"/>
              <w:right w:type="dxa" w:w="100"/>
            </w:tcMar>
          </w:tcPr>
          <w:p>
            <w:r>
              <w:rPr>
                <w:b w:val="false"/>
                <w:bCs w:val="false"/>
                <w:sz w:val="18"/>
                <w:szCs w:val="18"/>
              </w:rPr>
              <w:t xml:space="preserve">s 26GC(1), (10)</w:t>
            </w:r>
          </w:p>
        </w:tc>
      </w:tr>
      <w:tr>
        <w:trPr>
          <w:tblHeader w:val="false"/>
        </w:trPr>
        <w:tc>
          <w:tcPr>
            <w:tcW w:type="dxa" w:w="4680"/>
            <w:tcMar>
              <w:top w:type="dxa" w:w="60"/>
              <w:left w:type="dxa" w:w="100"/>
              <w:bottom w:type="dxa" w:w="60"/>
              <w:right w:type="dxa" w:w="100"/>
            </w:tcMar>
          </w:tcPr>
          <w:p>
            <w:r>
              <w:rPr>
                <w:b w:val="false"/>
                <w:bCs w:val="false"/>
                <w:sz w:val="18"/>
                <w:szCs w:val="18"/>
              </w:rPr>
              <w:t xml:space="preserve">20.5</w:t>
            </w:r>
          </w:p>
        </w:tc>
        <w:tc>
          <w:tcPr>
            <w:tcW w:type="dxa" w:w="4680"/>
            <w:tcMar>
              <w:top w:type="dxa" w:w="60"/>
              <w:left w:type="dxa" w:w="100"/>
              <w:bottom w:type="dxa" w:w="60"/>
              <w:right w:type="dxa" w:w="100"/>
            </w:tcMar>
          </w:tcPr>
          <w:p>
            <w:r>
              <w:rPr>
                <w:b w:val="false"/>
                <w:bCs w:val="false"/>
                <w:sz w:val="18"/>
                <w:szCs w:val="18"/>
              </w:rPr>
              <w:t xml:space="preserve">ss 26WE(2), 26WH(2)(a)-(b), 26WK(2)-(3), 26WL(2); 26WF (remedial action)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20.6</w:t>
            </w:r>
          </w:p>
        </w:tc>
        <w:tc>
          <w:tcPr>
            <w:tcW w:type="dxa" w:w="4680"/>
            <w:tcMar>
              <w:top w:type="dxa" w:w="60"/>
              <w:left w:type="dxa" w:w="100"/>
              <w:bottom w:type="dxa" w:w="60"/>
              <w:right w:type="dxa" w:w="100"/>
            </w:tcMar>
          </w:tcPr>
          <w:p>
            <w:r>
              <w:rPr>
                <w:b w:val="false"/>
                <w:bCs w:val="false"/>
                <w:sz w:val="18"/>
                <w:szCs w:val="18"/>
              </w:rPr>
              <w:t xml:space="preserve">House; implementation guidance practice 5; anti-discrimination law named, not held</w:t>
            </w:r>
          </w:p>
        </w:tc>
      </w:tr>
      <w:tr>
        <w:trPr>
          <w:tblHeader w:val="false"/>
        </w:trPr>
        <w:tc>
          <w:tcPr>
            <w:tcW w:type="dxa" w:w="4680"/>
            <w:tcMar>
              <w:top w:type="dxa" w:w="60"/>
              <w:left w:type="dxa" w:w="100"/>
              <w:bottom w:type="dxa" w:w="60"/>
              <w:right w:type="dxa" w:w="100"/>
            </w:tcMar>
          </w:tcPr>
          <w:p>
            <w:r>
              <w:rPr>
                <w:b w:val="false"/>
                <w:bCs w:val="false"/>
                <w:sz w:val="18"/>
                <w:szCs w:val="18"/>
              </w:rPr>
              <w:t xml:space="preserve">21</w:t>
            </w:r>
          </w:p>
        </w:tc>
        <w:tc>
          <w:tcPr>
            <w:tcW w:type="dxa" w:w="4680"/>
            <w:tcMar>
              <w:top w:type="dxa" w:w="60"/>
              <w:left w:type="dxa" w:w="100"/>
              <w:bottom w:type="dxa" w:w="60"/>
              <w:right w:type="dxa" w:w="100"/>
            </w:tcMar>
          </w:tcPr>
          <w:p>
            <w:r>
              <w:rPr>
                <w:b w:val="false"/>
                <w:bCs w:val="false"/>
                <w:sz w:val="18"/>
                <w:szCs w:val="18"/>
              </w:rPr>
              <w:t xml:space="preserve">OAIC commercial AI guidance, "What ongoing assurance processes are needed?" (training staff on the specific product)</w:t>
            </w:r>
          </w:p>
        </w:tc>
      </w:tr>
      <w:tr>
        <w:trPr>
          <w:tblHeader w:val="false"/>
        </w:trPr>
        <w:tc>
          <w:tcPr>
            <w:tcW w:type="dxa" w:w="4680"/>
            <w:tcMar>
              <w:top w:type="dxa" w:w="60"/>
              <w:left w:type="dxa" w:w="100"/>
              <w:bottom w:type="dxa" w:w="60"/>
              <w:right w:type="dxa" w:w="100"/>
            </w:tcMar>
          </w:tcPr>
          <w:p>
            <w:r>
              <w:rPr>
                <w:b w:val="false"/>
                <w:bCs w:val="false"/>
                <w:sz w:val="18"/>
                <w:szCs w:val="18"/>
              </w:rPr>
              <w:t xml:space="preserve">22</w:t>
            </w:r>
          </w:p>
        </w:tc>
        <w:tc>
          <w:tcPr>
            <w:tcW w:type="dxa" w:w="4680"/>
            <w:tcMar>
              <w:top w:type="dxa" w:w="60"/>
              <w:left w:type="dxa" w:w="100"/>
              <w:bottom w:type="dxa" w:w="60"/>
              <w:right w:type="dxa" w:w="100"/>
            </w:tcMar>
          </w:tcPr>
          <w:p>
            <w:r>
              <w:rPr>
                <w:b w:val="false"/>
                <w:bCs w:val="false"/>
                <w:sz w:val="18"/>
                <w:szCs w:val="18"/>
              </w:rPr>
              <w:t xml:space="preserve">Implementation guidance, "AI risks or harms and general laws that may apply" (the list of regimes named); National AI Plan p. 29 (no text-and-data-mining exception)</w:t>
            </w:r>
          </w:p>
        </w:tc>
      </w:tr>
    </w:tbl>
    <w:p>
      <w:pPr>
        <w:spacing w:after="120"/>
      </w:pPr>
    </w:p>
    <w:p>
      <w:pPr>
        <w:pStyle w:val="Heading1"/>
        <w:spacing w:after="120" w:before="280"/>
      </w:pPr>
      <w:r>
        <w:rPr>
          <w:color w:val="2E74B5"/>
        </w:rPr>
        <w:t xml:space="preserve">4. Clause-by-clause basis - annex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Clause</w:t>
            </w:r>
          </w:p>
        </w:tc>
        <w:tc>
          <w:tcPr>
            <w:tcW w:type="dxa" w:w="4680"/>
            <w:shd w:fill="DEEAF6" w:color="auto" w:val="clear"/>
            <w:tcMar>
              <w:top w:type="dxa" w:w="60"/>
              <w:left w:type="dxa" w:w="100"/>
              <w:bottom w:type="dxa" w:w="60"/>
              <w:right w:type="dxa" w:w="100"/>
            </w:tcMar>
          </w:tcPr>
          <w:p>
            <w:r>
              <w:rPr>
                <w:b/>
                <w:bCs/>
                <w:sz w:val="18"/>
                <w:szCs w:val="18"/>
              </w:rPr>
              <w:t xml:space="preserve">Rests on</w:t>
            </w:r>
          </w:p>
        </w:tc>
      </w:tr>
      <w:tr>
        <w:trPr>
          <w:tblHeader w:val="false"/>
        </w:trPr>
        <w:tc>
          <w:tcPr>
            <w:tcW w:type="dxa" w:w="4680"/>
            <w:tcMar>
              <w:top w:type="dxa" w:w="60"/>
              <w:left w:type="dxa" w:w="100"/>
              <w:bottom w:type="dxa" w:w="60"/>
              <w:right w:type="dxa" w:w="100"/>
            </w:tcMar>
          </w:tcPr>
          <w:p>
            <w:r>
              <w:rPr>
                <w:b w:val="false"/>
                <w:bCs w:val="false"/>
                <w:sz w:val="18"/>
                <w:szCs w:val="18"/>
              </w:rPr>
              <w:t xml:space="preserve">A1</w:t>
            </w:r>
          </w:p>
        </w:tc>
        <w:tc>
          <w:tcPr>
            <w:tcW w:type="dxa" w:w="4680"/>
            <w:tcMar>
              <w:top w:type="dxa" w:w="60"/>
              <w:left w:type="dxa" w:w="100"/>
              <w:bottom w:type="dxa" w:w="60"/>
              <w:right w:type="dxa" w:w="100"/>
            </w:tcMar>
          </w:tcPr>
          <w:p>
            <w:r>
              <w:rPr>
                <w:b w:val="false"/>
                <w:bCs w:val="false"/>
                <w:sz w:val="18"/>
                <w:szCs w:val="18"/>
              </w:rPr>
              <w:t xml:space="preserve">Foundations practice 1 (1.1-1.6); APP 1.2</w:t>
            </w:r>
          </w:p>
        </w:tc>
      </w:tr>
      <w:tr>
        <w:trPr>
          <w:tblHeader w:val="false"/>
        </w:trPr>
        <w:tc>
          <w:tcPr>
            <w:tcW w:type="dxa" w:w="4680"/>
            <w:tcMar>
              <w:top w:type="dxa" w:w="60"/>
              <w:left w:type="dxa" w:w="100"/>
              <w:bottom w:type="dxa" w:w="60"/>
              <w:right w:type="dxa" w:w="100"/>
            </w:tcMar>
          </w:tcPr>
          <w:p>
            <w:r>
              <w:rPr>
                <w:b w:val="false"/>
                <w:bCs w:val="false"/>
                <w:sz w:val="18"/>
                <w:szCs w:val="18"/>
              </w:rPr>
              <w:t xml:space="preserve">A2</w:t>
            </w:r>
          </w:p>
        </w:tc>
        <w:tc>
          <w:tcPr>
            <w:tcW w:type="dxa" w:w="4680"/>
            <w:tcMar>
              <w:top w:type="dxa" w:w="60"/>
              <w:left w:type="dxa" w:w="100"/>
              <w:bottom w:type="dxa" w:w="60"/>
              <w:right w:type="dxa" w:w="100"/>
            </w:tcMar>
          </w:tcPr>
          <w:p>
            <w:r>
              <w:rPr>
                <w:b w:val="false"/>
                <w:bCs w:val="false"/>
                <w:sz w:val="18"/>
                <w:szCs w:val="18"/>
              </w:rPr>
              <w:t xml:space="preserve">Foundations practice 4.1 (AI register including embedded AI); APP 1.4</w:t>
            </w:r>
          </w:p>
        </w:tc>
      </w:tr>
      <w:tr>
        <w:trPr>
          <w:tblHeader w:val="false"/>
        </w:trPr>
        <w:tc>
          <w:tcPr>
            <w:tcW w:type="dxa" w:w="4680"/>
            <w:tcMar>
              <w:top w:type="dxa" w:w="60"/>
              <w:left w:type="dxa" w:w="100"/>
              <w:bottom w:type="dxa" w:w="60"/>
              <w:right w:type="dxa" w:w="100"/>
            </w:tcMar>
          </w:tcPr>
          <w:p>
            <w:r>
              <w:rPr>
                <w:b w:val="false"/>
                <w:bCs w:val="false"/>
                <w:sz w:val="18"/>
                <w:szCs w:val="18"/>
              </w:rPr>
              <w:t xml:space="preserve">A3</w:t>
            </w:r>
          </w:p>
        </w:tc>
        <w:tc>
          <w:tcPr>
            <w:tcW w:type="dxa" w:w="4680"/>
            <w:tcMar>
              <w:top w:type="dxa" w:w="60"/>
              <w:left w:type="dxa" w:w="100"/>
              <w:bottom w:type="dxa" w:w="60"/>
              <w:right w:type="dxa" w:w="100"/>
            </w:tcMar>
          </w:tcPr>
          <w:p>
            <w:r>
              <w:rPr>
                <w:b w:val="false"/>
                <w:bCs w:val="false"/>
                <w:sz w:val="18"/>
                <w:szCs w:val="18"/>
              </w:rPr>
              <w:t xml:space="preserve">Amending Act s 2 items 7, 8; s 26GC(10); issues paper p. 4 (guidance by September 2026)</w:t>
            </w:r>
          </w:p>
        </w:tc>
      </w:tr>
      <w:tr>
        <w:trPr>
          <w:tblHeader w:val="false"/>
        </w:trPr>
        <w:tc>
          <w:tcPr>
            <w:tcW w:type="dxa" w:w="4680"/>
            <w:tcMar>
              <w:top w:type="dxa" w:w="60"/>
              <w:left w:type="dxa" w:w="100"/>
              <w:bottom w:type="dxa" w:w="60"/>
              <w:right w:type="dxa" w:w="100"/>
            </w:tcMar>
          </w:tcPr>
          <w:p>
            <w:r>
              <w:rPr>
                <w:b w:val="false"/>
                <w:bCs w:val="false"/>
                <w:sz w:val="18"/>
                <w:szCs w:val="18"/>
              </w:rPr>
              <w:t xml:space="preserve">A4.1-A4.4</w:t>
            </w:r>
          </w:p>
        </w:tc>
        <w:tc>
          <w:tcPr>
            <w:tcW w:type="dxa" w:w="4680"/>
            <w:tcMar>
              <w:top w:type="dxa" w:w="60"/>
              <w:left w:type="dxa" w:w="100"/>
              <w:bottom w:type="dxa" w:w="60"/>
              <w:right w:type="dxa" w:w="100"/>
            </w:tcMar>
          </w:tcPr>
          <w:p>
            <w:r>
              <w:rPr>
                <w:b w:val="false"/>
                <w:bCs w:val="false"/>
                <w:sz w:val="18"/>
                <w:szCs w:val="18"/>
              </w:rPr>
              <w:t xml:space="preserve">APP 1.7-1.9; Explanatory Memorandum paras 336-337, 343 as quoted in the issues paper</w:t>
            </w:r>
          </w:p>
        </w:tc>
      </w:tr>
      <w:tr>
        <w:trPr>
          <w:tblHeader w:val="false"/>
        </w:trPr>
        <w:tc>
          <w:tcPr>
            <w:tcW w:type="dxa" w:w="4680"/>
            <w:tcMar>
              <w:top w:type="dxa" w:w="60"/>
              <w:left w:type="dxa" w:w="100"/>
              <w:bottom w:type="dxa" w:w="60"/>
              <w:right w:type="dxa" w:w="100"/>
            </w:tcMar>
          </w:tcPr>
          <w:p>
            <w:r>
              <w:rPr>
                <w:b w:val="false"/>
                <w:bCs w:val="false"/>
                <w:sz w:val="18"/>
                <w:szCs w:val="18"/>
              </w:rPr>
              <w:t xml:space="preserve">A4.6</w:t>
            </w:r>
          </w:p>
        </w:tc>
        <w:tc>
          <w:tcPr>
            <w:tcW w:type="dxa" w:w="4680"/>
            <w:tcMar>
              <w:top w:type="dxa" w:w="60"/>
              <w:left w:type="dxa" w:w="100"/>
              <w:bottom w:type="dxa" w:w="60"/>
              <w:right w:type="dxa" w:w="100"/>
            </w:tcMar>
          </w:tcPr>
          <w:p>
            <w:r>
              <w:rPr>
                <w:b w:val="false"/>
                <w:bCs w:val="false"/>
                <w:sz w:val="18"/>
                <w:szCs w:val="18"/>
              </w:rPr>
              <w:t xml:space="preserve">APP 1.8; item 89</w:t>
            </w:r>
          </w:p>
        </w:tc>
      </w:tr>
      <w:tr>
        <w:trPr>
          <w:tblHeader w:val="false"/>
        </w:trPr>
        <w:tc>
          <w:tcPr>
            <w:tcW w:type="dxa" w:w="4680"/>
            <w:tcMar>
              <w:top w:type="dxa" w:w="60"/>
              <w:left w:type="dxa" w:w="100"/>
              <w:bottom w:type="dxa" w:w="60"/>
              <w:right w:type="dxa" w:w="100"/>
            </w:tcMar>
          </w:tcPr>
          <w:p>
            <w:r>
              <w:rPr>
                <w:b w:val="false"/>
                <w:bCs w:val="false"/>
                <w:sz w:val="18"/>
                <w:szCs w:val="18"/>
              </w:rPr>
              <w:t xml:space="preserve">A5</w:t>
            </w:r>
          </w:p>
        </w:tc>
        <w:tc>
          <w:tcPr>
            <w:tcW w:type="dxa" w:w="4680"/>
            <w:tcMar>
              <w:top w:type="dxa" w:w="60"/>
              <w:left w:type="dxa" w:w="100"/>
              <w:bottom w:type="dxa" w:w="60"/>
              <w:right w:type="dxa" w:w="100"/>
            </w:tcMar>
          </w:tcPr>
          <w:p>
            <w:r>
              <w:rPr>
                <w:b w:val="false"/>
                <w:bCs w:val="false"/>
                <w:sz w:val="18"/>
                <w:szCs w:val="18"/>
              </w:rPr>
              <w:t xml:space="preserve">Implementation guidance, "AI system attributes and their levels of risk" pp. 11-13; foundations practice 3</w:t>
            </w:r>
          </w:p>
        </w:tc>
      </w:tr>
      <w:tr>
        <w:trPr>
          <w:tblHeader w:val="false"/>
        </w:trPr>
        <w:tc>
          <w:tcPr>
            <w:tcW w:type="dxa" w:w="4680"/>
            <w:tcMar>
              <w:top w:type="dxa" w:w="60"/>
              <w:left w:type="dxa" w:w="100"/>
              <w:bottom w:type="dxa" w:w="60"/>
              <w:right w:type="dxa" w:w="100"/>
            </w:tcMar>
          </w:tcPr>
          <w:p>
            <w:r>
              <w:rPr>
                <w:b w:val="false"/>
                <w:bCs w:val="false"/>
                <w:sz w:val="18"/>
                <w:szCs w:val="18"/>
              </w:rPr>
              <w:t xml:space="preserve">A6</w:t>
            </w:r>
          </w:p>
        </w:tc>
        <w:tc>
          <w:tcPr>
            <w:tcW w:type="dxa" w:w="4680"/>
            <w:tcMar>
              <w:top w:type="dxa" w:w="60"/>
              <w:left w:type="dxa" w:w="100"/>
              <w:bottom w:type="dxa" w:w="60"/>
              <w:right w:type="dxa" w:w="100"/>
            </w:tcMar>
          </w:tcPr>
          <w:p>
            <w:r>
              <w:rPr>
                <w:b w:val="false"/>
                <w:bCs w:val="false"/>
                <w:sz w:val="18"/>
                <w:szCs w:val="18"/>
              </w:rPr>
              <w:t xml:space="preserve">APP 1.2; OAIC commercial AI guidance, "Privacy by design" (PIA); OAIC training guidance, "Privacy by design (APP 1)" (PIA as ongoing); foundations practice 2.1</w:t>
            </w:r>
          </w:p>
        </w:tc>
      </w:tr>
      <w:tr>
        <w:trPr>
          <w:tblHeader w:val="false"/>
        </w:trPr>
        <w:tc>
          <w:tcPr>
            <w:tcW w:type="dxa" w:w="4680"/>
            <w:tcMar>
              <w:top w:type="dxa" w:w="60"/>
              <w:left w:type="dxa" w:w="100"/>
              <w:bottom w:type="dxa" w:w="60"/>
              <w:right w:type="dxa" w:w="100"/>
            </w:tcMar>
          </w:tcPr>
          <w:p>
            <w:r>
              <w:rPr>
                <w:b w:val="false"/>
                <w:bCs w:val="false"/>
                <w:sz w:val="18"/>
                <w:szCs w:val="18"/>
              </w:rPr>
              <w:t xml:space="preserve">A7.1-A7.2</w:t>
            </w:r>
          </w:p>
        </w:tc>
        <w:tc>
          <w:tcPr>
            <w:tcW w:type="dxa" w:w="4680"/>
            <w:tcMar>
              <w:top w:type="dxa" w:w="60"/>
              <w:left w:type="dxa" w:w="100"/>
              <w:bottom w:type="dxa" w:w="60"/>
              <w:right w:type="dxa" w:w="100"/>
            </w:tcMar>
          </w:tcPr>
          <w:p>
            <w:r>
              <w:rPr>
                <w:b w:val="false"/>
                <w:bCs w:val="false"/>
                <w:sz w:val="18"/>
                <w:szCs w:val="18"/>
              </w:rPr>
              <w:t xml:space="preserve">OAIC commercial AI guidance, "Who will have access to data in the AI system?"; s 26WH(2)(b) (thirty days)</w:t>
            </w:r>
          </w:p>
        </w:tc>
      </w:tr>
      <w:tr>
        <w:trPr>
          <w:tblHeader w:val="false"/>
        </w:trPr>
        <w:tc>
          <w:tcPr>
            <w:tcW w:type="dxa" w:w="4680"/>
            <w:tcMar>
              <w:top w:type="dxa" w:w="60"/>
              <w:left w:type="dxa" w:w="100"/>
              <w:bottom w:type="dxa" w:w="60"/>
              <w:right w:type="dxa" w:w="100"/>
            </w:tcMar>
          </w:tcPr>
          <w:p>
            <w:r>
              <w:rPr>
                <w:b w:val="false"/>
                <w:bCs w:val="false"/>
                <w:sz w:val="18"/>
                <w:szCs w:val="18"/>
              </w:rPr>
              <w:t xml:space="preserve">A7.3</w:t>
            </w:r>
          </w:p>
        </w:tc>
        <w:tc>
          <w:tcPr>
            <w:tcW w:type="dxa" w:w="4680"/>
            <w:tcMar>
              <w:top w:type="dxa" w:w="60"/>
              <w:left w:type="dxa" w:w="100"/>
              <w:bottom w:type="dxa" w:w="60"/>
              <w:right w:type="dxa" w:w="100"/>
            </w:tcMar>
          </w:tcPr>
          <w:p>
            <w:r>
              <w:rPr>
                <w:b w:val="false"/>
                <w:bCs w:val="false"/>
                <w:sz w:val="18"/>
                <w:szCs w:val="18"/>
              </w:rPr>
              <w:t xml:space="preserve">APP 8.1, 8.2(a), (aa), (b); s 16C (accountability for overseas recipient, referred to in the note to APP 8.1); OAIC commercial AI guidance (on-premises more privacy-preserving)</w:t>
            </w:r>
          </w:p>
        </w:tc>
      </w:tr>
      <w:tr>
        <w:trPr>
          <w:tblHeader w:val="false"/>
        </w:trPr>
        <w:tc>
          <w:tcPr>
            <w:tcW w:type="dxa" w:w="4680"/>
            <w:tcMar>
              <w:top w:type="dxa" w:w="60"/>
              <w:left w:type="dxa" w:w="100"/>
              <w:bottom w:type="dxa" w:w="60"/>
              <w:right w:type="dxa" w:w="100"/>
            </w:tcMar>
          </w:tcPr>
          <w:p>
            <w:r>
              <w:rPr>
                <w:b w:val="false"/>
                <w:bCs w:val="false"/>
                <w:sz w:val="18"/>
                <w:szCs w:val="18"/>
              </w:rPr>
              <w:t xml:space="preserve">A8</w:t>
            </w:r>
          </w:p>
        </w:tc>
        <w:tc>
          <w:tcPr>
            <w:tcW w:type="dxa" w:w="4680"/>
            <w:tcMar>
              <w:top w:type="dxa" w:w="60"/>
              <w:left w:type="dxa" w:w="100"/>
              <w:bottom w:type="dxa" w:w="60"/>
              <w:right w:type="dxa" w:w="100"/>
            </w:tcMar>
          </w:tcPr>
          <w:p>
            <w:r>
              <w:rPr>
                <w:b w:val="false"/>
                <w:bCs w:val="false"/>
                <w:sz w:val="18"/>
                <w:szCs w:val="18"/>
              </w:rPr>
              <w:t xml:space="preserve">Foundations practice 5 (5.1-5.6) and 6 (6.2, 6.4)</w:t>
            </w:r>
          </w:p>
        </w:tc>
      </w:tr>
      <w:tr>
        <w:trPr>
          <w:tblHeader w:val="false"/>
        </w:trPr>
        <w:tc>
          <w:tcPr>
            <w:tcW w:type="dxa" w:w="4680"/>
            <w:tcMar>
              <w:top w:type="dxa" w:w="60"/>
              <w:left w:type="dxa" w:w="100"/>
              <w:bottom w:type="dxa" w:w="60"/>
              <w:right w:type="dxa" w:w="100"/>
            </w:tcMar>
          </w:tcPr>
          <w:p>
            <w:r>
              <w:rPr>
                <w:b w:val="false"/>
                <w:bCs w:val="false"/>
                <w:sz w:val="18"/>
                <w:szCs w:val="18"/>
              </w:rPr>
              <w:t xml:space="preserve">A9.1</w:t>
            </w:r>
          </w:p>
        </w:tc>
        <w:tc>
          <w:tcPr>
            <w:tcW w:type="dxa" w:w="4680"/>
            <w:tcMar>
              <w:top w:type="dxa" w:w="60"/>
              <w:left w:type="dxa" w:w="100"/>
              <w:bottom w:type="dxa" w:w="60"/>
              <w:right w:type="dxa" w:w="100"/>
            </w:tcMar>
          </w:tcPr>
          <w:p>
            <w:r>
              <w:rPr>
                <w:b w:val="false"/>
                <w:bCs w:val="false"/>
                <w:sz w:val="18"/>
                <w:szCs w:val="18"/>
              </w:rPr>
              <w:t xml:space="preserve">ss 26WH(2), 26WK(2), 26WL(2), 26WF</w:t>
            </w:r>
          </w:p>
        </w:tc>
      </w:tr>
      <w:tr>
        <w:trPr>
          <w:tblHeader w:val="false"/>
        </w:trPr>
        <w:tc>
          <w:tcPr>
            <w:tcW w:type="dxa" w:w="4680"/>
            <w:tcMar>
              <w:top w:type="dxa" w:w="60"/>
              <w:left w:type="dxa" w:w="100"/>
              <w:bottom w:type="dxa" w:w="60"/>
              <w:right w:type="dxa" w:w="100"/>
            </w:tcMar>
          </w:tcPr>
          <w:p>
            <w:r>
              <w:rPr>
                <w:b w:val="false"/>
                <w:bCs w:val="false"/>
                <w:sz w:val="18"/>
                <w:szCs w:val="18"/>
              </w:rPr>
              <w:t xml:space="preserve">A10.1</w:t>
            </w:r>
          </w:p>
        </w:tc>
        <w:tc>
          <w:tcPr>
            <w:tcW w:type="dxa" w:w="4680"/>
            <w:tcMar>
              <w:top w:type="dxa" w:w="60"/>
              <w:left w:type="dxa" w:w="100"/>
              <w:bottom w:type="dxa" w:w="60"/>
              <w:right w:type="dxa" w:w="100"/>
            </w:tcMar>
          </w:tcPr>
          <w:p>
            <w:r>
              <w:rPr>
                <w:b w:val="false"/>
                <w:bCs w:val="false"/>
                <w:sz w:val="18"/>
                <w:szCs w:val="18"/>
              </w:rPr>
              <w:t xml:space="preserve">APP 12.1, 12.4, 12.8, 12.9; APP 13.1, 13.3-13.5</w:t>
            </w:r>
          </w:p>
        </w:tc>
      </w:tr>
      <w:tr>
        <w:trPr>
          <w:tblHeader w:val="false"/>
        </w:trPr>
        <w:tc>
          <w:tcPr>
            <w:tcW w:type="dxa" w:w="4680"/>
            <w:tcMar>
              <w:top w:type="dxa" w:w="60"/>
              <w:left w:type="dxa" w:w="100"/>
              <w:bottom w:type="dxa" w:w="60"/>
              <w:right w:type="dxa" w:w="100"/>
            </w:tcMar>
          </w:tcPr>
          <w:p>
            <w:r>
              <w:rPr>
                <w:b w:val="false"/>
                <w:bCs w:val="false"/>
                <w:sz w:val="18"/>
                <w:szCs w:val="18"/>
              </w:rPr>
              <w:t xml:space="preserve">A10.2</w:t>
            </w:r>
          </w:p>
        </w:tc>
        <w:tc>
          <w:tcPr>
            <w:tcW w:type="dxa" w:w="4680"/>
            <w:tcMar>
              <w:top w:type="dxa" w:w="60"/>
              <w:left w:type="dxa" w:w="100"/>
              <w:bottom w:type="dxa" w:w="60"/>
              <w:right w:type="dxa" w:w="100"/>
            </w:tcMar>
          </w:tcPr>
          <w:p>
            <w:r>
              <w:rPr>
                <w:b w:val="false"/>
                <w:bCs w:val="false"/>
                <w:sz w:val="18"/>
                <w:szCs w:val="18"/>
              </w:rPr>
              <w:t xml:space="preserve">Foundations practice 2.2</w:t>
            </w:r>
          </w:p>
        </w:tc>
      </w:tr>
      <w:tr>
        <w:trPr>
          <w:tblHeader w:val="false"/>
        </w:trPr>
        <w:tc>
          <w:tcPr>
            <w:tcW w:type="dxa" w:w="4680"/>
            <w:tcMar>
              <w:top w:type="dxa" w:w="60"/>
              <w:left w:type="dxa" w:w="100"/>
              <w:bottom w:type="dxa" w:w="60"/>
              <w:right w:type="dxa" w:w="100"/>
            </w:tcMar>
          </w:tcPr>
          <w:p>
            <w:r>
              <w:rPr>
                <w:b w:val="false"/>
                <w:bCs w:val="false"/>
                <w:sz w:val="18"/>
                <w:szCs w:val="18"/>
              </w:rPr>
              <w:t xml:space="preserve">A12</w:t>
            </w:r>
          </w:p>
        </w:tc>
        <w:tc>
          <w:tcPr>
            <w:tcW w:type="dxa" w:w="4680"/>
            <w:tcMar>
              <w:top w:type="dxa" w:w="60"/>
              <w:left w:type="dxa" w:w="100"/>
              <w:bottom w:type="dxa" w:w="60"/>
              <w:right w:type="dxa" w:w="100"/>
            </w:tcMar>
          </w:tcPr>
          <w:p>
            <w:r>
              <w:rPr>
                <w:b w:val="false"/>
                <w:bCs w:val="false"/>
                <w:sz w:val="18"/>
                <w:szCs w:val="18"/>
              </w:rPr>
              <w:t xml:space="preserve">House</w:t>
            </w:r>
          </w:p>
        </w:tc>
      </w:tr>
      <w:tr>
        <w:trPr>
          <w:tblHeader w:val="false"/>
        </w:trPr>
        <w:tc>
          <w:tcPr>
            <w:tcW w:type="dxa" w:w="4680"/>
            <w:tcMar>
              <w:top w:type="dxa" w:w="60"/>
              <w:left w:type="dxa" w:w="100"/>
              <w:bottom w:type="dxa" w:w="60"/>
              <w:right w:type="dxa" w:w="100"/>
            </w:tcMar>
          </w:tcPr>
          <w:p>
            <w:r>
              <w:rPr>
                <w:b w:val="false"/>
                <w:bCs w:val="false"/>
                <w:sz w:val="18"/>
                <w:szCs w:val="18"/>
              </w:rPr>
              <w:t xml:space="preserve">A13</w:t>
            </w:r>
          </w:p>
        </w:tc>
        <w:tc>
          <w:tcPr>
            <w:tcW w:type="dxa" w:w="4680"/>
            <w:tcMar>
              <w:top w:type="dxa" w:w="60"/>
              <w:left w:type="dxa" w:w="100"/>
              <w:bottom w:type="dxa" w:w="60"/>
              <w:right w:type="dxa" w:w="100"/>
            </w:tcMar>
          </w:tcPr>
          <w:p>
            <w:r>
              <w:rPr>
                <w:b w:val="false"/>
                <w:bCs w:val="false"/>
                <w:sz w:val="18"/>
                <w:szCs w:val="18"/>
              </w:rPr>
              <w:t xml:space="preserve">Section 1 above; source register</w:t>
            </w:r>
          </w:p>
        </w:tc>
      </w:tr>
    </w:tbl>
    <w:p>
      <w:pPr>
        <w:spacing w:after="120"/>
      </w:pPr>
    </w:p>
    <w:p>
      <w:pPr>
        <w:pStyle w:val="Heading1"/>
        <w:spacing w:after="120" w:before="280"/>
      </w:pPr>
      <w:r>
        <w:rPr>
          <w:color w:val="2E74B5"/>
        </w:rPr>
        <w:t xml:space="preserve">5. Dates stated in the set, with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Date</w:t>
            </w:r>
          </w:p>
        </w:tc>
        <w:tc>
          <w:tcPr>
            <w:tcW w:type="dxa" w:w="3120"/>
            <w:shd w:fill="DEEAF6" w:color="auto" w:val="clear"/>
            <w:tcMar>
              <w:top w:type="dxa" w:w="60"/>
              <w:left w:type="dxa" w:w="100"/>
              <w:bottom w:type="dxa" w:w="60"/>
              <w:right w:type="dxa" w:w="100"/>
            </w:tcMar>
          </w:tcPr>
          <w:p>
            <w:r>
              <w:rPr>
                <w:b/>
                <w:bCs/>
                <w:sz w:val="18"/>
                <w:szCs w:val="18"/>
              </w:rPr>
              <w:t xml:space="preserve">Meaning</w:t>
            </w:r>
          </w:p>
        </w:tc>
        <w:tc>
          <w:tcPr>
            <w:tcW w:type="dxa" w:w="3120"/>
            <w:shd w:fill="DEEAF6" w:color="auto" w:val="clear"/>
            <w:tcMar>
              <w:top w:type="dxa" w:w="60"/>
              <w:left w:type="dxa" w:w="100"/>
              <w:bottom w:type="dxa" w:w="60"/>
              <w:right w:type="dxa" w:w="100"/>
            </w:tcMar>
          </w:tcPr>
          <w:p>
            <w:r>
              <w:rPr>
                <w:b/>
                <w:bCs/>
                <w:sz w:val="18"/>
                <w:szCs w:val="18"/>
              </w:rPr>
              <w:t xml:space="preserve">Source</w:t>
            </w:r>
          </w:p>
        </w:tc>
      </w:tr>
      <w:tr>
        <w:trPr>
          <w:tblHeader w:val="false"/>
        </w:trPr>
        <w:tc>
          <w:tcPr>
            <w:tcW w:type="dxa" w:w="3120"/>
            <w:tcMar>
              <w:top w:type="dxa" w:w="60"/>
              <w:left w:type="dxa" w:w="100"/>
              <w:bottom w:type="dxa" w:w="60"/>
              <w:right w:type="dxa" w:w="100"/>
            </w:tcMar>
          </w:tcPr>
          <w:p>
            <w:r>
              <w:rPr>
                <w:b w:val="false"/>
                <w:bCs w:val="false"/>
                <w:sz w:val="18"/>
                <w:szCs w:val="18"/>
              </w:rPr>
              <w:t xml:space="preserve">10 December 2024</w:t>
            </w:r>
          </w:p>
        </w:tc>
        <w:tc>
          <w:tcPr>
            <w:tcW w:type="dxa" w:w="3120"/>
            <w:tcMar>
              <w:top w:type="dxa" w:w="60"/>
              <w:left w:type="dxa" w:w="100"/>
              <w:bottom w:type="dxa" w:w="60"/>
              <w:right w:type="dxa" w:w="100"/>
            </w:tcMar>
          </w:tcPr>
          <w:p>
            <w:r>
              <w:rPr>
                <w:b w:val="false"/>
                <w:bCs w:val="false"/>
                <w:sz w:val="18"/>
                <w:szCs w:val="18"/>
              </w:rPr>
              <w:t xml:space="preserve">Royal Assent, amending Act</w:t>
            </w:r>
          </w:p>
        </w:tc>
        <w:tc>
          <w:tcPr>
            <w:tcW w:type="dxa" w:w="3120"/>
            <w:tcMar>
              <w:top w:type="dxa" w:w="60"/>
              <w:left w:type="dxa" w:w="100"/>
              <w:bottom w:type="dxa" w:w="60"/>
              <w:right w:type="dxa" w:w="100"/>
            </w:tcMar>
          </w:tcPr>
          <w:p>
            <w:r>
              <w:rPr>
                <w:b w:val="false"/>
                <w:bCs w:val="false"/>
                <w:sz w:val="18"/>
                <w:szCs w:val="18"/>
              </w:rPr>
              <w:t xml:space="preserve">Amending Act front matter</w:t>
            </w:r>
          </w:p>
        </w:tc>
      </w:tr>
      <w:tr>
        <w:trPr>
          <w:tblHeader w:val="false"/>
        </w:trPr>
        <w:tc>
          <w:tcPr>
            <w:tcW w:type="dxa" w:w="3120"/>
            <w:tcMar>
              <w:top w:type="dxa" w:w="60"/>
              <w:left w:type="dxa" w:w="100"/>
              <w:bottom w:type="dxa" w:w="60"/>
              <w:right w:type="dxa" w:w="100"/>
            </w:tcMar>
          </w:tcPr>
          <w:p>
            <w:r>
              <w:rPr>
                <w:b w:val="false"/>
                <w:bCs w:val="false"/>
                <w:sz w:val="18"/>
                <w:szCs w:val="18"/>
              </w:rPr>
              <w:t xml:space="preserve">11 December 2024</w:t>
            </w:r>
          </w:p>
        </w:tc>
        <w:tc>
          <w:tcPr>
            <w:tcW w:type="dxa" w:w="3120"/>
            <w:tcMar>
              <w:top w:type="dxa" w:w="60"/>
              <w:left w:type="dxa" w:w="100"/>
              <w:bottom w:type="dxa" w:w="60"/>
              <w:right w:type="dxa" w:w="100"/>
            </w:tcMar>
          </w:tcPr>
          <w:p>
            <w:r>
              <w:rPr>
                <w:b w:val="false"/>
                <w:bCs w:val="false"/>
                <w:sz w:val="18"/>
                <w:szCs w:val="18"/>
              </w:rPr>
              <w:t xml:space="preserve">Commencement of Sch 1 Parts 1-7, 9-14 including APP 11.3</w:t>
            </w:r>
          </w:p>
        </w:tc>
        <w:tc>
          <w:tcPr>
            <w:tcW w:type="dxa" w:w="3120"/>
            <w:tcMar>
              <w:top w:type="dxa" w:w="60"/>
              <w:left w:type="dxa" w:w="100"/>
              <w:bottom w:type="dxa" w:w="60"/>
              <w:right w:type="dxa" w:w="100"/>
            </w:tcMar>
          </w:tcPr>
          <w:p>
            <w:r>
              <w:rPr>
                <w:b w:val="false"/>
                <w:bCs w:val="false"/>
                <w:sz w:val="18"/>
                <w:szCs w:val="18"/>
              </w:rPr>
              <w:t xml:space="preserve">s 2 table items 2, 6</w:t>
            </w:r>
          </w:p>
        </w:tc>
      </w:tr>
      <w:tr>
        <w:trPr>
          <w:tblHeader w:val="false"/>
        </w:trPr>
        <w:tc>
          <w:tcPr>
            <w:tcW w:type="dxa" w:w="3120"/>
            <w:tcMar>
              <w:top w:type="dxa" w:w="60"/>
              <w:left w:type="dxa" w:w="100"/>
              <w:bottom w:type="dxa" w:w="60"/>
              <w:right w:type="dxa" w:w="100"/>
            </w:tcMar>
          </w:tcPr>
          <w:p>
            <w:r>
              <w:rPr>
                <w:b w:val="false"/>
                <w:bCs w:val="false"/>
                <w:sz w:val="18"/>
                <w:szCs w:val="18"/>
              </w:rPr>
              <w:t xml:space="preserve">10 June 2025</w:t>
            </w:r>
          </w:p>
        </w:tc>
        <w:tc>
          <w:tcPr>
            <w:tcW w:type="dxa" w:w="3120"/>
            <w:tcMar>
              <w:top w:type="dxa" w:w="60"/>
              <w:left w:type="dxa" w:w="100"/>
              <w:bottom w:type="dxa" w:w="60"/>
              <w:right w:type="dxa" w:w="100"/>
            </w:tcMar>
          </w:tcPr>
          <w:p>
            <w:r>
              <w:rPr>
                <w:b w:val="false"/>
                <w:bCs w:val="false"/>
                <w:sz w:val="18"/>
                <w:szCs w:val="18"/>
              </w:rPr>
              <w:t xml:space="preserve">Commencement of Sch 2 (statutory tort)</w:t>
            </w:r>
          </w:p>
        </w:tc>
        <w:tc>
          <w:tcPr>
            <w:tcW w:type="dxa" w:w="3120"/>
            <w:tcMar>
              <w:top w:type="dxa" w:w="60"/>
              <w:left w:type="dxa" w:w="100"/>
              <w:bottom w:type="dxa" w:w="60"/>
              <w:right w:type="dxa" w:w="100"/>
            </w:tcMar>
          </w:tcPr>
          <w:p>
            <w:r>
              <w:rPr>
                <w:b w:val="false"/>
                <w:bCs w:val="false"/>
                <w:sz w:val="18"/>
                <w:szCs w:val="18"/>
              </w:rPr>
              <w:t xml:space="preserve">s 2 table item 8, column 3; compilation endnote 4</w:t>
            </w:r>
          </w:p>
        </w:tc>
      </w:tr>
      <w:tr>
        <w:trPr>
          <w:tblHeader w:val="false"/>
        </w:trPr>
        <w:tc>
          <w:tcPr>
            <w:tcW w:type="dxa" w:w="3120"/>
            <w:tcMar>
              <w:top w:type="dxa" w:w="60"/>
              <w:left w:type="dxa" w:w="100"/>
              <w:bottom w:type="dxa" w:w="60"/>
              <w:right w:type="dxa" w:w="100"/>
            </w:tcMar>
          </w:tcPr>
          <w:p>
            <w:r>
              <w:rPr>
                <w:b w:val="false"/>
                <w:bCs w:val="false"/>
                <w:sz w:val="18"/>
                <w:szCs w:val="18"/>
              </w:rPr>
              <w:t xml:space="preserve">4 June 2026</w:t>
            </w:r>
          </w:p>
        </w:tc>
        <w:tc>
          <w:tcPr>
            <w:tcW w:type="dxa" w:w="3120"/>
            <w:tcMar>
              <w:top w:type="dxa" w:w="60"/>
              <w:left w:type="dxa" w:w="100"/>
              <w:bottom w:type="dxa" w:w="60"/>
              <w:right w:type="dxa" w:w="100"/>
            </w:tcMar>
          </w:tcPr>
          <w:p>
            <w:r>
              <w:rPr>
                <w:b w:val="false"/>
                <w:bCs w:val="false"/>
                <w:sz w:val="18"/>
                <w:szCs w:val="18"/>
              </w:rPr>
              <w:t xml:space="preserve">Compilation date, Privacy Act</w:t>
            </w:r>
          </w:p>
        </w:tc>
        <w:tc>
          <w:tcPr>
            <w:tcW w:type="dxa" w:w="3120"/>
            <w:tcMar>
              <w:top w:type="dxa" w:w="60"/>
              <w:left w:type="dxa" w:w="100"/>
              <w:bottom w:type="dxa" w:w="60"/>
              <w:right w:type="dxa" w:w="100"/>
            </w:tcMar>
          </w:tcPr>
          <w:p>
            <w:r>
              <w:rPr>
                <w:b w:val="false"/>
                <w:bCs w:val="false"/>
                <w:sz w:val="18"/>
                <w:szCs w:val="18"/>
              </w:rPr>
              <w:t xml:space="preserve">Compilation front matter</w:t>
            </w:r>
          </w:p>
        </w:tc>
      </w:tr>
      <w:tr>
        <w:trPr>
          <w:tblHeader w:val="false"/>
        </w:trPr>
        <w:tc>
          <w:tcPr>
            <w:tcW w:type="dxa" w:w="3120"/>
            <w:tcMar>
              <w:top w:type="dxa" w:w="60"/>
              <w:left w:type="dxa" w:w="100"/>
              <w:bottom w:type="dxa" w:w="60"/>
              <w:right w:type="dxa" w:w="100"/>
            </w:tcMar>
          </w:tcPr>
          <w:p>
            <w:r>
              <w:rPr>
                <w:b w:val="false"/>
                <w:bCs w:val="false"/>
                <w:sz w:val="18"/>
                <w:szCs w:val="18"/>
              </w:rPr>
              <w:t xml:space="preserve">15 June 2026</w:t>
            </w:r>
          </w:p>
        </w:tc>
        <w:tc>
          <w:tcPr>
            <w:tcW w:type="dxa" w:w="3120"/>
            <w:tcMar>
              <w:top w:type="dxa" w:w="60"/>
              <w:left w:type="dxa" w:w="100"/>
              <w:bottom w:type="dxa" w:w="60"/>
              <w:right w:type="dxa" w:w="100"/>
            </w:tcMar>
          </w:tcPr>
          <w:p>
            <w:r>
              <w:rPr>
                <w:b w:val="false"/>
                <w:bCs w:val="false"/>
                <w:sz w:val="18"/>
                <w:szCs w:val="18"/>
              </w:rPr>
              <w:t xml:space="preserve">Close of submissions on the OAIC issues paper</w:t>
            </w:r>
          </w:p>
        </w:tc>
        <w:tc>
          <w:tcPr>
            <w:tcW w:type="dxa" w:w="3120"/>
            <w:tcMar>
              <w:top w:type="dxa" w:w="60"/>
              <w:left w:type="dxa" w:w="100"/>
              <w:bottom w:type="dxa" w:w="60"/>
              <w:right w:type="dxa" w:w="100"/>
            </w:tcMar>
          </w:tcPr>
          <w:p>
            <w:r>
              <w:rPr>
                <w:b w:val="false"/>
                <w:bCs w:val="false"/>
                <w:sz w:val="18"/>
                <w:szCs w:val="18"/>
              </w:rPr>
              <w:t xml:space="preserve">Issues paper p. 7</w:t>
            </w:r>
          </w:p>
        </w:tc>
      </w:tr>
      <w:tr>
        <w:trPr>
          <w:tblHeader w:val="false"/>
        </w:trPr>
        <w:tc>
          <w:tcPr>
            <w:tcW w:type="dxa" w:w="3120"/>
            <w:tcMar>
              <w:top w:type="dxa" w:w="60"/>
              <w:left w:type="dxa" w:w="100"/>
              <w:bottom w:type="dxa" w:w="60"/>
              <w:right w:type="dxa" w:w="100"/>
            </w:tcMar>
          </w:tcPr>
          <w:p>
            <w:r>
              <w:rPr>
                <w:b w:val="false"/>
                <w:bCs w:val="false"/>
                <w:sz w:val="18"/>
                <w:szCs w:val="18"/>
              </w:rPr>
              <w:t xml:space="preserve">10 December 2026</w:t>
            </w:r>
          </w:p>
        </w:tc>
        <w:tc>
          <w:tcPr>
            <w:tcW w:type="dxa" w:w="3120"/>
            <w:tcMar>
              <w:top w:type="dxa" w:w="60"/>
              <w:left w:type="dxa" w:w="100"/>
              <w:bottom w:type="dxa" w:w="60"/>
              <w:right w:type="dxa" w:w="100"/>
            </w:tcMar>
          </w:tcPr>
          <w:p>
            <w:r>
              <w:rPr>
                <w:b w:val="false"/>
                <w:bCs w:val="false"/>
                <w:sz w:val="18"/>
                <w:szCs w:val="18"/>
              </w:rPr>
              <w:t xml:space="preserve">Commencement of Sch 1 Part 15 (APP 1.7-1.9); deadline to register the Children's Online Privacy Code</w:t>
            </w:r>
          </w:p>
        </w:tc>
        <w:tc>
          <w:tcPr>
            <w:tcW w:type="dxa" w:w="3120"/>
            <w:tcMar>
              <w:top w:type="dxa" w:w="60"/>
              <w:left w:type="dxa" w:w="100"/>
              <w:bottom w:type="dxa" w:w="60"/>
              <w:right w:type="dxa" w:w="100"/>
            </w:tcMar>
          </w:tcPr>
          <w:p>
            <w:r>
              <w:rPr>
                <w:b w:val="false"/>
                <w:bCs w:val="false"/>
                <w:sz w:val="18"/>
                <w:szCs w:val="18"/>
              </w:rPr>
              <w:t xml:space="preserve">s 2 table item 7; s 26GC(10); compilation endnote 4</w:t>
            </w:r>
          </w:p>
        </w:tc>
      </w:tr>
    </w:tbl>
    <w:p>
      <w:pPr>
        <w:spacing w:after="120"/>
      </w:pPr>
    </w:p>
    <w:p>
      <w:pPr>
        <w:pStyle w:val="Heading1"/>
        <w:spacing w:after="120" w:before="280"/>
      </w:pPr>
      <w:r>
        <w:rPr>
          <w:color w:val="2E74B5"/>
        </w:rPr>
        <w:t xml:space="preserve">6. Points at which the set stops</w:t>
      </w:r>
    </w:p>
    <w:p>
      <w:pPr>
        <w:pStyle w:val="ListParagraph"/>
        <w:numPr>
          <w:ilvl w:val="0"/>
          <w:numId w:val="2"/>
        </w:numPr>
        <w:spacing w:after="80"/>
      </w:pPr>
      <w:r>
        <w:t xml:space="preserve">Where a matter turns on a registered APP code, the Privacy Regulation, or a prescribed</w:t>
      </w:r>
    </w:p>
    <w:p>
      <w:pPr>
        <w:spacing w:after="80"/>
        <w:ind w:left="720"/>
      </w:pPr>
      <w:r>
        <w:t xml:space="preserve">country or binding scheme under APP 8.3, the set says the mechanism exists and does</w:t>
      </w:r>
    </w:p>
    <w:p>
      <w:pPr>
        <w:spacing w:after="80"/>
        <w:ind w:left="720"/>
      </w:pPr>
      <w:r>
        <w:t xml:space="preserve">not say what it contains.</w:t>
      </w:r>
    </w:p>
    <w:p>
      <w:pPr>
        <w:pStyle w:val="ListParagraph"/>
        <w:numPr>
          <w:ilvl w:val="0"/>
          <w:numId w:val="2"/>
        </w:numPr>
        <w:spacing w:after="80"/>
      </w:pPr>
      <w:r>
        <w:t xml:space="preserve">The set states no penalty figure except the s 13G(3) maximum, which the Act states in</w:t>
      </w:r>
    </w:p>
    <w:p>
      <w:pPr>
        <w:spacing w:after="80"/>
        <w:ind w:left="720"/>
      </w:pPr>
      <w:r>
        <w:t xml:space="preserve">dollars; penalty units are named without conversion.</w:t>
      </w:r>
    </w:p>
    <w:p>
      <w:pPr>
        <w:pStyle w:val="ListParagraph"/>
        <w:numPr>
          <w:ilvl w:val="0"/>
          <w:numId w:val="2"/>
        </w:numPr>
        <w:spacing w:after="80"/>
      </w:pPr>
      <w:r>
        <w:t xml:space="preserve">The set does not state what "significantly affect" or "substantially and directly</w:t>
      </w:r>
    </w:p>
    <w:p>
      <w:pPr>
        <w:spacing w:after="80"/>
        <w:ind w:left="720"/>
      </w:pPr>
      <w:r>
        <w:t xml:space="preserve">related" mean beyond the statutory text and the Explanatory Memorandum passages the</w:t>
      </w:r>
    </w:p>
    <w:p>
      <w:pPr>
        <w:spacing w:after="80"/>
        <w:ind w:left="720"/>
      </w:pPr>
      <w:r>
        <w:t xml:space="preserve">regulator has quoted. The regulator's final guidance may narrow or widen the working</w:t>
      </w:r>
    </w:p>
    <w:p>
      <w:pPr>
        <w:spacing w:after="80"/>
        <w:ind w:left="720"/>
      </w:pPr>
      <w:r>
        <w:t xml:space="preserve">reading at clause 12.3; annex A3 holds the review.</w:t>
      </w:r>
    </w:p>
    <w:p>
      <w:pPr>
        <w:pStyle w:val="ListParagraph"/>
        <w:numPr>
          <w:ilvl w:val="0"/>
          <w:numId w:val="2"/>
        </w:numPr>
        <w:spacing w:after="80"/>
      </w:pPr>
      <w:r>
        <w:t xml:space="preserve">The Australian Consumer Law, anti-discrimination law, the Fair Work Act, the Online</w:t>
      </w:r>
    </w:p>
    <w:p>
      <w:pPr>
        <w:spacing w:after="80"/>
        <w:ind w:left="720"/>
      </w:pPr>
      <w:r>
        <w:t xml:space="preserve">Safety Act, surveillance-device laws and sector standards are named because the</w:t>
      </w:r>
    </w:p>
    <w:p>
      <w:pPr>
        <w:spacing w:after="80"/>
        <w:ind w:left="720"/>
      </w:pPr>
      <w:r>
        <w:t xml:space="preserve">implementation guidance names them as laws that may apply to AI harms. None is held.</w:t>
      </w:r>
    </w:p>
    <w:p>
      <w:pPr>
        <w:spacing w:after="80"/>
        <w:ind w:left="720"/>
      </w:pPr>
      <w:r>
        <w:t xml:space="preserve">Nothing is asserted about their content.</w:t>
      </w:r>
    </w:p>
    <w:p>
      <w:pPr>
        <w:spacing w:after="120"/>
      </w:pPr>
      <w:r>
        <w:rPr>
          <w:i/>
          <w:iCs/>
          <w:color w:val="666666"/>
        </w:rPr>
        <w:t xml:space="preserve">Educational, not legal advice. No provision has been reviewed by qualified counsel.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Research note - Australia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2026-09-03T17:33:43.623Z</dcterms:created>
  <dcterms:modified xsi:type="dcterms:W3CDTF">2026-09-03T17:33:43.624Z</dcterms:modified>
</cp:coreProperties>
</file>

<file path=docProps/custom.xml><?xml version="1.0" encoding="utf-8"?>
<Properties xmlns="http://schemas.openxmlformats.org/officeDocument/2006/custom-properties" xmlns:vt="http://schemas.openxmlformats.org/officeDocument/2006/docPropsVTypes"/>
</file>