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4D78"/>
        </w:rPr>
        <w:t xml:space="preserve">Source register - Australia AI policy set</w:t>
      </w:r>
    </w:p>
    <w:p>
      <w:pPr>
        <w:spacing w:after="120"/>
      </w:pPr>
      <w:r>
        <w:rPr>
          <w:b/>
          <w:bCs/>
        </w:rPr>
        <w:t xml:space="preserve">Built:</w:t>
      </w:r>
      <w:r>
        <w:t xml:space="preserve"> 3 September 2026</w:t>
      </w:r>
    </w:p>
    <w:p>
      <w:pPr>
        <w:spacing w:after="120"/>
      </w:pPr>
      <w:r>
        <w:rPr>
          <w:b/>
          <w:bCs/>
        </w:rPr>
        <w:t xml:space="preserve">Rule:</w:t>
      </w:r>
      <w:r>
        <w:t xml:space="preserve"> primary sources only - legislature, gazette or regulator. Web content may raise doubt; it never becomes authority. Nothing is asserted that is not held.</w:t>
      </w:r>
    </w:p>
    <w:p>
      <w:pPr>
        <w:pStyle w:val="Heading1"/>
        <w:spacing w:after="120" w:before="280"/>
      </w:pPr>
      <w:r>
        <w:rPr>
          <w:color w:val="2E74B5"/>
        </w:rPr>
        <w:t xml:space="preserve">1. Held - Tier 1: enacted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EEAF6" w:color="auto" w:val="clear"/>
            <w:tcMar>
              <w:top w:type="dxa" w:w="60"/>
              <w:left w:type="dxa" w:w="100"/>
              <w:bottom w:type="dxa" w:w="60"/>
              <w:right w:type="dxa" w:w="100"/>
            </w:tcMar>
          </w:tcPr>
          <w:p>
            <w:r>
              <w:rPr>
                <w:b/>
                <w:bCs/>
                <w:sz w:val="18"/>
                <w:szCs w:val="18"/>
              </w:rPr>
              <w:t xml:space="preserve">Instrument</w:t>
            </w:r>
          </w:p>
        </w:tc>
        <w:tc>
          <w:tcPr>
            <w:tcW w:type="dxa" w:w="1560"/>
            <w:shd w:fill="DEEAF6" w:color="auto" w:val="clear"/>
            <w:tcMar>
              <w:top w:type="dxa" w:w="60"/>
              <w:left w:type="dxa" w:w="100"/>
              <w:bottom w:type="dxa" w:w="60"/>
              <w:right w:type="dxa" w:w="100"/>
            </w:tcMar>
          </w:tcPr>
          <w:p>
            <w:r>
              <w:rPr>
                <w:b/>
                <w:bCs/>
                <w:sz w:val="18"/>
                <w:szCs w:val="18"/>
              </w:rPr>
              <w:t xml:space="preserve">Identifier</w:t>
            </w:r>
          </w:p>
        </w:tc>
        <w:tc>
          <w:tcPr>
            <w:tcW w:type="dxa" w:w="1560"/>
            <w:shd w:fill="DEEAF6" w:color="auto" w:val="clear"/>
            <w:tcMar>
              <w:top w:type="dxa" w:w="60"/>
              <w:left w:type="dxa" w:w="100"/>
              <w:bottom w:type="dxa" w:w="60"/>
              <w:right w:type="dxa" w:w="100"/>
            </w:tcMar>
          </w:tcPr>
          <w:p>
            <w:r>
              <w:rPr>
                <w:b/>
                <w:bCs/>
                <w:sz w:val="18"/>
                <w:szCs w:val="18"/>
              </w:rPr>
              <w:t xml:space="preserve">Version</w:t>
            </w:r>
          </w:p>
        </w:tc>
        <w:tc>
          <w:tcPr>
            <w:tcW w:type="dxa" w:w="1560"/>
            <w:shd w:fill="DEEAF6" w:color="auto" w:val="clear"/>
            <w:tcMar>
              <w:top w:type="dxa" w:w="60"/>
              <w:left w:type="dxa" w:w="100"/>
              <w:bottom w:type="dxa" w:w="60"/>
              <w:right w:type="dxa" w:w="100"/>
            </w:tcMar>
          </w:tcPr>
          <w:p>
            <w:r>
              <w:rPr>
                <w:b/>
                <w:bCs/>
                <w:sz w:val="18"/>
                <w:szCs w:val="18"/>
              </w:rPr>
              <w:t xml:space="preserve">Source</w:t>
            </w:r>
          </w:p>
        </w:tc>
        <w:tc>
          <w:tcPr>
            <w:tcW w:type="dxa" w:w="1560"/>
            <w:shd w:fill="DEEAF6" w:color="auto" w:val="clear"/>
            <w:tcMar>
              <w:top w:type="dxa" w:w="60"/>
              <w:left w:type="dxa" w:w="100"/>
              <w:bottom w:type="dxa" w:w="60"/>
              <w:right w:type="dxa" w:w="100"/>
            </w:tcMar>
          </w:tcPr>
          <w:p>
            <w:r>
              <w:rPr>
                <w:b/>
                <w:bCs/>
                <w:sz w:val="18"/>
                <w:szCs w:val="18"/>
              </w:rPr>
              <w:t xml:space="preserve">SHA-256 (16)</w:t>
            </w:r>
          </w:p>
        </w:tc>
        <w:tc>
          <w:tcPr>
            <w:tcW w:type="dxa" w:w="1560"/>
            <w:shd w:fill="DEEAF6" w:color="auto" w:val="clear"/>
            <w:tcMar>
              <w:top w:type="dxa" w:w="60"/>
              <w:left w:type="dxa" w:w="100"/>
              <w:bottom w:type="dxa" w:w="60"/>
              <w:right w:type="dxa" w:w="100"/>
            </w:tcMar>
          </w:tcPr>
          <w:p>
            <w:r>
              <w:rPr>
                <w:b/>
                <w:bCs/>
                <w:sz w:val="18"/>
                <w:szCs w:val="18"/>
              </w:rPr>
              <w:t xml:space="preserve">Read</w:t>
            </w:r>
          </w:p>
        </w:tc>
      </w:tr>
      <w:tr>
        <w:trPr>
          <w:tblHeader w:val="false"/>
        </w:trPr>
        <w:tc>
          <w:tcPr>
            <w:tcW w:type="dxa" w:w="1560"/>
            <w:tcMar>
              <w:top w:type="dxa" w:w="60"/>
              <w:left w:type="dxa" w:w="100"/>
              <w:bottom w:type="dxa" w:w="60"/>
              <w:right w:type="dxa" w:w="100"/>
            </w:tcMar>
          </w:tcPr>
          <w:p>
            <w:r>
              <w:rPr>
                <w:b w:val="false"/>
                <w:bCs w:val="false"/>
                <w:sz w:val="18"/>
                <w:szCs w:val="18"/>
              </w:rPr>
              <w:t xml:space="preserve">Privacy Act 1988 (Cth)</w:t>
            </w:r>
          </w:p>
        </w:tc>
        <w:tc>
          <w:tcPr>
            <w:tcW w:type="dxa" w:w="1560"/>
            <w:tcMar>
              <w:top w:type="dxa" w:w="60"/>
              <w:left w:type="dxa" w:w="100"/>
              <w:bottom w:type="dxa" w:w="60"/>
              <w:right w:type="dxa" w:w="100"/>
            </w:tcMar>
          </w:tcPr>
          <w:p>
            <w:r>
              <w:rPr>
                <w:b w:val="false"/>
                <w:bCs w:val="false"/>
                <w:sz w:val="18"/>
                <w:szCs w:val="18"/>
              </w:rPr>
              <w:t xml:space="preserve">C2026C00227</w:t>
            </w:r>
          </w:p>
        </w:tc>
        <w:tc>
          <w:tcPr>
            <w:tcW w:type="dxa" w:w="1560"/>
            <w:tcMar>
              <w:top w:type="dxa" w:w="60"/>
              <w:left w:type="dxa" w:w="100"/>
              <w:bottom w:type="dxa" w:w="60"/>
              <w:right w:type="dxa" w:w="100"/>
            </w:tcMar>
          </w:tcPr>
          <w:p>
            <w:r>
              <w:rPr>
                <w:b w:val="false"/>
                <w:bCs w:val="false"/>
                <w:sz w:val="18"/>
                <w:szCs w:val="18"/>
              </w:rPr>
              <w:t xml:space="preserve">Compilation No. 104, compilation date 4 June 2026, registered 17 June 2026; includes amendments up to Act No. 75 of 2025</w:t>
            </w:r>
          </w:p>
        </w:tc>
        <w:tc>
          <w:tcPr>
            <w:tcW w:type="dxa" w:w="1560"/>
            <w:tcMar>
              <w:top w:type="dxa" w:w="60"/>
              <w:left w:type="dxa" w:w="100"/>
              <w:bottom w:type="dxa" w:w="60"/>
              <w:right w:type="dxa" w:w="100"/>
            </w:tcMar>
          </w:tcPr>
          <w:p>
            <w:r>
              <w:rPr>
                <w:b w:val="false"/>
                <w:bCs w:val="false"/>
                <w:sz w:val="18"/>
                <w:szCs w:val="18"/>
              </w:rPr>
              <w:t xml:space="preserve">Federal Register of Legislation, legislation.gov.au</w:t>
            </w:r>
          </w:p>
        </w:tc>
        <w:tc>
          <w:tcPr>
            <w:tcW w:type="dxa" w:w="1560"/>
            <w:tcMar>
              <w:top w:type="dxa" w:w="60"/>
              <w:left w:type="dxa" w:w="100"/>
              <w:bottom w:type="dxa" w:w="60"/>
              <w:right w:type="dxa" w:w="100"/>
            </w:tcMar>
          </w:tcPr>
          <w:p>
            <w:r>
              <w:rPr>
                <w:rFonts w:ascii="Consolas" w:cs="Consolas" w:eastAsia="Consolas" w:hAnsi="Consolas"/>
                <w:b w:val="false"/>
                <w:bCs w:val="false"/>
                <w:sz w:val="18"/>
                <w:szCs w:val="18"/>
              </w:rPr>
              <w:t xml:space="preserve">443e895f1e153676</w:t>
            </w:r>
          </w:p>
        </w:tc>
        <w:tc>
          <w:tcPr>
            <w:tcW w:type="dxa" w:w="1560"/>
            <w:tcMar>
              <w:top w:type="dxa" w:w="60"/>
              <w:left w:type="dxa" w:w="100"/>
              <w:bottom w:type="dxa" w:w="60"/>
              <w:right w:type="dxa" w:w="100"/>
            </w:tcMar>
          </w:tcPr>
          <w:p>
            <w:r>
              <w:rPr>
                <w:b w:val="false"/>
                <w:bCs w:val="false"/>
                <w:sz w:val="18"/>
                <w:szCs w:val="18"/>
              </w:rPr>
              <w:t xml:space="preserve">Schedule 1 in full; ss 5B, 6, 6D, 7B, 13G-13K, 26GC, 26WE-26WL; Schedule 2 Part 2; endnote 4</w:t>
            </w:r>
          </w:p>
        </w:tc>
      </w:tr>
      <w:tr>
        <w:trPr>
          <w:tblHeader w:val="false"/>
        </w:trPr>
        <w:tc>
          <w:tcPr>
            <w:tcW w:type="dxa" w:w="1560"/>
            <w:tcMar>
              <w:top w:type="dxa" w:w="60"/>
              <w:left w:type="dxa" w:w="100"/>
              <w:bottom w:type="dxa" w:w="60"/>
              <w:right w:type="dxa" w:w="100"/>
            </w:tcMar>
          </w:tcPr>
          <w:p>
            <w:r>
              <w:rPr>
                <w:b w:val="false"/>
                <w:bCs w:val="false"/>
                <w:sz w:val="18"/>
                <w:szCs w:val="18"/>
              </w:rPr>
              <w:t xml:space="preserve">Privacy and Other Legislation Amendment Act 2024 (Cth)</w:t>
            </w:r>
          </w:p>
        </w:tc>
        <w:tc>
          <w:tcPr>
            <w:tcW w:type="dxa" w:w="1560"/>
            <w:tcMar>
              <w:top w:type="dxa" w:w="60"/>
              <w:left w:type="dxa" w:w="100"/>
              <w:bottom w:type="dxa" w:w="60"/>
              <w:right w:type="dxa" w:w="100"/>
            </w:tcMar>
          </w:tcPr>
          <w:p>
            <w:r>
              <w:rPr>
                <w:b w:val="false"/>
                <w:bCs w:val="false"/>
                <w:sz w:val="18"/>
                <w:szCs w:val="18"/>
              </w:rPr>
              <w:t xml:space="preserve">C2024A00128, No. 128 of 2024</w:t>
            </w:r>
          </w:p>
        </w:tc>
        <w:tc>
          <w:tcPr>
            <w:tcW w:type="dxa" w:w="1560"/>
            <w:tcMar>
              <w:top w:type="dxa" w:w="60"/>
              <w:left w:type="dxa" w:w="100"/>
              <w:bottom w:type="dxa" w:w="60"/>
              <w:right w:type="dxa" w:w="100"/>
            </w:tcMar>
          </w:tcPr>
          <w:p>
            <w:r>
              <w:rPr>
                <w:b w:val="false"/>
                <w:bCs w:val="false"/>
                <w:sz w:val="18"/>
                <w:szCs w:val="18"/>
              </w:rPr>
              <w:t xml:space="preserve">Replaced authorised version registered 11 June 2025</w:t>
            </w:r>
          </w:p>
        </w:tc>
        <w:tc>
          <w:tcPr>
            <w:tcW w:type="dxa" w:w="1560"/>
            <w:tcMar>
              <w:top w:type="dxa" w:w="60"/>
              <w:left w:type="dxa" w:w="100"/>
              <w:bottom w:type="dxa" w:w="60"/>
              <w:right w:type="dxa" w:w="100"/>
            </w:tcMar>
          </w:tcPr>
          <w:p>
            <w:r>
              <w:rPr>
                <w:b w:val="false"/>
                <w:bCs w:val="false"/>
                <w:sz w:val="18"/>
                <w:szCs w:val="18"/>
              </w:rPr>
              <w:t xml:space="preserve">Federal Register of Legislation</w:t>
            </w:r>
          </w:p>
        </w:tc>
        <w:tc>
          <w:tcPr>
            <w:tcW w:type="dxa" w:w="1560"/>
            <w:tcMar>
              <w:top w:type="dxa" w:w="60"/>
              <w:left w:type="dxa" w:w="100"/>
              <w:bottom w:type="dxa" w:w="60"/>
              <w:right w:type="dxa" w:w="100"/>
            </w:tcMar>
          </w:tcPr>
          <w:p>
            <w:r>
              <w:rPr>
                <w:rFonts w:ascii="Consolas" w:cs="Consolas" w:eastAsia="Consolas" w:hAnsi="Consolas"/>
                <w:b w:val="false"/>
                <w:bCs w:val="false"/>
                <w:sz w:val="18"/>
                <w:szCs w:val="18"/>
              </w:rPr>
              <w:t xml:space="preserve">3b3061cc96f7f220</w:t>
            </w:r>
          </w:p>
        </w:tc>
        <w:tc>
          <w:tcPr>
            <w:tcW w:type="dxa" w:w="1560"/>
            <w:tcMar>
              <w:top w:type="dxa" w:w="60"/>
              <w:left w:type="dxa" w:w="100"/>
              <w:bottom w:type="dxa" w:w="60"/>
              <w:right w:type="dxa" w:w="100"/>
            </w:tcMar>
          </w:tcPr>
          <w:p>
            <w:r>
              <w:rPr>
                <w:b w:val="false"/>
                <w:bCs w:val="false"/>
                <w:sz w:val="18"/>
                <w:szCs w:val="18"/>
              </w:rPr>
              <w:t xml:space="preserve">s 2; Schedule 1 Parts 1-15 (Part 15 in full); Schedule 2</w:t>
            </w:r>
          </w:p>
        </w:tc>
      </w:tr>
    </w:tbl>
    <w:p>
      <w:pPr>
        <w:spacing w:after="120"/>
      </w:pPr>
    </w:p>
    <w:p>
      <w:pPr>
        <w:spacing w:after="120"/>
      </w:pPr>
      <w:r>
        <w:rPr>
          <w:b/>
          <w:bCs/>
        </w:rPr>
        <w:t xml:space="preserve">Authoritative status.</w:t>
      </w:r>
      <w:r>
        <w:t xml:space="preserve"> Both are authorised versions published by the Office of Parliamentary Counsel. The compilation states that uncommenced amendments are not shown in its text and are recorded in the endnotes; the automated-decision provisions (Schedule 1 Part 15 of the amending Act) are uncommenced at the compilation date and were read in the amending Act.</w:t>
      </w:r>
    </w:p>
    <w:p>
      <w:pPr>
        <w:pStyle w:val="Heading1"/>
        <w:spacing w:after="120" w:before="280"/>
      </w:pPr>
      <w:r>
        <w:rPr>
          <w:color w:val="2E74B5"/>
        </w:rPr>
        <w:t xml:space="preserve">2. Held - Tier 2: regulator guidance (Office of the Australian Information Commissioner)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EEAF6" w:color="auto" w:val="clear"/>
            <w:tcMar>
              <w:top w:type="dxa" w:w="60"/>
              <w:left w:type="dxa" w:w="100"/>
              <w:bottom w:type="dxa" w:w="60"/>
              <w:right w:type="dxa" w:w="100"/>
            </w:tcMar>
          </w:tcPr>
          <w:p>
            <w:r>
              <w:rPr>
                <w:b/>
                <w:bCs/>
                <w:sz w:val="18"/>
                <w:szCs w:val="18"/>
              </w:rPr>
              <w:t xml:space="preserve">Document</w:t>
            </w:r>
          </w:p>
        </w:tc>
        <w:tc>
          <w:tcPr>
            <w:tcW w:type="dxa" w:w="2340"/>
            <w:shd w:fill="DEEAF6" w:color="auto" w:val="clear"/>
            <w:tcMar>
              <w:top w:type="dxa" w:w="60"/>
              <w:left w:type="dxa" w:w="100"/>
              <w:bottom w:type="dxa" w:w="60"/>
              <w:right w:type="dxa" w:w="100"/>
            </w:tcMar>
          </w:tcPr>
          <w:p>
            <w:r>
              <w:rPr>
                <w:b/>
                <w:bCs/>
                <w:sz w:val="18"/>
                <w:szCs w:val="18"/>
              </w:rPr>
              <w:t xml:space="preserve">Date</w:t>
            </w:r>
          </w:p>
        </w:tc>
        <w:tc>
          <w:tcPr>
            <w:tcW w:type="dxa" w:w="2340"/>
            <w:shd w:fill="DEEAF6" w:color="auto" w:val="clear"/>
            <w:tcMar>
              <w:top w:type="dxa" w:w="60"/>
              <w:left w:type="dxa" w:w="100"/>
              <w:bottom w:type="dxa" w:w="60"/>
              <w:right w:type="dxa" w:w="100"/>
            </w:tcMar>
          </w:tcPr>
          <w:p>
            <w:r>
              <w:rPr>
                <w:b/>
                <w:bCs/>
                <w:sz w:val="18"/>
                <w:szCs w:val="18"/>
              </w:rPr>
              <w:t xml:space="preserve">SHA-256 (16)</w:t>
            </w:r>
          </w:p>
        </w:tc>
        <w:tc>
          <w:tcPr>
            <w:tcW w:type="dxa" w:w="2340"/>
            <w:shd w:fill="DEEAF6" w:color="auto" w:val="clear"/>
            <w:tcMar>
              <w:top w:type="dxa" w:w="60"/>
              <w:left w:type="dxa" w:w="100"/>
              <w:bottom w:type="dxa" w:w="60"/>
              <w:right w:type="dxa" w:w="100"/>
            </w:tcMar>
          </w:tcPr>
          <w:p>
            <w:r>
              <w:rPr>
                <w:b/>
                <w:bCs/>
                <w:sz w:val="18"/>
                <w:szCs w:val="18"/>
              </w:rPr>
              <w:t xml:space="preserve">Role in the set</w:t>
            </w:r>
          </w:p>
        </w:tc>
      </w:tr>
      <w:tr>
        <w:trPr>
          <w:tblHeader w:val="false"/>
        </w:trPr>
        <w:tc>
          <w:tcPr>
            <w:tcW w:type="dxa" w:w="2340"/>
            <w:tcMar>
              <w:top w:type="dxa" w:w="60"/>
              <w:left w:type="dxa" w:w="100"/>
              <w:bottom w:type="dxa" w:w="60"/>
              <w:right w:type="dxa" w:w="100"/>
            </w:tcMar>
          </w:tcPr>
          <w:p>
            <w:r>
              <w:rPr>
                <w:b w:val="false"/>
                <w:bCs w:val="false"/>
                <w:sz w:val="18"/>
                <w:szCs w:val="18"/>
              </w:rPr>
              <w:t xml:space="preserve">Guidance on privacy and the use of commercially available AI products</w:t>
            </w:r>
          </w:p>
        </w:tc>
        <w:tc>
          <w:tcPr>
            <w:tcW w:type="dxa" w:w="2340"/>
            <w:tcMar>
              <w:top w:type="dxa" w:w="60"/>
              <w:left w:type="dxa" w:w="100"/>
              <w:bottom w:type="dxa" w:w="60"/>
              <w:right w:type="dxa" w:w="100"/>
            </w:tcMar>
          </w:tcPr>
          <w:p>
            <w:r>
              <w:rPr>
                <w:b w:val="false"/>
                <w:bCs w:val="false"/>
                <w:sz w:val="18"/>
                <w:szCs w:val="18"/>
              </w:rPr>
              <w:t xml:space="preserve">Published 21 October 2024, updated 17 January 2025</w:t>
            </w:r>
          </w:p>
        </w:tc>
        <w:tc>
          <w:tcPr>
            <w:tcW w:type="dxa" w:w="2340"/>
            <w:tcMar>
              <w:top w:type="dxa" w:w="60"/>
              <w:left w:type="dxa" w:w="100"/>
              <w:bottom w:type="dxa" w:w="60"/>
              <w:right w:type="dxa" w:w="100"/>
            </w:tcMar>
          </w:tcPr>
          <w:p>
            <w:r>
              <w:rPr>
                <w:rFonts w:ascii="Consolas" w:cs="Consolas" w:eastAsia="Consolas" w:hAnsi="Consolas"/>
                <w:b w:val="false"/>
                <w:bCs w:val="false"/>
                <w:sz w:val="18"/>
                <w:szCs w:val="18"/>
              </w:rPr>
              <w:t xml:space="preserve">48c0b11fef4f1477</w:t>
            </w:r>
          </w:p>
        </w:tc>
        <w:tc>
          <w:tcPr>
            <w:tcW w:type="dxa" w:w="2340"/>
            <w:tcMar>
              <w:top w:type="dxa" w:w="60"/>
              <w:left w:type="dxa" w:w="100"/>
              <w:bottom w:type="dxa" w:w="60"/>
              <w:right w:type="dxa" w:w="100"/>
            </w:tcMar>
          </w:tcPr>
          <w:p>
            <w:r>
              <w:rPr>
                <w:b w:val="false"/>
                <w:bCs w:val="false"/>
                <w:sz w:val="18"/>
                <w:szCs w:val="18"/>
              </w:rPr>
              <w:t xml:space="preserve">The regulator's reading of APPs 1, 3, 5, 6, 10, 11 applied to AI deployers; the operating interpretation in policy clauses 7 to 11, 15</w:t>
            </w:r>
          </w:p>
        </w:tc>
      </w:tr>
      <w:tr>
        <w:trPr>
          <w:tblHeader w:val="false"/>
        </w:trPr>
        <w:tc>
          <w:tcPr>
            <w:tcW w:type="dxa" w:w="2340"/>
            <w:tcMar>
              <w:top w:type="dxa" w:w="60"/>
              <w:left w:type="dxa" w:w="100"/>
              <w:bottom w:type="dxa" w:w="60"/>
              <w:right w:type="dxa" w:w="100"/>
            </w:tcMar>
          </w:tcPr>
          <w:p>
            <w:r>
              <w:rPr>
                <w:b w:val="false"/>
                <w:bCs w:val="false"/>
                <w:sz w:val="18"/>
                <w:szCs w:val="18"/>
              </w:rPr>
              <w:t xml:space="preserve">Guidance on privacy and developing and training generative AI models</w:t>
            </w:r>
          </w:p>
        </w:tc>
        <w:tc>
          <w:tcPr>
            <w:tcW w:type="dxa" w:w="2340"/>
            <w:tcMar>
              <w:top w:type="dxa" w:w="60"/>
              <w:left w:type="dxa" w:w="100"/>
              <w:bottom w:type="dxa" w:w="60"/>
              <w:right w:type="dxa" w:w="100"/>
            </w:tcMar>
          </w:tcPr>
          <w:p>
            <w:r>
              <w:rPr>
                <w:b w:val="false"/>
                <w:bCs w:val="false"/>
                <w:sz w:val="18"/>
                <w:szCs w:val="18"/>
              </w:rPr>
              <w:t xml:space="preserve">Published 21 October 2024, updated 23 October 2024</w:t>
            </w:r>
          </w:p>
        </w:tc>
        <w:tc>
          <w:tcPr>
            <w:tcW w:type="dxa" w:w="2340"/>
            <w:tcMar>
              <w:top w:type="dxa" w:w="60"/>
              <w:left w:type="dxa" w:w="100"/>
              <w:bottom w:type="dxa" w:w="60"/>
              <w:right w:type="dxa" w:w="100"/>
            </w:tcMar>
          </w:tcPr>
          <w:p>
            <w:r>
              <w:rPr>
                <w:rFonts w:ascii="Consolas" w:cs="Consolas" w:eastAsia="Consolas" w:hAnsi="Consolas"/>
                <w:b w:val="false"/>
                <w:bCs w:val="false"/>
                <w:sz w:val="18"/>
                <w:szCs w:val="18"/>
              </w:rPr>
              <w:t xml:space="preserve">d06d71402d775055</w:t>
            </w:r>
          </w:p>
        </w:tc>
        <w:tc>
          <w:tcPr>
            <w:tcW w:type="dxa" w:w="2340"/>
            <w:tcMar>
              <w:top w:type="dxa" w:w="60"/>
              <w:left w:type="dxa" w:w="100"/>
              <w:bottom w:type="dxa" w:w="60"/>
              <w:right w:type="dxa" w:w="100"/>
            </w:tcMar>
          </w:tcPr>
          <w:p>
            <w:r>
              <w:rPr>
                <w:b w:val="false"/>
                <w:bCs w:val="false"/>
                <w:sz w:val="18"/>
                <w:szCs w:val="18"/>
              </w:rPr>
              <w:t xml:space="preserve">Scraping, third-party datasets, secondary use of held data, consent, notice; policy clauses 7.5, 8.3, 16</w:t>
            </w:r>
          </w:p>
        </w:tc>
      </w:tr>
      <w:tr>
        <w:trPr>
          <w:tblHeader w:val="false"/>
        </w:trPr>
        <w:tc>
          <w:tcPr>
            <w:tcW w:type="dxa" w:w="2340"/>
            <w:tcMar>
              <w:top w:type="dxa" w:w="60"/>
              <w:left w:type="dxa" w:w="100"/>
              <w:bottom w:type="dxa" w:w="60"/>
              <w:right w:type="dxa" w:w="100"/>
            </w:tcMar>
          </w:tcPr>
          <w:p>
            <w:r>
              <w:rPr>
                <w:b w:val="false"/>
                <w:bCs w:val="false"/>
                <w:sz w:val="18"/>
                <w:szCs w:val="18"/>
              </w:rPr>
              <w:t xml:space="preserve">Automated Decision-Making Transparency Obligation (APP 1) - Issues Paper</w:t>
            </w:r>
          </w:p>
        </w:tc>
        <w:tc>
          <w:tcPr>
            <w:tcW w:type="dxa" w:w="2340"/>
            <w:tcMar>
              <w:top w:type="dxa" w:w="60"/>
              <w:left w:type="dxa" w:w="100"/>
              <w:bottom w:type="dxa" w:w="60"/>
              <w:right w:type="dxa" w:w="100"/>
            </w:tcMar>
          </w:tcPr>
          <w:p>
            <w:r>
              <w:rPr>
                <w:b w:val="false"/>
                <w:bCs w:val="false"/>
                <w:sz w:val="18"/>
                <w:szCs w:val="18"/>
              </w:rPr>
              <w:t xml:space="preserve">May 2026 (submissions closed 15 June 2026)</w:t>
            </w:r>
          </w:p>
        </w:tc>
        <w:tc>
          <w:tcPr>
            <w:tcW w:type="dxa" w:w="2340"/>
            <w:tcMar>
              <w:top w:type="dxa" w:w="60"/>
              <w:left w:type="dxa" w:w="100"/>
              <w:bottom w:type="dxa" w:w="60"/>
              <w:right w:type="dxa" w:w="100"/>
            </w:tcMar>
          </w:tcPr>
          <w:p>
            <w:r>
              <w:rPr>
                <w:rFonts w:ascii="Consolas" w:cs="Consolas" w:eastAsia="Consolas" w:hAnsi="Consolas"/>
                <w:b w:val="false"/>
                <w:bCs w:val="false"/>
                <w:sz w:val="18"/>
                <w:szCs w:val="18"/>
              </w:rPr>
              <w:t xml:space="preserve">55bdb99fb46e17da</w:t>
            </w:r>
          </w:p>
        </w:tc>
        <w:tc>
          <w:tcPr>
            <w:tcW w:type="dxa" w:w="2340"/>
            <w:tcMar>
              <w:top w:type="dxa" w:w="60"/>
              <w:left w:type="dxa" w:w="100"/>
              <w:bottom w:type="dxa" w:w="60"/>
              <w:right w:type="dxa" w:w="100"/>
            </w:tcMar>
          </w:tcPr>
          <w:p>
            <w:r>
              <w:rPr>
                <w:b w:val="false"/>
                <w:bCs w:val="false"/>
                <w:sz w:val="18"/>
                <w:szCs w:val="18"/>
              </w:rPr>
              <w:t xml:space="preserve">Reproduces APP 1.7-1.9 (Attachment A); quotes Explanatory Memorandum paras 336, 337, 343; records the disclosure-only nature of the duty; states final guidance intended by September 2026</w:t>
            </w:r>
          </w:p>
        </w:tc>
      </w:tr>
    </w:tbl>
    <w:p>
      <w:pPr>
        <w:spacing w:after="120"/>
      </w:pPr>
    </w:p>
    <w:p>
      <w:pPr>
        <w:spacing w:after="120"/>
      </w:pPr>
      <w:r>
        <w:rPr>
          <w:b/>
          <w:bCs/>
        </w:rPr>
        <w:t xml:space="preserve">Status.</w:t>
      </w:r>
      <w:r>
        <w:t xml:space="preserve"> Guidance is the regulator's stated interpretation and is not law. Where the policy makes a regulator recommendation a rule (for example, no personal information in public generative AI tools), the policy says so.</w:t>
      </w:r>
    </w:p>
    <w:p>
      <w:pPr>
        <w:pStyle w:val="Heading1"/>
        <w:spacing w:after="120" w:before="280"/>
      </w:pPr>
      <w:r>
        <w:rPr>
          <w:color w:val="2E74B5"/>
        </w:rPr>
        <w:t xml:space="preserve">3. Held - Tier 3: government policy and guidance (not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EEAF6" w:color="auto" w:val="clear"/>
            <w:tcMar>
              <w:top w:type="dxa" w:w="60"/>
              <w:left w:type="dxa" w:w="100"/>
              <w:bottom w:type="dxa" w:w="60"/>
              <w:right w:type="dxa" w:w="100"/>
            </w:tcMar>
          </w:tcPr>
          <w:p>
            <w:r>
              <w:rPr>
                <w:b/>
                <w:bCs/>
                <w:sz w:val="18"/>
                <w:szCs w:val="18"/>
              </w:rPr>
              <w:t xml:space="preserve">Document</w:t>
            </w:r>
          </w:p>
        </w:tc>
        <w:tc>
          <w:tcPr>
            <w:tcW w:type="dxa" w:w="1872"/>
            <w:shd w:fill="DEEAF6" w:color="auto" w:val="clear"/>
            <w:tcMar>
              <w:top w:type="dxa" w:w="60"/>
              <w:left w:type="dxa" w:w="100"/>
              <w:bottom w:type="dxa" w:w="60"/>
              <w:right w:type="dxa" w:w="100"/>
            </w:tcMar>
          </w:tcPr>
          <w:p>
            <w:r>
              <w:rPr>
                <w:b/>
                <w:bCs/>
                <w:sz w:val="18"/>
                <w:szCs w:val="18"/>
              </w:rPr>
              <w:t xml:space="preserve">Publisher</w:t>
            </w:r>
          </w:p>
        </w:tc>
        <w:tc>
          <w:tcPr>
            <w:tcW w:type="dxa" w:w="1872"/>
            <w:shd w:fill="DEEAF6" w:color="auto" w:val="clear"/>
            <w:tcMar>
              <w:top w:type="dxa" w:w="60"/>
              <w:left w:type="dxa" w:w="100"/>
              <w:bottom w:type="dxa" w:w="60"/>
              <w:right w:type="dxa" w:w="100"/>
            </w:tcMar>
          </w:tcPr>
          <w:p>
            <w:r>
              <w:rPr>
                <w:b/>
                <w:bCs/>
                <w:sz w:val="18"/>
                <w:szCs w:val="18"/>
              </w:rPr>
              <w:t xml:space="preserve">Date</w:t>
            </w:r>
          </w:p>
        </w:tc>
        <w:tc>
          <w:tcPr>
            <w:tcW w:type="dxa" w:w="1872"/>
            <w:shd w:fill="DEEAF6" w:color="auto" w:val="clear"/>
            <w:tcMar>
              <w:top w:type="dxa" w:w="60"/>
              <w:left w:type="dxa" w:w="100"/>
              <w:bottom w:type="dxa" w:w="60"/>
              <w:right w:type="dxa" w:w="100"/>
            </w:tcMar>
          </w:tcPr>
          <w:p>
            <w:r>
              <w:rPr>
                <w:b/>
                <w:bCs/>
                <w:sz w:val="18"/>
                <w:szCs w:val="18"/>
              </w:rPr>
              <w:t xml:space="preserve">SHA-256 (16)</w:t>
            </w:r>
          </w:p>
        </w:tc>
        <w:tc>
          <w:tcPr>
            <w:tcW w:type="dxa" w:w="1872"/>
            <w:shd w:fill="DEEAF6" w:color="auto" w:val="clear"/>
            <w:tcMar>
              <w:top w:type="dxa" w:w="60"/>
              <w:left w:type="dxa" w:w="100"/>
              <w:bottom w:type="dxa" w:w="60"/>
              <w:right w:type="dxa" w:w="100"/>
            </w:tcMar>
          </w:tcPr>
          <w:p>
            <w:r>
              <w:rPr>
                <w:b/>
                <w:bCs/>
                <w:sz w:val="18"/>
                <w:szCs w:val="18"/>
              </w:rPr>
              <w:t xml:space="preserve">Role in the set</w:t>
            </w:r>
          </w:p>
        </w:tc>
      </w:tr>
      <w:tr>
        <w:trPr>
          <w:tblHeader w:val="false"/>
        </w:trPr>
        <w:tc>
          <w:tcPr>
            <w:tcW w:type="dxa" w:w="1872"/>
            <w:tcMar>
              <w:top w:type="dxa" w:w="60"/>
              <w:left w:type="dxa" w:w="100"/>
              <w:bottom w:type="dxa" w:w="60"/>
              <w:right w:type="dxa" w:w="100"/>
            </w:tcMar>
          </w:tcPr>
          <w:p>
            <w:r>
              <w:rPr>
                <w:b w:val="false"/>
                <w:bCs w:val="false"/>
                <w:sz w:val="18"/>
                <w:szCs w:val="18"/>
              </w:rPr>
              <w:t xml:space="preserve">National AI Plan</w:t>
            </w:r>
          </w:p>
        </w:tc>
        <w:tc>
          <w:tcPr>
            <w:tcW w:type="dxa" w:w="1872"/>
            <w:tcMar>
              <w:top w:type="dxa" w:w="60"/>
              <w:left w:type="dxa" w:w="100"/>
              <w:bottom w:type="dxa" w:w="60"/>
              <w:right w:type="dxa" w:w="100"/>
            </w:tcMar>
          </w:tcPr>
          <w:p>
            <w:r>
              <w:rPr>
                <w:b w:val="false"/>
                <w:bCs w:val="false"/>
                <w:sz w:val="18"/>
                <w:szCs w:val="18"/>
              </w:rPr>
              <w:t xml:space="preserve">Department of Industry, Science and Resources</w:t>
            </w:r>
          </w:p>
        </w:tc>
        <w:tc>
          <w:tcPr>
            <w:tcW w:type="dxa" w:w="1872"/>
            <w:tcMar>
              <w:top w:type="dxa" w:w="60"/>
              <w:left w:type="dxa" w:w="100"/>
              <w:bottom w:type="dxa" w:w="60"/>
              <w:right w:type="dxa" w:w="100"/>
            </w:tcMar>
          </w:tcPr>
          <w:p>
            <w:r>
              <w:rPr>
                <w:b w:val="false"/>
                <w:bCs w:val="false"/>
                <w:sz w:val="18"/>
                <w:szCs w:val="18"/>
              </w:rPr>
              <w:t xml:space="preserve">December 2025</w:t>
            </w:r>
          </w:p>
        </w:tc>
        <w:tc>
          <w:tcPr>
            <w:tcW w:type="dxa" w:w="1872"/>
            <w:tcMar>
              <w:top w:type="dxa" w:w="60"/>
              <w:left w:type="dxa" w:w="100"/>
              <w:bottom w:type="dxa" w:w="60"/>
              <w:right w:type="dxa" w:w="100"/>
            </w:tcMar>
          </w:tcPr>
          <w:p>
            <w:r>
              <w:rPr>
                <w:rFonts w:ascii="Consolas" w:cs="Consolas" w:eastAsia="Consolas" w:hAnsi="Consolas"/>
                <w:b w:val="false"/>
                <w:bCs w:val="false"/>
                <w:sz w:val="18"/>
                <w:szCs w:val="18"/>
              </w:rPr>
              <w:t xml:space="preserve">726535cb0003e33b</w:t>
            </w:r>
          </w:p>
        </w:tc>
        <w:tc>
          <w:tcPr>
            <w:tcW w:type="dxa" w:w="1872"/>
            <w:tcMar>
              <w:top w:type="dxa" w:w="60"/>
              <w:left w:type="dxa" w:w="100"/>
              <w:bottom w:type="dxa" w:w="60"/>
              <w:right w:type="dxa" w:w="100"/>
            </w:tcMar>
          </w:tcPr>
          <w:p>
            <w:r>
              <w:rPr>
                <w:b w:val="false"/>
                <w:bCs w:val="false"/>
                <w:sz w:val="18"/>
                <w:szCs w:val="18"/>
              </w:rPr>
              <w:t xml:space="preserve">Establishes that existing laws remain the foundation and that no AI-specific statute is proposed; points to the six practices; policy clause 1.1, clause 22 (no text-and-data-mining exception)</w:t>
            </w:r>
          </w:p>
        </w:tc>
      </w:tr>
      <w:tr>
        <w:trPr>
          <w:tblHeader w:val="false"/>
        </w:trPr>
        <w:tc>
          <w:tcPr>
            <w:tcW w:type="dxa" w:w="1872"/>
            <w:tcMar>
              <w:top w:type="dxa" w:w="60"/>
              <w:left w:type="dxa" w:w="100"/>
              <w:bottom w:type="dxa" w:w="60"/>
              <w:right w:type="dxa" w:w="100"/>
            </w:tcMar>
          </w:tcPr>
          <w:p>
            <w:r>
              <w:rPr>
                <w:b w:val="false"/>
                <w:bCs w:val="false"/>
                <w:sz w:val="18"/>
                <w:szCs w:val="18"/>
              </w:rPr>
              <w:t xml:space="preserve">Guidance for AI adoption: foundations</w:t>
            </w:r>
          </w:p>
        </w:tc>
        <w:tc>
          <w:tcPr>
            <w:tcW w:type="dxa" w:w="1872"/>
            <w:tcMar>
              <w:top w:type="dxa" w:w="60"/>
              <w:left w:type="dxa" w:w="100"/>
              <w:bottom w:type="dxa" w:w="60"/>
              <w:right w:type="dxa" w:w="100"/>
            </w:tcMar>
          </w:tcPr>
          <w:p>
            <w:r>
              <w:rPr>
                <w:b w:val="false"/>
                <w:bCs w:val="false"/>
                <w:sz w:val="18"/>
                <w:szCs w:val="18"/>
              </w:rPr>
              <w:t xml:space="preserve">National Artificial Intelligence Centre</w:t>
            </w:r>
          </w:p>
        </w:tc>
        <w:tc>
          <w:tcPr>
            <w:tcW w:type="dxa" w:w="1872"/>
            <w:tcMar>
              <w:top w:type="dxa" w:w="60"/>
              <w:left w:type="dxa" w:w="100"/>
              <w:bottom w:type="dxa" w:w="60"/>
              <w:right w:type="dxa" w:w="100"/>
            </w:tcMar>
          </w:tcPr>
          <w:p>
            <w:r>
              <w:rPr>
                <w:b w:val="false"/>
                <w:bCs w:val="false"/>
                <w:sz w:val="18"/>
                <w:szCs w:val="18"/>
              </w:rPr>
              <w:t xml:space="preserve">October 2025</w:t>
            </w:r>
          </w:p>
        </w:tc>
        <w:tc>
          <w:tcPr>
            <w:tcW w:type="dxa" w:w="1872"/>
            <w:tcMar>
              <w:top w:type="dxa" w:w="60"/>
              <w:left w:type="dxa" w:w="100"/>
              <w:bottom w:type="dxa" w:w="60"/>
              <w:right w:type="dxa" w:w="100"/>
            </w:tcMar>
          </w:tcPr>
          <w:p>
            <w:r>
              <w:rPr>
                <w:rFonts w:ascii="Consolas" w:cs="Consolas" w:eastAsia="Consolas" w:hAnsi="Consolas"/>
                <w:b w:val="false"/>
                <w:bCs w:val="false"/>
                <w:sz w:val="18"/>
                <w:szCs w:val="18"/>
              </w:rPr>
              <w:t xml:space="preserve">4ecaacb3ba03db14</w:t>
            </w:r>
          </w:p>
        </w:tc>
        <w:tc>
          <w:tcPr>
            <w:tcW w:type="dxa" w:w="1872"/>
            <w:tcMar>
              <w:top w:type="dxa" w:w="60"/>
              <w:left w:type="dxa" w:w="100"/>
              <w:bottom w:type="dxa" w:w="60"/>
              <w:right w:type="dxa" w:w="100"/>
            </w:tcMar>
          </w:tcPr>
          <w:p>
            <w:r>
              <w:rPr>
                <w:b w:val="false"/>
                <w:bCs w:val="false"/>
                <w:sz w:val="18"/>
                <w:szCs w:val="18"/>
              </w:rPr>
              <w:t xml:space="preserve">The six essential practices and their numbered actions; adopted as house standards at policy clause 17 and operated in the annex</w:t>
            </w:r>
          </w:p>
        </w:tc>
      </w:tr>
      <w:tr>
        <w:trPr>
          <w:tblHeader w:val="false"/>
        </w:trPr>
        <w:tc>
          <w:tcPr>
            <w:tcW w:type="dxa" w:w="1872"/>
            <w:tcMar>
              <w:top w:type="dxa" w:w="60"/>
              <w:left w:type="dxa" w:w="100"/>
              <w:bottom w:type="dxa" w:w="60"/>
              <w:right w:type="dxa" w:w="100"/>
            </w:tcMar>
          </w:tcPr>
          <w:p>
            <w:r>
              <w:rPr>
                <w:b w:val="false"/>
                <w:bCs w:val="false"/>
                <w:sz w:val="18"/>
                <w:szCs w:val="18"/>
              </w:rPr>
              <w:t xml:space="preserve">Guidance for AI adoption: implementation guidance</w:t>
            </w:r>
          </w:p>
        </w:tc>
        <w:tc>
          <w:tcPr>
            <w:tcW w:type="dxa" w:w="1872"/>
            <w:tcMar>
              <w:top w:type="dxa" w:w="60"/>
              <w:left w:type="dxa" w:w="100"/>
              <w:bottom w:type="dxa" w:w="60"/>
              <w:right w:type="dxa" w:w="100"/>
            </w:tcMar>
          </w:tcPr>
          <w:p>
            <w:r>
              <w:rPr>
                <w:b w:val="false"/>
                <w:bCs w:val="false"/>
                <w:sz w:val="18"/>
                <w:szCs w:val="18"/>
              </w:rPr>
              <w:t xml:space="preserve">National Artificial Intelligence Centre</w:t>
            </w:r>
          </w:p>
        </w:tc>
        <w:tc>
          <w:tcPr>
            <w:tcW w:type="dxa" w:w="1872"/>
            <w:tcMar>
              <w:top w:type="dxa" w:w="60"/>
              <w:left w:type="dxa" w:w="100"/>
              <w:bottom w:type="dxa" w:w="60"/>
              <w:right w:type="dxa" w:w="100"/>
            </w:tcMar>
          </w:tcPr>
          <w:p>
            <w:r>
              <w:rPr>
                <w:b w:val="false"/>
                <w:bCs w:val="false"/>
                <w:sz w:val="18"/>
                <w:szCs w:val="18"/>
              </w:rPr>
              <w:t xml:space="preserve">October 2025 (published render, 50 pages)</w:t>
            </w:r>
          </w:p>
        </w:tc>
        <w:tc>
          <w:tcPr>
            <w:tcW w:type="dxa" w:w="1872"/>
            <w:tcMar>
              <w:top w:type="dxa" w:w="60"/>
              <w:left w:type="dxa" w:w="100"/>
              <w:bottom w:type="dxa" w:w="60"/>
              <w:right w:type="dxa" w:w="100"/>
            </w:tcMar>
          </w:tcPr>
          <w:p>
            <w:r>
              <w:rPr>
                <w:rFonts w:ascii="Consolas" w:cs="Consolas" w:eastAsia="Consolas" w:hAnsi="Consolas"/>
                <w:b w:val="false"/>
                <w:bCs w:val="false"/>
                <w:sz w:val="18"/>
                <w:szCs w:val="18"/>
              </w:rPr>
              <w:t xml:space="preserve">54d7d8f5c416add3</w:t>
            </w:r>
          </w:p>
        </w:tc>
        <w:tc>
          <w:tcPr>
            <w:tcW w:type="dxa" w:w="1872"/>
            <w:tcMar>
              <w:top w:type="dxa" w:w="60"/>
              <w:left w:type="dxa" w:w="100"/>
              <w:bottom w:type="dxa" w:w="60"/>
              <w:right w:type="dxa" w:w="100"/>
            </w:tcMar>
          </w:tcPr>
          <w:p>
            <w:r>
              <w:rPr>
                <w:b w:val="false"/>
                <w:bCs w:val="false"/>
                <w:sz w:val="18"/>
                <w:szCs w:val="18"/>
              </w:rPr>
              <w:t xml:space="preserve">Risk attributes (annex A5.1); table of AI harms and general laws that may apply (policy clause 22)</w:t>
            </w:r>
          </w:p>
        </w:tc>
      </w:tr>
    </w:tbl>
    <w:p>
      <w:pPr>
        <w:spacing w:after="120"/>
      </w:pPr>
    </w:p>
    <w:p>
      <w:pPr>
        <w:pStyle w:val="Heading1"/>
        <w:spacing w:after="120" w:before="280"/>
      </w:pPr>
      <w:r>
        <w:rPr>
          <w:color w:val="2E74B5"/>
        </w:rPr>
        <w:t xml:space="preserve">4. Discarded at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EEAF6" w:color="auto" w:val="clear"/>
            <w:tcMar>
              <w:top w:type="dxa" w:w="60"/>
              <w:left w:type="dxa" w:w="100"/>
              <w:bottom w:type="dxa" w:w="60"/>
              <w:right w:type="dxa" w:w="100"/>
            </w:tcMar>
          </w:tcPr>
          <w:p>
            <w:r>
              <w:rPr>
                <w:b/>
                <w:bCs/>
                <w:sz w:val="18"/>
                <w:szCs w:val="18"/>
              </w:rPr>
              <w:t xml:space="preserve">Item</w:t>
            </w:r>
          </w:p>
        </w:tc>
        <w:tc>
          <w:tcPr>
            <w:tcW w:type="dxa" w:w="4680"/>
            <w:shd w:fill="DEEAF6" w:color="auto" w:val="clear"/>
            <w:tcMar>
              <w:top w:type="dxa" w:w="60"/>
              <w:left w:type="dxa" w:w="100"/>
              <w:bottom w:type="dxa" w:w="60"/>
              <w:right w:type="dxa" w:w="100"/>
            </w:tcMar>
          </w:tcPr>
          <w:p>
            <w:r>
              <w:rPr>
                <w:b/>
                <w:bCs/>
                <w:sz w:val="18"/>
                <w:szCs w:val="18"/>
              </w:rPr>
              <w:t xml:space="preserve">Reason</w:t>
            </w:r>
          </w:p>
        </w:tc>
      </w:tr>
      <w:tr>
        <w:trPr>
          <w:tblHeader w:val="false"/>
        </w:trPr>
        <w:tc>
          <w:tcPr>
            <w:tcW w:type="dxa" w:w="4680"/>
            <w:tcMar>
              <w:top w:type="dxa" w:w="60"/>
              <w:left w:type="dxa" w:w="100"/>
              <w:bottom w:type="dxa" w:w="60"/>
              <w:right w:type="dxa" w:w="100"/>
            </w:tcMar>
          </w:tcPr>
          <w:p>
            <w:r>
              <w:rPr>
                <w:b w:val="false"/>
                <w:bCs w:val="false"/>
                <w:sz w:val="18"/>
                <w:szCs w:val="18"/>
              </w:rPr>
              <w:t xml:space="preserve">Guidance for AI adoption: implementation guidance, second download (</w:t>
            </w:r>
            <w:r>
              <w:rPr>
                <w:rFonts w:ascii="Consolas" w:cs="Consolas" w:eastAsia="Consolas" w:hAnsi="Consolas"/>
                <w:b w:val="false"/>
                <w:bCs w:val="false"/>
                <w:sz w:val="18"/>
                <w:szCs w:val="18"/>
              </w:rPr>
              <w:t xml:space="preserve">afc855c012a8ac95</w:t>
            </w:r>
            <w:r>
              <w:rPr>
                <w:b w:val="false"/>
                <w:bCs w:val="false"/>
                <w:sz w:val="18"/>
                <w:szCs w:val="18"/>
              </w:rPr>
              <w:t xml:space="preserve">)</w:t>
            </w:r>
          </w:p>
        </w:tc>
        <w:tc>
          <w:tcPr>
            <w:tcW w:type="dxa" w:w="4680"/>
            <w:tcMar>
              <w:top w:type="dxa" w:w="60"/>
              <w:left w:type="dxa" w:w="100"/>
              <w:bottom w:type="dxa" w:w="60"/>
              <w:right w:type="dxa" w:w="100"/>
            </w:tcMar>
          </w:tcPr>
          <w:p>
            <w:r>
              <w:rPr>
                <w:b w:val="false"/>
                <w:bCs w:val="false"/>
                <w:sz w:val="18"/>
                <w:szCs w:val="18"/>
              </w:rPr>
              <w:t xml:space="preserve">Draft render: front matter reads "[ADD DOCUMENT TITLE]" and "[ADD MONTH YEAR]"; body otherwise near-identical. Not relied on.</w:t>
            </w:r>
          </w:p>
        </w:tc>
      </w:tr>
      <w:tr>
        <w:trPr>
          <w:tblHeader w:val="false"/>
        </w:trPr>
        <w:tc>
          <w:tcPr>
            <w:tcW w:type="dxa" w:w="4680"/>
            <w:tcMar>
              <w:top w:type="dxa" w:w="60"/>
              <w:left w:type="dxa" w:w="100"/>
              <w:bottom w:type="dxa" w:w="60"/>
              <w:right w:type="dxa" w:w="100"/>
            </w:tcMar>
          </w:tcPr>
          <w:p>
            <w:r>
              <w:rPr>
                <w:b w:val="false"/>
                <w:bCs w:val="false"/>
                <w:sz w:val="18"/>
                <w:szCs w:val="18"/>
              </w:rPr>
              <w:t xml:space="preserve">Voluntary AI Safety Standard (September 2024)</w:t>
            </w:r>
          </w:p>
        </w:tc>
        <w:tc>
          <w:tcPr>
            <w:tcW w:type="dxa" w:w="4680"/>
            <w:tcMar>
              <w:top w:type="dxa" w:w="60"/>
              <w:left w:type="dxa" w:w="100"/>
              <w:bottom w:type="dxa" w:w="60"/>
              <w:right w:type="dxa" w:w="100"/>
            </w:tcMar>
          </w:tcPr>
          <w:p>
            <w:r>
              <w:rPr>
                <w:b w:val="false"/>
                <w:bCs w:val="false"/>
                <w:sz w:val="18"/>
                <w:szCs w:val="18"/>
              </w:rPr>
              <w:t xml:space="preserve">Superseded by the Guidance for AI Adoption on 21 October 2025 (stated in both the foundations document and the implementation guidance). Referred to in the OAIC guidance of 2024 as the then-current standard; not held, not relied on.</w:t>
            </w:r>
          </w:p>
        </w:tc>
      </w:tr>
      <w:tr>
        <w:trPr>
          <w:tblHeader w:val="false"/>
        </w:trPr>
        <w:tc>
          <w:tcPr>
            <w:tcW w:type="dxa" w:w="4680"/>
            <w:tcMar>
              <w:top w:type="dxa" w:w="60"/>
              <w:left w:type="dxa" w:w="100"/>
              <w:bottom w:type="dxa" w:w="60"/>
              <w:right w:type="dxa" w:w="100"/>
            </w:tcMar>
          </w:tcPr>
          <w:p>
            <w:r>
              <w:rPr>
                <w:b w:val="false"/>
                <w:bCs w:val="false"/>
                <w:sz w:val="18"/>
                <w:szCs w:val="18"/>
              </w:rPr>
              <w:t xml:space="preserve">Proposals paper for introducing mandatory guardrails for AI in high-risk settings (September 2024)</w:t>
            </w:r>
          </w:p>
        </w:tc>
        <w:tc>
          <w:tcPr>
            <w:tcW w:type="dxa" w:w="4680"/>
            <w:tcMar>
              <w:top w:type="dxa" w:w="60"/>
              <w:left w:type="dxa" w:w="100"/>
              <w:bottom w:type="dxa" w:w="60"/>
              <w:right w:type="dxa" w:w="100"/>
            </w:tcMar>
          </w:tcPr>
          <w:p>
            <w:r>
              <w:rPr>
                <w:b w:val="false"/>
                <w:bCs w:val="false"/>
                <w:sz w:val="18"/>
                <w:szCs w:val="18"/>
              </w:rPr>
              <w:t xml:space="preserve">Not carried forward; the National AI Plan chose existing law. Cited by the OAIC guidance for definitions only. Not held.</w:t>
            </w:r>
          </w:p>
        </w:tc>
      </w:tr>
      <w:tr>
        <w:trPr>
          <w:tblHeader w:val="false"/>
        </w:trPr>
        <w:tc>
          <w:tcPr>
            <w:tcW w:type="dxa" w:w="4680"/>
            <w:tcMar>
              <w:top w:type="dxa" w:w="60"/>
              <w:left w:type="dxa" w:w="100"/>
              <w:bottom w:type="dxa" w:w="60"/>
              <w:right w:type="dxa" w:w="100"/>
            </w:tcMar>
          </w:tcPr>
          <w:p>
            <w:r>
              <w:rPr>
                <w:b w:val="false"/>
                <w:bCs w:val="false"/>
                <w:sz w:val="18"/>
                <w:szCs w:val="18"/>
              </w:rPr>
              <w:t xml:space="preserve">Law-firm and commentary summaries of the 2024 amendments and of the National AI Plan</w:t>
            </w:r>
          </w:p>
        </w:tc>
        <w:tc>
          <w:tcPr>
            <w:tcW w:type="dxa" w:w="4680"/>
            <w:tcMar>
              <w:top w:type="dxa" w:w="60"/>
              <w:left w:type="dxa" w:w="100"/>
              <w:bottom w:type="dxa" w:w="60"/>
              <w:right w:type="dxa" w:w="100"/>
            </w:tcMar>
          </w:tcPr>
          <w:p>
            <w:r>
              <w:rPr>
                <w:b w:val="false"/>
                <w:bCs w:val="false"/>
                <w:sz w:val="18"/>
                <w:szCs w:val="18"/>
              </w:rPr>
              <w:t xml:space="preserve">Used only to locate official download pages. No content entered the set.</w:t>
            </w:r>
          </w:p>
        </w:tc>
      </w:tr>
    </w:tbl>
    <w:p>
      <w:pPr>
        <w:spacing w:after="120"/>
      </w:pPr>
    </w:p>
    <w:p>
      <w:pPr>
        <w:pStyle w:val="Heading1"/>
        <w:spacing w:after="120" w:before="280"/>
      </w:pPr>
      <w:r>
        <w:rPr>
          <w:color w:val="2E74B5"/>
        </w:rPr>
        <w:t xml:space="preserve">5. Named in the set, not held, not asserted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Instrument or item</w:t>
            </w:r>
          </w:p>
        </w:tc>
        <w:tc>
          <w:tcPr>
            <w:tcW w:type="dxa" w:w="3120"/>
            <w:shd w:fill="DEEAF6" w:color="auto" w:val="clear"/>
            <w:tcMar>
              <w:top w:type="dxa" w:w="60"/>
              <w:left w:type="dxa" w:w="100"/>
              <w:bottom w:type="dxa" w:w="60"/>
              <w:right w:type="dxa" w:w="100"/>
            </w:tcMar>
          </w:tcPr>
          <w:p>
            <w:r>
              <w:rPr>
                <w:b/>
                <w:bCs/>
                <w:sz w:val="18"/>
                <w:szCs w:val="18"/>
              </w:rPr>
              <w:t xml:space="preserve">Why it matters</w:t>
            </w:r>
          </w:p>
        </w:tc>
        <w:tc>
          <w:tcPr>
            <w:tcW w:type="dxa" w:w="3120"/>
            <w:shd w:fill="DEEAF6" w:color="auto" w:val="clear"/>
            <w:tcMar>
              <w:top w:type="dxa" w:w="60"/>
              <w:left w:type="dxa" w:w="100"/>
              <w:bottom w:type="dxa" w:w="60"/>
              <w:right w:type="dxa" w:w="100"/>
            </w:tcMar>
          </w:tcPr>
          <w:p>
            <w:r>
              <w:rPr>
                <w:b/>
                <w:bCs/>
                <w:sz w:val="18"/>
                <w:szCs w:val="18"/>
              </w:rPr>
              <w:t xml:space="preserve">Status</w:t>
            </w:r>
          </w:p>
        </w:tc>
      </w:tr>
      <w:tr>
        <w:trPr>
          <w:tblHeader w:val="false"/>
        </w:trPr>
        <w:tc>
          <w:tcPr>
            <w:tcW w:type="dxa" w:w="3120"/>
            <w:tcMar>
              <w:top w:type="dxa" w:w="60"/>
              <w:left w:type="dxa" w:w="100"/>
              <w:bottom w:type="dxa" w:w="60"/>
              <w:right w:type="dxa" w:w="100"/>
            </w:tcMar>
          </w:tcPr>
          <w:p>
            <w:r>
              <w:rPr>
                <w:b w:val="false"/>
                <w:bCs w:val="false"/>
                <w:sz w:val="18"/>
                <w:szCs w:val="18"/>
              </w:rPr>
              <w:t xml:space="preserve">OAIC final guidance on automated-decision transparency</w:t>
            </w:r>
          </w:p>
        </w:tc>
        <w:tc>
          <w:tcPr>
            <w:tcW w:type="dxa" w:w="3120"/>
            <w:tcMar>
              <w:top w:type="dxa" w:w="60"/>
              <w:left w:type="dxa" w:w="100"/>
              <w:bottom w:type="dxa" w:w="60"/>
              <w:right w:type="dxa" w:w="100"/>
            </w:tcMar>
          </w:tcPr>
          <w:p>
            <w:r>
              <w:rPr>
                <w:b w:val="false"/>
                <w:bCs w:val="false"/>
                <w:sz w:val="18"/>
                <w:szCs w:val="18"/>
              </w:rPr>
              <w:t xml:space="preserve">Will state the regulator's reading of "substantially and directly related" and "significantly affect"; expected before 10 December 2026</w:t>
            </w:r>
          </w:p>
        </w:tc>
        <w:tc>
          <w:tcPr>
            <w:tcW w:type="dxa" w:w="3120"/>
            <w:tcMar>
              <w:top w:type="dxa" w:w="60"/>
              <w:left w:type="dxa" w:w="100"/>
              <w:bottom w:type="dxa" w:w="60"/>
              <w:right w:type="dxa" w:w="100"/>
            </w:tcMar>
          </w:tcPr>
          <w:p>
            <w:r>
              <w:rPr>
                <w:b w:val="false"/>
                <w:bCs w:val="false"/>
                <w:sz w:val="18"/>
                <w:szCs w:val="18"/>
              </w:rPr>
              <w:t xml:space="preserve">Not yet published. Open verification; annex A3</w:t>
            </w:r>
          </w:p>
        </w:tc>
      </w:tr>
      <w:tr>
        <w:trPr>
          <w:tblHeader w:val="false"/>
        </w:trPr>
        <w:tc>
          <w:tcPr>
            <w:tcW w:type="dxa" w:w="3120"/>
            <w:tcMar>
              <w:top w:type="dxa" w:w="60"/>
              <w:left w:type="dxa" w:w="100"/>
              <w:bottom w:type="dxa" w:w="60"/>
              <w:right w:type="dxa" w:w="100"/>
            </w:tcMar>
          </w:tcPr>
          <w:p>
            <w:r>
              <w:rPr>
                <w:b w:val="false"/>
                <w:bCs w:val="false"/>
                <w:sz w:val="18"/>
                <w:szCs w:val="18"/>
              </w:rPr>
              <w:t xml:space="preserve">Children's Online Privacy Code</w:t>
            </w:r>
          </w:p>
        </w:tc>
        <w:tc>
          <w:tcPr>
            <w:tcW w:type="dxa" w:w="3120"/>
            <w:tcMar>
              <w:top w:type="dxa" w:w="60"/>
              <w:left w:type="dxa" w:w="100"/>
              <w:bottom w:type="dxa" w:w="60"/>
              <w:right w:type="dxa" w:w="100"/>
            </w:tcMar>
          </w:tcPr>
          <w:p>
            <w:r>
              <w:rPr>
                <w:b w:val="false"/>
                <w:bCs w:val="false"/>
                <w:sz w:val="18"/>
                <w:szCs w:val="18"/>
              </w:rPr>
              <w:t xml:space="preserve">Must be registered by 10 December 2026 (s 26GC(10)); will bind APP entities providing services likely to be accessed by children</w:t>
            </w:r>
          </w:p>
        </w:tc>
        <w:tc>
          <w:tcPr>
            <w:tcW w:type="dxa" w:w="3120"/>
            <w:tcMar>
              <w:top w:type="dxa" w:w="60"/>
              <w:left w:type="dxa" w:w="100"/>
              <w:bottom w:type="dxa" w:w="60"/>
              <w:right w:type="dxa" w:w="100"/>
            </w:tcMar>
          </w:tcPr>
          <w:p>
            <w:r>
              <w:rPr>
                <w:b w:val="false"/>
                <w:bCs w:val="false"/>
                <w:sz w:val="18"/>
                <w:szCs w:val="18"/>
              </w:rPr>
              <w:t xml:space="preserve">Not yet registered. Open verification; policy clause 19</w:t>
            </w:r>
          </w:p>
        </w:tc>
      </w:tr>
      <w:tr>
        <w:trPr>
          <w:tblHeader w:val="false"/>
        </w:trPr>
        <w:tc>
          <w:tcPr>
            <w:tcW w:type="dxa" w:w="3120"/>
            <w:tcMar>
              <w:top w:type="dxa" w:w="60"/>
              <w:left w:type="dxa" w:w="100"/>
              <w:bottom w:type="dxa" w:w="60"/>
              <w:right w:type="dxa" w:w="100"/>
            </w:tcMar>
          </w:tcPr>
          <w:p>
            <w:r>
              <w:rPr>
                <w:b w:val="false"/>
                <w:bCs w:val="false"/>
                <w:sz w:val="18"/>
                <w:szCs w:val="18"/>
              </w:rPr>
              <w:t xml:space="preserve">Explanatory Memorandum, Privacy and Other Legislation Amendment Bill 2024</w:t>
            </w:r>
          </w:p>
        </w:tc>
        <w:tc>
          <w:tcPr>
            <w:tcW w:type="dxa" w:w="3120"/>
            <w:tcMar>
              <w:top w:type="dxa" w:w="60"/>
              <w:left w:type="dxa" w:w="100"/>
              <w:bottom w:type="dxa" w:w="60"/>
              <w:right w:type="dxa" w:w="100"/>
            </w:tcMar>
          </w:tcPr>
          <w:p>
            <w:r>
              <w:rPr>
                <w:b w:val="false"/>
                <w:bCs w:val="false"/>
                <w:sz w:val="18"/>
                <w:szCs w:val="18"/>
              </w:rPr>
              <w:t xml:space="preserve">Source of the "key factor" and "direct connection" readings at policy clause 12.3</w:t>
            </w:r>
          </w:p>
        </w:tc>
        <w:tc>
          <w:tcPr>
            <w:tcW w:type="dxa" w:w="3120"/>
            <w:tcMar>
              <w:top w:type="dxa" w:w="60"/>
              <w:left w:type="dxa" w:w="100"/>
              <w:bottom w:type="dxa" w:w="60"/>
              <w:right w:type="dxa" w:w="100"/>
            </w:tcMar>
          </w:tcPr>
          <w:p>
            <w:r>
              <w:rPr>
                <w:b w:val="false"/>
                <w:bCs w:val="false"/>
                <w:sz w:val="18"/>
                <w:szCs w:val="18"/>
              </w:rPr>
              <w:t xml:space="preserve">Not held; relied on only as quoted by the OAIC issues paper (paras 336, 337, 343)</w:t>
            </w:r>
          </w:p>
        </w:tc>
      </w:tr>
      <w:tr>
        <w:trPr>
          <w:tblHeader w:val="false"/>
        </w:trPr>
        <w:tc>
          <w:tcPr>
            <w:tcW w:type="dxa" w:w="3120"/>
            <w:tcMar>
              <w:top w:type="dxa" w:w="60"/>
              <w:left w:type="dxa" w:w="100"/>
              <w:bottom w:type="dxa" w:w="60"/>
              <w:right w:type="dxa" w:w="100"/>
            </w:tcMar>
          </w:tcPr>
          <w:p>
            <w:r>
              <w:rPr>
                <w:b w:val="false"/>
                <w:bCs w:val="false"/>
                <w:sz w:val="18"/>
                <w:szCs w:val="18"/>
              </w:rPr>
              <w:t xml:space="preserve">Privacy Regulation; prescribed countries or binding schemes under APP 8.3</w:t>
            </w:r>
          </w:p>
        </w:tc>
        <w:tc>
          <w:tcPr>
            <w:tcW w:type="dxa" w:w="3120"/>
            <w:tcMar>
              <w:top w:type="dxa" w:w="60"/>
              <w:left w:type="dxa" w:w="100"/>
              <w:bottom w:type="dxa" w:w="60"/>
              <w:right w:type="dxa" w:w="100"/>
            </w:tcMar>
          </w:tcPr>
          <w:p>
            <w:r>
              <w:rPr>
                <w:b w:val="false"/>
                <w:bCs w:val="false"/>
                <w:sz w:val="18"/>
                <w:szCs w:val="18"/>
              </w:rPr>
              <w:t xml:space="preserve">Would widen permitted cross-border disclosure</w:t>
            </w:r>
          </w:p>
        </w:tc>
        <w:tc>
          <w:tcPr>
            <w:tcW w:type="dxa" w:w="3120"/>
            <w:tcMar>
              <w:top w:type="dxa" w:w="60"/>
              <w:left w:type="dxa" w:w="100"/>
              <w:bottom w:type="dxa" w:w="60"/>
              <w:right w:type="dxa" w:w="100"/>
            </w:tcMar>
          </w:tcPr>
          <w:p>
            <w:r>
              <w:rPr>
                <w:b w:val="false"/>
                <w:bCs w:val="false"/>
                <w:sz w:val="18"/>
                <w:szCs w:val="18"/>
              </w:rPr>
              <w:t xml:space="preserve">Not held; mechanism named only</w:t>
            </w:r>
          </w:p>
        </w:tc>
      </w:tr>
      <w:tr>
        <w:trPr>
          <w:tblHeader w:val="false"/>
        </w:trPr>
        <w:tc>
          <w:tcPr>
            <w:tcW w:type="dxa" w:w="3120"/>
            <w:tcMar>
              <w:top w:type="dxa" w:w="60"/>
              <w:left w:type="dxa" w:w="100"/>
              <w:bottom w:type="dxa" w:w="60"/>
              <w:right w:type="dxa" w:w="100"/>
            </w:tcMar>
          </w:tcPr>
          <w:p>
            <w:r>
              <w:rPr>
                <w:b w:val="false"/>
                <w:bCs w:val="false"/>
                <w:sz w:val="18"/>
                <w:szCs w:val="18"/>
              </w:rPr>
              <w:t xml:space="preserve">Registered APP codes binding [ORGANISATION]</w:t>
            </w:r>
          </w:p>
        </w:tc>
        <w:tc>
          <w:tcPr>
            <w:tcW w:type="dxa" w:w="3120"/>
            <w:tcMar>
              <w:top w:type="dxa" w:w="60"/>
              <w:left w:type="dxa" w:w="100"/>
              <w:bottom w:type="dxa" w:w="60"/>
              <w:right w:type="dxa" w:w="100"/>
            </w:tcMar>
          </w:tcPr>
          <w:p>
            <w:r>
              <w:rPr>
                <w:b w:val="false"/>
                <w:bCs w:val="false"/>
                <w:sz w:val="18"/>
                <w:szCs w:val="18"/>
              </w:rPr>
              <w:t xml:space="preserve">Would modify how the APPs apply</w:t>
            </w:r>
          </w:p>
        </w:tc>
        <w:tc>
          <w:tcPr>
            <w:tcW w:type="dxa" w:w="3120"/>
            <w:tcMar>
              <w:top w:type="dxa" w:w="60"/>
              <w:left w:type="dxa" w:w="100"/>
              <w:bottom w:type="dxa" w:w="60"/>
              <w:right w:type="dxa" w:w="100"/>
            </w:tcMar>
          </w:tcPr>
          <w:p>
            <w:r>
              <w:rPr>
                <w:b w:val="false"/>
                <w:bCs w:val="false"/>
                <w:sz w:val="18"/>
                <w:szCs w:val="18"/>
              </w:rPr>
              <w:t xml:space="preserve">Not held; named at policy clause 22</w:t>
            </w:r>
          </w:p>
        </w:tc>
      </w:tr>
      <w:tr>
        <w:trPr>
          <w:tblHeader w:val="false"/>
        </w:trPr>
        <w:tc>
          <w:tcPr>
            <w:tcW w:type="dxa" w:w="3120"/>
            <w:tcMar>
              <w:top w:type="dxa" w:w="60"/>
              <w:left w:type="dxa" w:w="100"/>
              <w:bottom w:type="dxa" w:w="60"/>
              <w:right w:type="dxa" w:w="100"/>
            </w:tcMar>
          </w:tcPr>
          <w:p>
            <w:r>
              <w:rPr>
                <w:b w:val="false"/>
                <w:bCs w:val="false"/>
                <w:sz w:val="18"/>
                <w:szCs w:val="18"/>
              </w:rPr>
              <w:t xml:space="preserve">State and territory privacy, health-records and surveillance-device laws</w:t>
            </w:r>
          </w:p>
        </w:tc>
        <w:tc>
          <w:tcPr>
            <w:tcW w:type="dxa" w:w="3120"/>
            <w:tcMar>
              <w:top w:type="dxa" w:w="60"/>
              <w:left w:type="dxa" w:w="100"/>
              <w:bottom w:type="dxa" w:w="60"/>
              <w:right w:type="dxa" w:w="100"/>
            </w:tcMar>
          </w:tcPr>
          <w:p>
            <w:r>
              <w:rPr>
                <w:b w:val="false"/>
                <w:bCs w:val="false"/>
                <w:sz w:val="18"/>
                <w:szCs w:val="18"/>
              </w:rPr>
              <w:t xml:space="preserve">May regulate recording, monitoring and health information in parallel</w:t>
            </w:r>
          </w:p>
        </w:tc>
        <w:tc>
          <w:tcPr>
            <w:tcW w:type="dxa" w:w="3120"/>
            <w:tcMar>
              <w:top w:type="dxa" w:w="60"/>
              <w:left w:type="dxa" w:w="100"/>
              <w:bottom w:type="dxa" w:w="60"/>
              <w:right w:type="dxa" w:w="100"/>
            </w:tcMar>
          </w:tcPr>
          <w:p>
            <w:r>
              <w:rPr>
                <w:b w:val="false"/>
                <w:bCs w:val="false"/>
                <w:sz w:val="18"/>
                <w:szCs w:val="18"/>
              </w:rPr>
              <w:t xml:space="preserve">Not held; named at policy clauses 7.6.3, 22</w:t>
            </w:r>
          </w:p>
        </w:tc>
      </w:tr>
      <w:tr>
        <w:trPr>
          <w:tblHeader w:val="false"/>
        </w:trPr>
        <w:tc>
          <w:tcPr>
            <w:tcW w:type="dxa" w:w="3120"/>
            <w:tcMar>
              <w:top w:type="dxa" w:w="60"/>
              <w:left w:type="dxa" w:w="100"/>
              <w:bottom w:type="dxa" w:w="60"/>
              <w:right w:type="dxa" w:w="100"/>
            </w:tcMar>
          </w:tcPr>
          <w:p>
            <w:r>
              <w:rPr>
                <w:b w:val="false"/>
                <w:bCs w:val="false"/>
                <w:sz w:val="18"/>
                <w:szCs w:val="18"/>
              </w:rPr>
              <w:t xml:space="preserve">Australian Consumer Law (Competition and Consumer Act 2010, Sch 2)</w:t>
            </w:r>
          </w:p>
        </w:tc>
        <w:tc>
          <w:tcPr>
            <w:tcW w:type="dxa" w:w="3120"/>
            <w:tcMar>
              <w:top w:type="dxa" w:w="60"/>
              <w:left w:type="dxa" w:w="100"/>
              <w:bottom w:type="dxa" w:w="60"/>
              <w:right w:type="dxa" w:w="100"/>
            </w:tcMar>
          </w:tcPr>
          <w:p>
            <w:r>
              <w:rPr>
                <w:b w:val="false"/>
                <w:bCs w:val="false"/>
                <w:sz w:val="18"/>
                <w:szCs w:val="18"/>
              </w:rPr>
              <w:t xml:space="preserve">Misleading conduct, unfair terms, statutory guarantees as applied to AI</w:t>
            </w:r>
          </w:p>
        </w:tc>
        <w:tc>
          <w:tcPr>
            <w:tcW w:type="dxa" w:w="3120"/>
            <w:tcMar>
              <w:top w:type="dxa" w:w="60"/>
              <w:left w:type="dxa" w:w="100"/>
              <w:bottom w:type="dxa" w:w="60"/>
              <w:right w:type="dxa" w:w="100"/>
            </w:tcMar>
          </w:tcPr>
          <w:p>
            <w:r>
              <w:rPr>
                <w:b w:val="false"/>
                <w:bCs w:val="false"/>
                <w:sz w:val="18"/>
                <w:szCs w:val="18"/>
              </w:rPr>
              <w:t xml:space="preserve">Not held; named at policy clauses 15.4, 22</w:t>
            </w:r>
          </w:p>
        </w:tc>
      </w:tr>
      <w:tr>
        <w:trPr>
          <w:tblHeader w:val="false"/>
        </w:trPr>
        <w:tc>
          <w:tcPr>
            <w:tcW w:type="dxa" w:w="3120"/>
            <w:tcMar>
              <w:top w:type="dxa" w:w="60"/>
              <w:left w:type="dxa" w:w="100"/>
              <w:bottom w:type="dxa" w:w="60"/>
              <w:right w:type="dxa" w:w="100"/>
            </w:tcMar>
          </w:tcPr>
          <w:p>
            <w:r>
              <w:rPr>
                <w:b w:val="false"/>
                <w:bCs w:val="false"/>
                <w:sz w:val="18"/>
                <w:szCs w:val="18"/>
              </w:rPr>
              <w:t xml:space="preserve">Anti-discrimination Acts; Fair Work Act 2009</w:t>
            </w:r>
          </w:p>
        </w:tc>
        <w:tc>
          <w:tcPr>
            <w:tcW w:type="dxa" w:w="3120"/>
            <w:tcMar>
              <w:top w:type="dxa" w:w="60"/>
              <w:left w:type="dxa" w:w="100"/>
              <w:bottom w:type="dxa" w:w="60"/>
              <w:right w:type="dxa" w:w="100"/>
            </w:tcMar>
          </w:tcPr>
          <w:p>
            <w:r>
              <w:rPr>
                <w:b w:val="false"/>
                <w:bCs w:val="false"/>
                <w:sz w:val="18"/>
                <w:szCs w:val="18"/>
              </w:rPr>
              <w:t xml:space="preserve">AI outputs that disadvantage people on a protected attribute</w:t>
            </w:r>
          </w:p>
        </w:tc>
        <w:tc>
          <w:tcPr>
            <w:tcW w:type="dxa" w:w="3120"/>
            <w:tcMar>
              <w:top w:type="dxa" w:w="60"/>
              <w:left w:type="dxa" w:w="100"/>
              <w:bottom w:type="dxa" w:w="60"/>
              <w:right w:type="dxa" w:w="100"/>
            </w:tcMar>
          </w:tcPr>
          <w:p>
            <w:r>
              <w:rPr>
                <w:b w:val="false"/>
                <w:bCs w:val="false"/>
                <w:sz w:val="18"/>
                <w:szCs w:val="18"/>
              </w:rPr>
              <w:t xml:space="preserve">Not held; named at policy clauses 20.6, 22</w:t>
            </w:r>
          </w:p>
        </w:tc>
      </w:tr>
      <w:tr>
        <w:trPr>
          <w:tblHeader w:val="false"/>
        </w:trPr>
        <w:tc>
          <w:tcPr>
            <w:tcW w:type="dxa" w:w="3120"/>
            <w:tcMar>
              <w:top w:type="dxa" w:w="60"/>
              <w:left w:type="dxa" w:w="100"/>
              <w:bottom w:type="dxa" w:w="60"/>
              <w:right w:type="dxa" w:w="100"/>
            </w:tcMar>
          </w:tcPr>
          <w:p>
            <w:r>
              <w:rPr>
                <w:b w:val="false"/>
                <w:bCs w:val="false"/>
                <w:sz w:val="18"/>
                <w:szCs w:val="18"/>
              </w:rPr>
              <w:t xml:space="preserve">Online Safety Act 2021; Criminal Code offences for non-consensual and abusive material</w:t>
            </w:r>
          </w:p>
        </w:tc>
        <w:tc>
          <w:tcPr>
            <w:tcW w:type="dxa" w:w="3120"/>
            <w:tcMar>
              <w:top w:type="dxa" w:w="60"/>
              <w:left w:type="dxa" w:w="100"/>
              <w:bottom w:type="dxa" w:w="60"/>
              <w:right w:type="dxa" w:w="100"/>
            </w:tcMar>
          </w:tcPr>
          <w:p>
            <w:r>
              <w:rPr>
                <w:b w:val="false"/>
                <w:bCs w:val="false"/>
                <w:sz w:val="18"/>
                <w:szCs w:val="18"/>
              </w:rPr>
              <w:t xml:space="preserve">Generated harmful content</w:t>
            </w:r>
          </w:p>
        </w:tc>
        <w:tc>
          <w:tcPr>
            <w:tcW w:type="dxa" w:w="3120"/>
            <w:tcMar>
              <w:top w:type="dxa" w:w="60"/>
              <w:left w:type="dxa" w:w="100"/>
              <w:bottom w:type="dxa" w:w="60"/>
              <w:right w:type="dxa" w:w="100"/>
            </w:tcMar>
          </w:tcPr>
          <w:p>
            <w:r>
              <w:rPr>
                <w:b w:val="false"/>
                <w:bCs w:val="false"/>
                <w:sz w:val="18"/>
                <w:szCs w:val="18"/>
              </w:rPr>
              <w:t xml:space="preserve">Not held; named at policy clause 22</w:t>
            </w:r>
          </w:p>
        </w:tc>
      </w:tr>
      <w:tr>
        <w:trPr>
          <w:tblHeader w:val="false"/>
        </w:trPr>
        <w:tc>
          <w:tcPr>
            <w:tcW w:type="dxa" w:w="3120"/>
            <w:tcMar>
              <w:top w:type="dxa" w:w="60"/>
              <w:left w:type="dxa" w:w="100"/>
              <w:bottom w:type="dxa" w:w="60"/>
              <w:right w:type="dxa" w:w="100"/>
            </w:tcMar>
          </w:tcPr>
          <w:p>
            <w:r>
              <w:rPr>
                <w:b w:val="false"/>
                <w:bCs w:val="false"/>
                <w:sz w:val="18"/>
                <w:szCs w:val="18"/>
              </w:rPr>
              <w:t xml:space="preserve">APRA prudential standards on operational risk and information security; Security of Critical Infrastructure Act 2018</w:t>
            </w:r>
          </w:p>
        </w:tc>
        <w:tc>
          <w:tcPr>
            <w:tcW w:type="dxa" w:w="3120"/>
            <w:tcMar>
              <w:top w:type="dxa" w:w="60"/>
              <w:left w:type="dxa" w:w="100"/>
              <w:bottom w:type="dxa" w:w="60"/>
              <w:right w:type="dxa" w:w="100"/>
            </w:tcMar>
          </w:tcPr>
          <w:p>
            <w:r>
              <w:rPr>
                <w:b w:val="false"/>
                <w:bCs w:val="false"/>
                <w:sz w:val="18"/>
                <w:szCs w:val="18"/>
              </w:rPr>
              <w:t xml:space="preserve">Sector overlays for regulated financial institutions and critical infrastructure</w:t>
            </w:r>
          </w:p>
        </w:tc>
        <w:tc>
          <w:tcPr>
            <w:tcW w:type="dxa" w:w="3120"/>
            <w:tcMar>
              <w:top w:type="dxa" w:w="60"/>
              <w:left w:type="dxa" w:w="100"/>
              <w:bottom w:type="dxa" w:w="60"/>
              <w:right w:type="dxa" w:w="100"/>
            </w:tcMar>
          </w:tcPr>
          <w:p>
            <w:r>
              <w:rPr>
                <w:b w:val="false"/>
                <w:bCs w:val="false"/>
                <w:sz w:val="18"/>
                <w:szCs w:val="18"/>
              </w:rPr>
              <w:t xml:space="preserve">Not held; named at policy clause 22</w:t>
            </w:r>
          </w:p>
        </w:tc>
      </w:tr>
      <w:tr>
        <w:trPr>
          <w:tblHeader w:val="false"/>
        </w:trPr>
        <w:tc>
          <w:tcPr>
            <w:tcW w:type="dxa" w:w="3120"/>
            <w:tcMar>
              <w:top w:type="dxa" w:w="60"/>
              <w:left w:type="dxa" w:w="100"/>
              <w:bottom w:type="dxa" w:w="60"/>
              <w:right w:type="dxa" w:w="100"/>
            </w:tcMar>
          </w:tcPr>
          <w:p>
            <w:r>
              <w:rPr>
                <w:b w:val="false"/>
                <w:bCs w:val="false"/>
                <w:sz w:val="18"/>
                <w:szCs w:val="18"/>
              </w:rPr>
              <w:t xml:space="preserve">Copyright Act 1968</w:t>
            </w:r>
          </w:p>
        </w:tc>
        <w:tc>
          <w:tcPr>
            <w:tcW w:type="dxa" w:w="3120"/>
            <w:tcMar>
              <w:top w:type="dxa" w:w="60"/>
              <w:left w:type="dxa" w:w="100"/>
              <w:bottom w:type="dxa" w:w="60"/>
              <w:right w:type="dxa" w:w="100"/>
            </w:tcMar>
          </w:tcPr>
          <w:p>
            <w:r>
              <w:rPr>
                <w:b w:val="false"/>
                <w:bCs w:val="false"/>
                <w:sz w:val="18"/>
                <w:szCs w:val="18"/>
              </w:rPr>
              <w:t xml:space="preserve">Training and generated content; government has ruled out a text-and-data-mining exception (National AI Plan p. 29)</w:t>
            </w:r>
          </w:p>
        </w:tc>
        <w:tc>
          <w:tcPr>
            <w:tcW w:type="dxa" w:w="3120"/>
            <w:tcMar>
              <w:top w:type="dxa" w:w="60"/>
              <w:left w:type="dxa" w:w="100"/>
              <w:bottom w:type="dxa" w:w="60"/>
              <w:right w:type="dxa" w:w="100"/>
            </w:tcMar>
          </w:tcPr>
          <w:p>
            <w:r>
              <w:rPr>
                <w:b w:val="false"/>
                <w:bCs w:val="false"/>
                <w:sz w:val="18"/>
                <w:szCs w:val="18"/>
              </w:rPr>
              <w:t xml:space="preserve">Not held; the plan's statement is recorded, the Act is not asserted</w:t>
            </w:r>
          </w:p>
        </w:tc>
      </w:tr>
    </w:tbl>
    <w:p>
      <w:pPr>
        <w:spacing w:after="120"/>
      </w:pPr>
    </w:p>
    <w:p>
      <w:pPr>
        <w:pStyle w:val="Heading1"/>
        <w:spacing w:after="120" w:before="280"/>
      </w:pPr>
      <w:r>
        <w:rPr>
          <w:color w:val="2E74B5"/>
        </w:rPr>
        <w:t xml:space="preserve">6. Verification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EEAF6" w:color="auto" w:val="clear"/>
            <w:tcMar>
              <w:top w:type="dxa" w:w="60"/>
              <w:left w:type="dxa" w:w="100"/>
              <w:bottom w:type="dxa" w:w="60"/>
              <w:right w:type="dxa" w:w="100"/>
            </w:tcMar>
          </w:tcPr>
          <w:p>
            <w:r>
              <w:rPr>
                <w:b/>
                <w:bCs/>
                <w:sz w:val="18"/>
                <w:szCs w:val="18"/>
              </w:rPr>
              <w:t xml:space="preserve">Check</w:t>
            </w:r>
          </w:p>
        </w:tc>
        <w:tc>
          <w:tcPr>
            <w:tcW w:type="dxa" w:w="4680"/>
            <w:shd w:fill="DEEAF6" w:color="auto" w:val="clear"/>
            <w:tcMar>
              <w:top w:type="dxa" w:w="60"/>
              <w:left w:type="dxa" w:w="100"/>
              <w:bottom w:type="dxa" w:w="60"/>
              <w:right w:type="dxa" w:w="100"/>
            </w:tcMar>
          </w:tcPr>
          <w:p>
            <w:r>
              <w:rPr>
                <w:b/>
                <w:bCs/>
                <w:sz w:val="18"/>
                <w:szCs w:val="18"/>
              </w:rPr>
              <w:t xml:space="preserve">Result</w:t>
            </w:r>
          </w:p>
        </w:tc>
      </w:tr>
      <w:tr>
        <w:trPr>
          <w:tblHeader w:val="false"/>
        </w:trPr>
        <w:tc>
          <w:tcPr>
            <w:tcW w:type="dxa" w:w="4680"/>
            <w:tcMar>
              <w:top w:type="dxa" w:w="60"/>
              <w:left w:type="dxa" w:w="100"/>
              <w:bottom w:type="dxa" w:w="60"/>
              <w:right w:type="dxa" w:w="100"/>
            </w:tcMar>
          </w:tcPr>
          <w:p>
            <w:r>
              <w:rPr>
                <w:b w:val="false"/>
                <w:bCs w:val="false"/>
                <w:sz w:val="18"/>
                <w:szCs w:val="18"/>
              </w:rPr>
              <w:t xml:space="preserve">Every provision cited in the research note resolves to text read in the held compilation or amending Act</w:t>
            </w:r>
          </w:p>
        </w:tc>
        <w:tc>
          <w:tcPr>
            <w:tcW w:type="dxa" w:w="4680"/>
            <w:tcMar>
              <w:top w:type="dxa" w:w="60"/>
              <w:left w:type="dxa" w:w="100"/>
              <w:bottom w:type="dxa" w:w="60"/>
              <w:right w:type="dxa" w:w="100"/>
            </w:tcMar>
          </w:tcPr>
          <w:p>
            <w:r>
              <w:rPr>
                <w:b w:val="false"/>
                <w:bCs w:val="false"/>
                <w:sz w:val="18"/>
                <w:szCs w:val="18"/>
              </w:rPr>
              <w:t xml:space="preserve">Complete, 3 September 2026</w:t>
            </w:r>
          </w:p>
        </w:tc>
      </w:tr>
      <w:tr>
        <w:trPr>
          <w:tblHeader w:val="false"/>
        </w:trPr>
        <w:tc>
          <w:tcPr>
            <w:tcW w:type="dxa" w:w="4680"/>
            <w:tcMar>
              <w:top w:type="dxa" w:w="60"/>
              <w:left w:type="dxa" w:w="100"/>
              <w:bottom w:type="dxa" w:w="60"/>
              <w:right w:type="dxa" w:w="100"/>
            </w:tcMar>
          </w:tcPr>
          <w:p>
            <w:r>
              <w:rPr>
                <w:b w:val="false"/>
                <w:bCs w:val="false"/>
                <w:sz w:val="18"/>
                <w:szCs w:val="18"/>
              </w:rPr>
              <w:t xml:space="preserve">APP 1.7-1.9 text in the amending Act (item 88) compared with OAIC issues paper Attachment A</w:t>
            </w:r>
          </w:p>
        </w:tc>
        <w:tc>
          <w:tcPr>
            <w:tcW w:type="dxa" w:w="4680"/>
            <w:tcMar>
              <w:top w:type="dxa" w:w="60"/>
              <w:left w:type="dxa" w:w="100"/>
              <w:bottom w:type="dxa" w:w="60"/>
              <w:right w:type="dxa" w:w="100"/>
            </w:tcMar>
          </w:tcPr>
          <w:p>
            <w:r>
              <w:rPr>
                <w:b w:val="false"/>
                <w:bCs w:val="false"/>
                <w:sz w:val="18"/>
                <w:szCs w:val="18"/>
              </w:rPr>
              <w:t xml:space="preserve">Identical</w:t>
            </w:r>
          </w:p>
        </w:tc>
      </w:tr>
      <w:tr>
        <w:trPr>
          <w:tblHeader w:val="false"/>
        </w:trPr>
        <w:tc>
          <w:tcPr>
            <w:tcW w:type="dxa" w:w="4680"/>
            <w:tcMar>
              <w:top w:type="dxa" w:w="60"/>
              <w:left w:type="dxa" w:w="100"/>
              <w:bottom w:type="dxa" w:w="60"/>
              <w:right w:type="dxa" w:w="100"/>
            </w:tcMar>
          </w:tcPr>
          <w:p>
            <w:r>
              <w:rPr>
                <w:b w:val="false"/>
                <w:bCs w:val="false"/>
                <w:sz w:val="18"/>
                <w:szCs w:val="18"/>
              </w:rPr>
              <w:t xml:space="preserve">Commencement dates checked against the amending Act s 2 table and the compilation endnote 4</w:t>
            </w:r>
          </w:p>
        </w:tc>
        <w:tc>
          <w:tcPr>
            <w:tcW w:type="dxa" w:w="4680"/>
            <w:tcMar>
              <w:top w:type="dxa" w:w="60"/>
              <w:left w:type="dxa" w:w="100"/>
              <w:bottom w:type="dxa" w:w="60"/>
              <w:right w:type="dxa" w:w="100"/>
            </w:tcMar>
          </w:tcPr>
          <w:p>
            <w:r>
              <w:rPr>
                <w:b w:val="false"/>
                <w:bCs w:val="false"/>
                <w:sz w:val="18"/>
                <w:szCs w:val="18"/>
              </w:rPr>
              <w:t xml:space="preserve">Agree: 11 Dec 2024; 10 Jun 2025; 10 Dec 2026</w:t>
            </w:r>
          </w:p>
        </w:tc>
      </w:tr>
      <w:tr>
        <w:trPr>
          <w:tblHeader w:val="false"/>
        </w:trPr>
        <w:tc>
          <w:tcPr>
            <w:tcW w:type="dxa" w:w="4680"/>
            <w:tcMar>
              <w:top w:type="dxa" w:w="60"/>
              <w:left w:type="dxa" w:w="100"/>
              <w:bottom w:type="dxa" w:w="60"/>
              <w:right w:type="dxa" w:w="100"/>
            </w:tcMar>
          </w:tcPr>
          <w:p>
            <w:r>
              <w:rPr>
                <w:b w:val="false"/>
                <w:bCs w:val="false"/>
                <w:sz w:val="18"/>
                <w:szCs w:val="18"/>
              </w:rPr>
              <w:t xml:space="preserve">Policy and annex bodies searched for provision identifiers</w:t>
            </w:r>
          </w:p>
        </w:tc>
        <w:tc>
          <w:tcPr>
            <w:tcW w:type="dxa" w:w="4680"/>
            <w:tcMar>
              <w:top w:type="dxa" w:w="60"/>
              <w:left w:type="dxa" w:w="100"/>
              <w:bottom w:type="dxa" w:w="60"/>
              <w:right w:type="dxa" w:w="100"/>
            </w:tcMar>
          </w:tcPr>
          <w:p>
            <w:r>
              <w:rPr>
                <w:b w:val="false"/>
                <w:bCs w:val="false"/>
                <w:sz w:val="18"/>
                <w:szCs w:val="18"/>
              </w:rPr>
              <w:t xml:space="preserve">None present; identifiers confined to this register and the research note</w:t>
            </w:r>
          </w:p>
        </w:tc>
      </w:tr>
      <w:tr>
        <w:trPr>
          <w:tblHeader w:val="false"/>
        </w:trPr>
        <w:tc>
          <w:tcPr>
            <w:tcW w:type="dxa" w:w="4680"/>
            <w:tcMar>
              <w:top w:type="dxa" w:w="60"/>
              <w:left w:type="dxa" w:w="100"/>
              <w:bottom w:type="dxa" w:w="60"/>
              <w:right w:type="dxa" w:w="100"/>
            </w:tcMar>
          </w:tcPr>
          <w:p>
            <w:r>
              <w:rPr>
                <w:b w:val="false"/>
                <w:bCs w:val="false"/>
                <w:sz w:val="18"/>
                <w:szCs w:val="18"/>
              </w:rPr>
              <w:t xml:space="preserve">Policy and annex bodies searched for cross-jurisdiction comparison</w:t>
            </w:r>
          </w:p>
        </w:tc>
        <w:tc>
          <w:tcPr>
            <w:tcW w:type="dxa" w:w="4680"/>
            <w:tcMar>
              <w:top w:type="dxa" w:w="60"/>
              <w:left w:type="dxa" w:w="100"/>
              <w:bottom w:type="dxa" w:w="60"/>
              <w:right w:type="dxa" w:w="100"/>
            </w:tcMar>
          </w:tcPr>
          <w:p>
            <w:r>
              <w:rPr>
                <w:b w:val="false"/>
                <w:bCs w:val="false"/>
                <w:sz w:val="18"/>
                <w:szCs w:val="18"/>
              </w:rPr>
              <w:t xml:space="preserve">None</w:t>
            </w:r>
          </w:p>
        </w:tc>
      </w:tr>
      <w:tr>
        <w:trPr>
          <w:tblHeader w:val="false"/>
        </w:trPr>
        <w:tc>
          <w:tcPr>
            <w:tcW w:type="dxa" w:w="4680"/>
            <w:tcMar>
              <w:top w:type="dxa" w:w="60"/>
              <w:left w:type="dxa" w:w="100"/>
              <w:bottom w:type="dxa" w:w="60"/>
              <w:right w:type="dxa" w:w="100"/>
            </w:tcMar>
          </w:tcPr>
          <w:p>
            <w:r>
              <w:rPr>
                <w:b w:val="false"/>
                <w:bCs w:val="false"/>
                <w:sz w:val="18"/>
                <w:szCs w:val="18"/>
              </w:rPr>
              <w:t xml:space="preserve">Policy and annex bodies searched for em dashes</w:t>
            </w:r>
          </w:p>
        </w:tc>
        <w:tc>
          <w:tcPr>
            <w:tcW w:type="dxa" w:w="4680"/>
            <w:tcMar>
              <w:top w:type="dxa" w:w="60"/>
              <w:left w:type="dxa" w:w="100"/>
              <w:bottom w:type="dxa" w:w="60"/>
              <w:right w:type="dxa" w:w="100"/>
            </w:tcMar>
          </w:tcPr>
          <w:p>
            <w:r>
              <w:rPr>
                <w:b w:val="false"/>
                <w:bCs w:val="false"/>
                <w:sz w:val="18"/>
                <w:szCs w:val="18"/>
              </w:rPr>
              <w:t xml:space="preserve">None</w:t>
            </w:r>
          </w:p>
        </w:tc>
      </w:tr>
      <w:tr>
        <w:trPr>
          <w:tblHeader w:val="false"/>
        </w:trPr>
        <w:tc>
          <w:tcPr>
            <w:tcW w:type="dxa" w:w="4680"/>
            <w:tcMar>
              <w:top w:type="dxa" w:w="60"/>
              <w:left w:type="dxa" w:w="100"/>
              <w:bottom w:type="dxa" w:w="60"/>
              <w:right w:type="dxa" w:w="100"/>
            </w:tcMar>
          </w:tcPr>
          <w:p>
            <w:r>
              <w:rPr>
                <w:b w:val="false"/>
                <w:bCs w:val="false"/>
                <w:sz w:val="18"/>
                <w:szCs w:val="18"/>
              </w:rPr>
              <w:t xml:space="preserve">Internal cross-references written as "clause N"</w:t>
            </w:r>
          </w:p>
        </w:tc>
        <w:tc>
          <w:tcPr>
            <w:tcW w:type="dxa" w:w="4680"/>
            <w:tcMar>
              <w:top w:type="dxa" w:w="60"/>
              <w:left w:type="dxa" w:w="100"/>
              <w:bottom w:type="dxa" w:w="60"/>
              <w:right w:type="dxa" w:w="100"/>
            </w:tcMar>
          </w:tcPr>
          <w:p>
            <w:r>
              <w:rPr>
                <w:b w:val="false"/>
                <w:bCs w:val="false"/>
                <w:sz w:val="18"/>
                <w:szCs w:val="18"/>
              </w:rPr>
              <w:t xml:space="preserve">Yes, throughout</w:t>
            </w:r>
          </w:p>
        </w:tc>
      </w:tr>
      <w:tr>
        <w:trPr>
          <w:tblHeader w:val="false"/>
        </w:trPr>
        <w:tc>
          <w:tcPr>
            <w:tcW w:type="dxa" w:w="4680"/>
            <w:tcMar>
              <w:top w:type="dxa" w:w="60"/>
              <w:left w:type="dxa" w:w="100"/>
              <w:bottom w:type="dxa" w:w="60"/>
              <w:right w:type="dxa" w:w="100"/>
            </w:tcMar>
          </w:tcPr>
          <w:p>
            <w:r>
              <w:rPr>
                <w:b w:val="false"/>
                <w:bCs w:val="false"/>
                <w:sz w:val="18"/>
                <w:szCs w:val="18"/>
              </w:rPr>
              <w:t xml:space="preserve">Run through the Data Privacy platform verification pipeline</w:t>
            </w:r>
          </w:p>
        </w:tc>
        <w:tc>
          <w:tcPr>
            <w:tcW w:type="dxa" w:w="4680"/>
            <w:tcMar>
              <w:top w:type="dxa" w:w="60"/>
              <w:left w:type="dxa" w:w="100"/>
              <w:bottom w:type="dxa" w:w="60"/>
              <w:right w:type="dxa" w:w="100"/>
            </w:tcMar>
          </w:tcPr>
          <w:p>
            <w:r>
              <w:rPr>
                <w:b w:val="false"/>
                <w:bCs w:val="false"/>
                <w:sz w:val="18"/>
                <w:szCs w:val="18"/>
              </w:rPr>
              <w:t xml:space="preserve">Not possible: Australia is not a platform jurisdiction (the seven are UK, EU, Bahrain, Saudi Arabia, India, Singapore, UAE). Recorded as an open item for the platform, not for the set</w:t>
            </w:r>
          </w:p>
        </w:tc>
      </w:tr>
    </w:tbl>
    <w:p>
      <w:pPr>
        <w:spacing w:after="120"/>
      </w:pPr>
    </w:p>
    <w:p>
      <w:pPr>
        <w:spacing w:after="120"/>
      </w:pPr>
      <w:r>
        <w:rPr>
          <w:i/>
          <w:iCs/>
          <w:color w:val="666666"/>
        </w:rPr>
        <w:t xml:space="preserve">Educational, not legal advice. No provision has been reviewed by qualified counsel.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Source register - Australia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F4D78"/>
      <w:sz w:val="40"/>
      <w:szCs w:val="4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2026-09-03T17:33:43.863Z</dcterms:created>
  <dcterms:modified xsi:type="dcterms:W3CDTF">2026-09-03T17:33:43.863Z</dcterms:modified>
</cp:coreProperties>
</file>

<file path=docProps/custom.xml><?xml version="1.0" encoding="utf-8"?>
<Properties xmlns="http://schemas.openxmlformats.org/officeDocument/2006/custom-properties" xmlns:vt="http://schemas.openxmlformats.org/officeDocument/2006/docPropsVTypes"/>
</file>